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The Compliance Gateway Initiative: A Project Proposal</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Executive Summary</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Arborwood University Cost Calculator project, or the "Gateway" project, was initially conceived as a pivotal </w:t>
      </w:r>
      <w:r>
        <w:rPr>
          <w:rFonts w:ascii="Times Roman" w:hAnsi="Times Roman"/>
          <w:b w:val="1"/>
          <w:bCs w:val="1"/>
          <w:rtl w:val="0"/>
          <w:lang w:val="en-US"/>
        </w:rPr>
        <w:t>marketing initiative</w:t>
      </w:r>
      <w:r>
        <w:rPr>
          <w:rFonts w:ascii="Times Roman" w:hAnsi="Times Roman"/>
          <w:rtl w:val="0"/>
          <w:lang w:val="en-US"/>
        </w:rPr>
        <w:t xml:space="preserve"> aimed at substantially improving cost transparency for prospective students, with the ultimate objective of driving enrollment growth. Initial market research and financial modeling suggest that the successful implementation of a personalized cost calculator could yield revenue growth of up to </w:t>
      </w:r>
      <w:r>
        <w:rPr>
          <w:rFonts w:ascii="Times Roman" w:hAnsi="Times Roman"/>
          <w:b w:val="1"/>
          <w:bCs w:val="1"/>
          <w:rtl w:val="0"/>
          <w:lang w:val="en-US"/>
        </w:rPr>
        <w:t>$8.9 million in the first year</w:t>
      </w:r>
      <w:r>
        <w:rPr>
          <w:rFonts w:ascii="Times Roman" w:hAnsi="Times Roman"/>
          <w:rtl w:val="0"/>
          <w:lang w:val="en-US"/>
        </w:rPr>
        <w:t xml:space="preserve">following launch, balanced against a planned capital expenditure of approximately </w:t>
      </w:r>
      <w:r>
        <w:rPr>
          <w:rFonts w:ascii="Times Roman" w:hAnsi="Times Roman"/>
          <w:b w:val="1"/>
          <w:bCs w:val="1"/>
          <w:rtl w:val="0"/>
          <w:lang w:val="en-US"/>
        </w:rPr>
        <w:t>$425,000</w:t>
      </w:r>
      <w:r>
        <w:rPr>
          <w:rFonts w:ascii="Times Roman" w:hAnsi="Times Roman"/>
          <w:rtl w:val="0"/>
          <w:lang w:val="en-US"/>
        </w:rPr>
        <w:t>. The initiative</w:t>
      </w:r>
      <w:r>
        <w:rPr>
          <w:rFonts w:ascii="Times Roman" w:hAnsi="Times Roman" w:hint="default"/>
          <w:rtl w:val="1"/>
        </w:rPr>
        <w:t>’</w:t>
      </w:r>
      <w:r>
        <w:rPr>
          <w:rFonts w:ascii="Times Roman" w:hAnsi="Times Roman"/>
          <w:rtl w:val="0"/>
          <w:lang w:val="en-US"/>
        </w:rPr>
        <w:t>s original focus on revenue generation quickly pivoted, however, with the realization that the institution</w:t>
      </w:r>
      <w:r>
        <w:rPr>
          <w:rFonts w:ascii="Times Roman" w:hAnsi="Times Roman" w:hint="default"/>
          <w:rtl w:val="1"/>
        </w:rPr>
        <w:t>’</w:t>
      </w:r>
      <w:r>
        <w:rPr>
          <w:rFonts w:ascii="Times Roman" w:hAnsi="Times Roman"/>
          <w:rtl w:val="0"/>
          <w:lang w:val="en-US"/>
        </w:rPr>
        <w:t>s existing manual process for publishing student costs exposed it to significant legal and regulatory liabilities resulting from potentially inaccurate or misleading estimates. The project's revised and primary focus is now to mitigate this critical regulatory and financial risk.</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An initial review of a calculator architecture that relied on current-state manual processes revealed that it would fundamentally </w:t>
      </w:r>
      <w:r>
        <w:rPr>
          <w:rFonts w:ascii="Times Roman" w:hAnsi="Times Roman"/>
          <w:b w:val="1"/>
          <w:bCs w:val="1"/>
          <w:rtl w:val="0"/>
          <w:lang w:val="en-US"/>
        </w:rPr>
        <w:t>violate the Single Source of Truth principle</w:t>
      </w:r>
      <w:r>
        <w:rPr>
          <w:rFonts w:ascii="Times Roman" w:hAnsi="Times Roman"/>
          <w:rtl w:val="0"/>
          <w:lang w:val="en-US"/>
        </w:rPr>
        <w:t xml:space="preserve"> by depending on error-prone human data entry. This non-compliant approach would put the organization in direct conflict with the mandates of Federal regulations governing financial aid disclosure and cost transparency.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Therefore, the initiative</w:t>
      </w:r>
      <w:r>
        <w:rPr>
          <w:rFonts w:ascii="Times Roman" w:hAnsi="Times Roman" w:hint="default"/>
          <w:rtl w:val="1"/>
        </w:rPr>
        <w:t>’</w:t>
      </w:r>
      <w:r>
        <w:rPr>
          <w:rFonts w:ascii="Times Roman" w:hAnsi="Times Roman"/>
          <w:rtl w:val="0"/>
          <w:lang w:val="en-US"/>
        </w:rPr>
        <w:t xml:space="preserve">s core strategic objectives are threefold, reflecting its dual mandate of risk mitigation and market enhancement: first, to achieve </w:t>
      </w:r>
      <w:r>
        <w:rPr>
          <w:rFonts w:ascii="Times Roman" w:hAnsi="Times Roman"/>
          <w:b w:val="1"/>
          <w:bCs w:val="1"/>
          <w:rtl w:val="0"/>
          <w:lang w:val="en-US"/>
        </w:rPr>
        <w:t>absolute compliance and systemic risk mitigation</w:t>
      </w:r>
      <w:r>
        <w:rPr>
          <w:rFonts w:ascii="Times Roman" w:hAnsi="Times Roman"/>
          <w:rtl w:val="0"/>
          <w:lang w:val="en-US"/>
        </w:rPr>
        <w:t xml:space="preserve"> by embedding a thorough and non-negotiable legal and compliance review and approval gate into the project lifecycle; second, to enhance </w:t>
      </w:r>
      <w:r>
        <w:rPr>
          <w:rFonts w:ascii="Times Roman" w:hAnsi="Times Roman"/>
          <w:b w:val="1"/>
          <w:bCs w:val="1"/>
          <w:rtl w:val="0"/>
          <w:lang w:val="en-US"/>
        </w:rPr>
        <w:t>equity and transparency</w:t>
      </w:r>
      <w:r>
        <w:rPr>
          <w:rFonts w:ascii="Times Roman" w:hAnsi="Times Roman"/>
          <w:rtl w:val="0"/>
          <w:lang w:val="en-US"/>
        </w:rPr>
        <w:t xml:space="preserve"> by ensuring the delivery of accurate, personalized, and easily accessible cost data to prospective students, thereby improving the overall enrollment experience and increasing social mobility; and third, to establish </w:t>
      </w:r>
      <w:r>
        <w:rPr>
          <w:rFonts w:ascii="Times Roman" w:hAnsi="Times Roman"/>
          <w:b w:val="1"/>
          <w:bCs w:val="1"/>
          <w:rtl w:val="0"/>
          <w:lang w:val="en-US"/>
        </w:rPr>
        <w:t>technical modernization</w:t>
      </w:r>
      <w:r>
        <w:rPr>
          <w:rFonts w:ascii="Times Roman" w:hAnsi="Times Roman"/>
          <w:rtl w:val="0"/>
          <w:lang w:val="en-US"/>
        </w:rPr>
        <w:t xml:space="preserve"> by eliminating technical debt through the use of a secure, scalable API integration that replaces manual file transfers with real-time data flow from the core administrative system.</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"Gateway" Initiative is targeted for the completion of the integration layer and its associated testing milestones at </w:t>
      </w:r>
      <w:r>
        <w:rPr>
          <w:rFonts w:ascii="Times Roman" w:hAnsi="Times Roman"/>
          <w:b w:val="1"/>
          <w:bCs w:val="1"/>
          <w:rtl w:val="0"/>
          <w:lang w:val="en-US"/>
        </w:rPr>
        <w:t>T+7 Months</w:t>
      </w:r>
      <w:r>
        <w:rPr>
          <w:rFonts w:ascii="Times Roman" w:hAnsi="Times Roman"/>
          <w:rtl w:val="0"/>
          <w:lang w:val="en-US"/>
        </w:rPr>
        <w:t xml:space="preserve">, which specifically includes the development and one hundred percent data validation testing of the entire data pipeline. The project is scheduled to conclude with the final production deployment and operational hand-off at </w:t>
      </w:r>
      <w:r>
        <w:rPr>
          <w:rFonts w:ascii="Times Roman" w:hAnsi="Times Roman"/>
          <w:b w:val="1"/>
          <w:bCs w:val="1"/>
          <w:rtl w:val="0"/>
          <w:lang w:val="en-US"/>
        </w:rPr>
        <w:t>T+12 Months</w:t>
      </w:r>
      <w:r>
        <w:rPr>
          <w:rFonts w:ascii="Times Roman" w:hAnsi="Times Roman"/>
          <w:rtl w:val="0"/>
          <w:lang w:val="en-US"/>
        </w:rPr>
        <w:t>, officially launching the fully compliant cost calculator component to the commercial website.</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Organization and Site Supervisor Selection</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project is being conducted internally within </w:t>
      </w:r>
      <w:r>
        <w:rPr>
          <w:rFonts w:ascii="Times Roman" w:hAnsi="Times Roman"/>
          <w:b w:val="1"/>
          <w:bCs w:val="1"/>
          <w:rtl w:val="0"/>
          <w:lang w:val="en-US"/>
        </w:rPr>
        <w:t>Arborwood University</w:t>
      </w:r>
      <w:r>
        <w:rPr>
          <w:rFonts w:ascii="Times Roman" w:hAnsi="Times Roman"/>
          <w:rtl w:val="0"/>
          <w:lang w:val="en-US"/>
        </w:rPr>
        <w:t xml:space="preserve">, a private institution dedicated to offering baccalaureate, masters, and doctoral degree programs, along with graduate certificates, in an </w:t>
      </w:r>
      <w:r>
        <w:rPr>
          <w:rFonts w:ascii="Times Roman" w:hAnsi="Times Roman"/>
          <w:b w:val="1"/>
          <w:bCs w:val="1"/>
          <w:rtl w:val="0"/>
          <w:lang w:val="en-US"/>
        </w:rPr>
        <w:t>exclusively online format</w:t>
      </w:r>
      <w:r>
        <w:rPr>
          <w:rFonts w:ascii="Times Roman" w:hAnsi="Times Roman"/>
          <w:rtl w:val="0"/>
          <w:lang w:val="en-US"/>
        </w:rPr>
        <w:t>. The organization's operational model relies heavily on effective digital marketing and online student engagement. Arborwood is heavily marketed through various digital channels, including social media and targeted ad placement, with occasional national television ad buys. The commercial website serves as the primary funnel for all enrollment activity, making the accuracy and effectiveness of its content critical to the institution's financial health and regulatory standing.</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designated site supervisor for this high-stakes project is </w:t>
      </w:r>
      <w:r>
        <w:rPr>
          <w:rFonts w:ascii="Times Roman" w:hAnsi="Times Roman"/>
          <w:b w:val="1"/>
          <w:bCs w:val="1"/>
          <w:rtl w:val="0"/>
          <w:lang w:val="nl-NL"/>
        </w:rPr>
        <w:t>Michael Goettl</w:t>
      </w:r>
      <w:r>
        <w:rPr>
          <w:rFonts w:ascii="Times Roman" w:hAnsi="Times Roman"/>
          <w:rtl w:val="0"/>
          <w:lang w:val="en-US"/>
        </w:rPr>
        <w:t>, a director within Arborwood</w:t>
      </w:r>
      <w:r>
        <w:rPr>
          <w:rFonts w:ascii="Times Roman" w:hAnsi="Times Roman" w:hint="default"/>
          <w:rtl w:val="1"/>
        </w:rPr>
        <w:t>’</w:t>
      </w:r>
      <w:r>
        <w:rPr>
          <w:rFonts w:ascii="Times Roman" w:hAnsi="Times Roman"/>
          <w:rtl w:val="0"/>
          <w:lang w:val="en-US"/>
        </w:rPr>
        <w:t>s Information Technology organization who has served the institution for six years. Mr. Goettl</w:t>
      </w:r>
      <w:r>
        <w:rPr>
          <w:rFonts w:ascii="Times Roman" w:hAnsi="Times Roman" w:hint="default"/>
          <w:rtl w:val="1"/>
        </w:rPr>
        <w:t>’</w:t>
      </w:r>
      <w:r>
        <w:rPr>
          <w:rFonts w:ascii="Times Roman" w:hAnsi="Times Roman"/>
          <w:rtl w:val="0"/>
          <w:lang w:val="en-US"/>
        </w:rPr>
        <w:t>s specific professional experience is exceptionally well-aligned with the project's success criteria, as he is the official business owner of Arborwood</w:t>
      </w:r>
      <w:r>
        <w:rPr>
          <w:rFonts w:ascii="Times Roman" w:hAnsi="Times Roman" w:hint="default"/>
          <w:rtl w:val="1"/>
        </w:rPr>
        <w:t>’</w:t>
      </w:r>
      <w:r>
        <w:rPr>
          <w:rFonts w:ascii="Times Roman" w:hAnsi="Times Roman"/>
          <w:rtl w:val="0"/>
          <w:lang w:val="en-US"/>
        </w:rPr>
        <w:t>s commercial website and all related paid media pages within the marketing sphere. This dual-hatted role has established him as an essential strategic partner. His expertise in the institution's existing web and content management structures (specifically Adobe Experience Manager) and his strategic insights into defining the project's market-driven success criteria have been, and will continue to be, crucial for navigating the organization</w:t>
      </w:r>
      <w:r>
        <w:rPr>
          <w:rFonts w:ascii="Times Roman" w:hAnsi="Times Roman" w:hint="default"/>
          <w:rtl w:val="1"/>
        </w:rPr>
        <w:t>’</w:t>
      </w:r>
      <w:r>
        <w:rPr>
          <w:rFonts w:ascii="Times Roman" w:hAnsi="Times Roman"/>
          <w:rtl w:val="0"/>
          <w:lang w:val="en-US"/>
        </w:rPr>
        <w:t>s political and technical landscape. Mr. Goettl</w:t>
      </w:r>
      <w:r>
        <w:rPr>
          <w:rFonts w:ascii="Times Roman" w:hAnsi="Times Roman" w:hint="default"/>
          <w:rtl w:val="1"/>
        </w:rPr>
        <w:t>’</w:t>
      </w:r>
      <w:r>
        <w:rPr>
          <w:rFonts w:ascii="Times Roman" w:hAnsi="Times Roman"/>
          <w:rtl w:val="0"/>
          <w:lang w:val="en-US"/>
        </w:rPr>
        <w:t>s sponsorship ensures that the project remains aligned with the university</w:t>
      </w:r>
      <w:r>
        <w:rPr>
          <w:rFonts w:ascii="Times Roman" w:hAnsi="Times Roman" w:hint="default"/>
          <w:rtl w:val="1"/>
        </w:rPr>
        <w:t>’</w:t>
      </w:r>
      <w:r>
        <w:rPr>
          <w:rFonts w:ascii="Times Roman" w:hAnsi="Times Roman"/>
          <w:rtl w:val="0"/>
          <w:lang w:val="en-US"/>
        </w:rPr>
        <w:t>s executive vision for digital transformation and enrollment objectives. The partnership has been characterized by a shared commitment to mitigating risk while maximizing the return on investment.</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Environmental Scan</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organizational environment that prompted the "Gateway" initiative is characterized by an increasingly competitive and saturated higher education market where institutions must differentiate themselves through both program quality and operational transparency. The marketing team at Arborwood University undertook intensive market research to identify transformative initiatives that had the potential to drive significant revenue improvements. This research successfully identified a key </w:t>
      </w:r>
      <w:r>
        <w:rPr>
          <w:rFonts w:ascii="Times Roman" w:hAnsi="Times Roman"/>
          <w:b w:val="1"/>
          <w:bCs w:val="1"/>
          <w:rtl w:val="0"/>
          <w:lang w:val="fr-FR"/>
        </w:rPr>
        <w:t>friction point</w:t>
      </w:r>
      <w:r>
        <w:rPr>
          <w:rFonts w:ascii="Times Roman" w:hAnsi="Times Roman"/>
          <w:rtl w:val="0"/>
          <w:lang w:val="en-US"/>
        </w:rPr>
        <w:t xml:space="preserve"> that demonstrably impeded conversion rates on the commercial website: </w:t>
      </w:r>
      <w:r>
        <w:rPr>
          <w:rFonts w:ascii="Times Roman" w:hAnsi="Times Roman"/>
          <w:b w:val="1"/>
          <w:bCs w:val="1"/>
          <w:rtl w:val="0"/>
          <w:lang w:val="en-US"/>
        </w:rPr>
        <w:t>cost transparency</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Prospective students often struggle to understand the personalized, all-in cost of their desired degree program, given variables such as transfer credits, prior learning assessments, and personalized program selection. The lack of an immediate, personalized cost estimate created an undue burden on the enrollment process and contributed to student hesitation.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proposed project, which is the creation of a cost calculator component to be included on the commercial website, would enable prospective students to input information relative to their personal needs and program selection and instantly obtain a high-fidelity estimate of both the financial cost and the time investment required to complete their degree.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key technical and systemic weakness is rooted in the current state of the commercial website</w:t>
      </w:r>
      <w:r>
        <w:rPr>
          <w:rFonts w:ascii="Times Roman" w:hAnsi="Times Roman" w:hint="default"/>
          <w:rtl w:val="1"/>
        </w:rPr>
        <w:t>’</w:t>
      </w:r>
      <w:r>
        <w:rPr>
          <w:rFonts w:ascii="Times Roman" w:hAnsi="Times Roman"/>
          <w:rtl w:val="0"/>
          <w:lang w:val="en-US"/>
        </w:rPr>
        <w:t xml:space="preserve">s platform, which is hosted in </w:t>
      </w:r>
      <w:r>
        <w:rPr>
          <w:rFonts w:ascii="Times Roman" w:hAnsi="Times Roman"/>
          <w:b w:val="1"/>
          <w:bCs w:val="1"/>
          <w:rtl w:val="0"/>
          <w:lang w:val="en-US"/>
        </w:rPr>
        <w:t>Adobe Experience Manager (AEM)</w:t>
      </w:r>
      <w:r>
        <w:rPr>
          <w:rFonts w:ascii="Times Roman" w:hAnsi="Times Roman"/>
          <w:rtl w:val="0"/>
          <w:lang w:val="en-US"/>
        </w:rPr>
        <w:t xml:space="preserve">. The AEM platform currently has limited integration with the core student administration system, which holds the definitive, auditable, and regulatory-compliant financial data. This structural gap forces the institution to rely on </w:t>
      </w:r>
      <w:r>
        <w:rPr>
          <w:rFonts w:ascii="Times Roman" w:hAnsi="Times Roman"/>
          <w:b w:val="1"/>
          <w:bCs w:val="1"/>
          <w:rtl w:val="0"/>
          <w:lang w:val="en-US"/>
        </w:rPr>
        <w:t>static content and error-prone manual updates</w:t>
      </w:r>
      <w:r>
        <w:rPr>
          <w:rFonts w:ascii="Times Roman" w:hAnsi="Times Roman"/>
          <w:rtl w:val="0"/>
          <w:lang w:val="en-US"/>
        </w:rPr>
        <w:t xml:space="preserve"> for financial information published to the public. This reliance on manual, non-auditable processes is the central risk and the core weakness that the "Gateway" project is designed to eliminate. The environmental need is clear: the market demands cost transparency, but the regulatory environment mandates that this transparency be provided with </w:t>
      </w:r>
      <w:r>
        <w:rPr>
          <w:rFonts w:ascii="Times Roman" w:hAnsi="Times Roman"/>
          <w:b w:val="1"/>
          <w:bCs w:val="1"/>
          <w:rtl w:val="0"/>
          <w:lang w:val="en-US"/>
        </w:rPr>
        <w:t>absolute accuracy</w:t>
      </w:r>
      <w:r>
        <w:rPr>
          <w:rFonts w:ascii="Times Roman" w:hAnsi="Times Roman"/>
          <w:rtl w:val="0"/>
          <w:lang w:val="en-US"/>
        </w:rPr>
        <w:t>, which the current architecture cannot guarantee.</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Literature Review</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project's strategy is fundamentally grounded in academic research and established best practices across three distinct themes: IT Governance and Compliance, Data Integrity and Architectural Principles, and Financial Transparency and Equity. This grounding ensures the solution is not merely a technical fix but a comprehensive policy and architectural transformation.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first theme addressed is </w:t>
      </w:r>
      <w:r>
        <w:rPr>
          <w:rFonts w:ascii="Times Roman" w:hAnsi="Times Roman"/>
          <w:b w:val="1"/>
          <w:bCs w:val="1"/>
          <w:rtl w:val="0"/>
          <w:lang w:val="en-US"/>
        </w:rPr>
        <w:t>Governing Risk: Formalizing Compliance Gateways in IT Projects</w:t>
      </w:r>
      <w:r>
        <w:rPr>
          <w:rFonts w:ascii="Times Roman" w:hAnsi="Times Roman"/>
          <w:rtl w:val="0"/>
          <w:lang w:val="en-US"/>
        </w:rPr>
        <w:t xml:space="preserve">. Research confirms that formalizing compliance is a crucial element of modern IT governance, particularly in regulated sectors. Frameworks such as </w:t>
      </w:r>
      <w:r>
        <w:rPr>
          <w:rFonts w:ascii="Times Roman" w:hAnsi="Times Roman"/>
          <w:b w:val="1"/>
          <w:bCs w:val="1"/>
          <w:rtl w:val="0"/>
          <w:lang w:val="en-US"/>
        </w:rPr>
        <w:t>ICOMPLY</w:t>
      </w:r>
      <w:r>
        <w:rPr>
          <w:rFonts w:ascii="Times Roman" w:hAnsi="Times Roman"/>
          <w:rtl w:val="0"/>
          <w:lang w:val="en-US"/>
        </w:rPr>
        <w:t xml:space="preserve"> provide a strong academic and technical justification for the mandatory </w:t>
      </w:r>
      <w:r>
        <w:rPr>
          <w:rFonts w:ascii="Times Roman" w:hAnsi="Times Roman"/>
          <w:b w:val="1"/>
          <w:bCs w:val="1"/>
          <w:rtl w:val="0"/>
          <w:lang w:val="en-US"/>
        </w:rPr>
        <w:t>Legal/Compliance Gateway Sign-Off</w:t>
      </w:r>
      <w:r>
        <w:rPr>
          <w:rFonts w:ascii="Times Roman" w:hAnsi="Times Roman"/>
          <w:rtl w:val="0"/>
          <w:lang w:val="en-US"/>
        </w:rPr>
        <w:t xml:space="preserve"> milestone in the Arborwood Cost Calculator project. This framework proposes that compliance checking must be an </w:t>
      </w:r>
      <w:r>
        <w:rPr>
          <w:rFonts w:ascii="Times Roman" w:hAnsi="Times Roman"/>
          <w:b w:val="1"/>
          <w:bCs w:val="1"/>
          <w:rtl w:val="0"/>
          <w:lang w:val="en-US"/>
        </w:rPr>
        <w:t>incremental, dynamic process</w:t>
      </w:r>
      <w:r>
        <w:rPr>
          <w:rFonts w:ascii="Times Roman" w:hAnsi="Times Roman"/>
          <w:rtl w:val="0"/>
          <w:lang w:val="en-US"/>
        </w:rPr>
        <w:t xml:space="preserve"> rather than a single, late-stage gate. By mandating a formal compliance review following the completion of UI/UX design, use case development, and requirements finalization, the ICOMPLY methodology ensures that the calculator's critical use cases, financial logic, and required disclaimers are vetted against complex regulatory requirements </w:t>
      </w:r>
      <w:r>
        <w:rPr>
          <w:rFonts w:ascii="Times Roman" w:hAnsi="Times Roman"/>
          <w:b w:val="1"/>
          <w:bCs w:val="1"/>
          <w:rtl w:val="0"/>
          <w:lang w:val="en-US"/>
        </w:rPr>
        <w:t>before</w:t>
      </w:r>
      <w:r>
        <w:rPr>
          <w:rFonts w:ascii="Times Roman" w:hAnsi="Times Roman"/>
          <w:rtl w:val="0"/>
          <w:lang w:val="en-US"/>
        </w:rPr>
        <w:t xml:space="preserve"> development resources are expended. This approach is a strategic necessity to avoid massive rework and financial penalties that would result from regulatory violations discovered late in the project lifecycle.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second theme is </w:t>
      </w:r>
      <w:r>
        <w:rPr>
          <w:rFonts w:ascii="Times Roman" w:hAnsi="Times Roman"/>
          <w:b w:val="1"/>
          <w:bCs w:val="1"/>
          <w:rtl w:val="0"/>
          <w:lang w:val="en-US"/>
        </w:rPr>
        <w:t>Data Integrity and Architectural Principles</w:t>
      </w:r>
      <w:r>
        <w:rPr>
          <w:rFonts w:ascii="Times Roman" w:hAnsi="Times Roman"/>
          <w:rtl w:val="0"/>
          <w:lang w:val="en-US"/>
        </w:rPr>
        <w:t xml:space="preserve">. The literature overwhelmingly validates the decision to integrate directly with the core administrative system. Modern system architecture must prioritize direct data access to core transaction systems to prevent data errors and system proliferation. This validation confirms the necessity of eliminating the manual file transfer process, which is the primary source of current risk. Research emphasizes the importance of a </w:t>
      </w:r>
      <w:r>
        <w:rPr>
          <w:rFonts w:ascii="Times Roman" w:hAnsi="Times Roman"/>
          <w:b w:val="1"/>
          <w:bCs w:val="1"/>
          <w:rtl w:val="0"/>
          <w:lang w:val="en-US"/>
        </w:rPr>
        <w:t>Single Source of Truth (SSOT)</w:t>
      </w:r>
      <w:r>
        <w:rPr>
          <w:rFonts w:ascii="Times Roman" w:hAnsi="Times Roman"/>
          <w:rtl w:val="0"/>
          <w:lang w:val="en-US"/>
        </w:rPr>
        <w:t xml:space="preserve"> model for Service Oriented Architecture (SOA), asserting that an organization must consolidate data access to a single, authoritative repository. This approach is critical for high-stakes financial data, as it eliminates conflicting data sources and ensures compliance with external reporting requirements. The proposed solution's adherence to the SSOT principle is therefore a foundational technical requirement, eliminating technical debt and establishing a highly auditable data pipeline.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third theme addressed </w:t>
      </w:r>
      <w:r>
        <w:rPr>
          <w:rFonts w:ascii="Times Roman" w:hAnsi="Times Roman"/>
          <w:b w:val="1"/>
          <w:bCs w:val="1"/>
          <w:rtl w:val="0"/>
          <w:lang w:val="en-US"/>
        </w:rPr>
        <w:t>Financial Transparency and Equity</w:t>
      </w:r>
      <w:r>
        <w:rPr>
          <w:rFonts w:ascii="Times Roman" w:hAnsi="Times Roman"/>
          <w:rtl w:val="0"/>
          <w:lang w:val="en-US"/>
        </w:rPr>
        <w:t xml:space="preserve">. This research provides the strategic equity justification for the entire project. Academic work, including doctoral dissertations focused on college-going behaviors, empirically demonstrates that the lack of clear, personalized financial information disproportionately hinders the enrollment and persistence of </w:t>
      </w:r>
      <w:r>
        <w:rPr>
          <w:rFonts w:ascii="Times Roman" w:hAnsi="Times Roman"/>
          <w:b w:val="1"/>
          <w:bCs w:val="1"/>
          <w:rtl w:val="0"/>
          <w:lang w:val="en-US"/>
        </w:rPr>
        <w:t>first-generation and racial-minority students</w:t>
      </w:r>
      <w:r>
        <w:rPr>
          <w:rFonts w:ascii="Times Roman" w:hAnsi="Times Roman"/>
          <w:rtl w:val="0"/>
          <w:lang w:val="en-US"/>
        </w:rPr>
        <w:t xml:space="preserve">. This research frames the cost calculator as a </w:t>
      </w:r>
      <w:r>
        <w:rPr>
          <w:rFonts w:ascii="Times Roman" w:hAnsi="Times Roman"/>
          <w:b w:val="1"/>
          <w:bCs w:val="1"/>
          <w:rtl w:val="0"/>
          <w:lang w:val="en-US"/>
        </w:rPr>
        <w:t>necessary tool for systemic change</w:t>
      </w:r>
      <w:r>
        <w:rPr>
          <w:rFonts w:ascii="Times Roman" w:hAnsi="Times Roman"/>
          <w:rtl w:val="0"/>
          <w:lang w:val="en-US"/>
        </w:rPr>
        <w:t xml:space="preserve"> that removes barriers to access by offering clarity, simplicity, and personalization in cost estimates. By addressing systemic communication hurdles, the project is positioned as a best-practice policy solution designed to improve financial and social mobility through education. This strategic priority aligns directly with Arborwood University's established mission and enhances its reputation as a progressive institution dedicated to equity.</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Self-Assessment and Description</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individual at the center of the "Gateway" project serves a role defined by the objective to transform regulatory risk into strategic, compliant business value. Professionally, the individual has functioned as both a </w:t>
      </w:r>
      <w:r>
        <w:rPr>
          <w:rFonts w:ascii="Times Roman" w:hAnsi="Times Roman"/>
          <w:b w:val="1"/>
          <w:bCs w:val="1"/>
          <w:rtl w:val="0"/>
          <w:lang w:val="en-US"/>
        </w:rPr>
        <w:t>Senior Business Analyst</w:t>
      </w:r>
      <w:r>
        <w:rPr>
          <w:rFonts w:ascii="Times Roman" w:hAnsi="Times Roman"/>
          <w:rtl w:val="0"/>
          <w:lang w:val="en-US"/>
        </w:rPr>
        <w:t xml:space="preserve">and a </w:t>
      </w:r>
      <w:r>
        <w:rPr>
          <w:rFonts w:ascii="Times Roman" w:hAnsi="Times Roman"/>
          <w:b w:val="1"/>
          <w:bCs w:val="1"/>
          <w:rtl w:val="0"/>
          <w:lang w:val="en-US"/>
        </w:rPr>
        <w:t>Project Manager</w:t>
      </w:r>
      <w:r>
        <w:rPr>
          <w:rFonts w:ascii="Times Roman" w:hAnsi="Times Roman"/>
          <w:rtl w:val="0"/>
        </w:rPr>
        <w:t xml:space="preserve"> for over </w:t>
      </w:r>
      <w:r>
        <w:rPr>
          <w:rFonts w:ascii="Times Roman" w:hAnsi="Times Roman"/>
          <w:b w:val="1"/>
          <w:bCs w:val="1"/>
          <w:rtl w:val="0"/>
          <w:lang w:val="en-US"/>
        </w:rPr>
        <w:t>twenty-five years</w:t>
      </w:r>
      <w:r>
        <w:rPr>
          <w:rFonts w:ascii="Times Roman" w:hAnsi="Times Roman"/>
          <w:rtl w:val="0"/>
          <w:lang w:val="en-US"/>
        </w:rPr>
        <w:t>, accumulating extensive experience across highly regulated sectors including financial services, healthcare, higher education, and insurance. This background has naturally cultivated a specialization in the complex intersection of IT execution and financial/regulatory compliance, an expertise directly required to successfully manage the unique risks of the "Gateway" initiative.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Relevant work experience is dominated by leading large-scale system integration and process automation projects. One such comparable project, referred to as the </w:t>
      </w:r>
      <w:r>
        <w:rPr>
          <w:rFonts w:ascii="Times Roman" w:hAnsi="Times Roman"/>
          <w:b w:val="1"/>
          <w:bCs w:val="1"/>
          <w:rtl w:val="0"/>
          <w:lang w:val="en-US"/>
        </w:rPr>
        <w:t>"Seedling" initiative</w:t>
      </w:r>
      <w:r>
        <w:rPr>
          <w:rFonts w:ascii="Times Roman" w:hAnsi="Times Roman"/>
          <w:rtl w:val="0"/>
          <w:lang w:val="en-US"/>
        </w:rPr>
        <w:t>, successfully automated financial data intake and data transmission to both internal and external systems while ensuring compliance across multiple enterprise systems. This history is directly relevant to the core technical challenge at Arborwood, which is replacing manual data with a reliable, real-time API integration to core administration systems that serve as the organizational source of truth. The deep understanding of data integration and ETL processes ensures that the high-stakes API and data integration effort that forms the technical core of the "Gateway" initiative will be executed with the necessary rigor, testing, and compliance focus.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individual</w:t>
      </w:r>
      <w:r>
        <w:rPr>
          <w:rFonts w:ascii="Times Roman" w:hAnsi="Times Roman" w:hint="default"/>
          <w:rtl w:val="1"/>
        </w:rPr>
        <w:t>’</w:t>
      </w:r>
      <w:r>
        <w:rPr>
          <w:rFonts w:ascii="Times Roman" w:hAnsi="Times Roman"/>
          <w:rtl w:val="0"/>
          <w:lang w:val="en-US"/>
        </w:rPr>
        <w:t xml:space="preserve">s primary </w:t>
      </w:r>
      <w:r>
        <w:rPr>
          <w:rFonts w:ascii="Times Roman" w:hAnsi="Times Roman"/>
          <w:b w:val="1"/>
          <w:bCs w:val="1"/>
          <w:rtl w:val="0"/>
          <w:lang w:val="en-US"/>
        </w:rPr>
        <w:t>strengths</w:t>
      </w:r>
      <w:r>
        <w:rPr>
          <w:rFonts w:ascii="Times Roman" w:hAnsi="Times Roman"/>
          <w:rtl w:val="0"/>
          <w:lang w:val="en-US"/>
        </w:rPr>
        <w:t xml:space="preserve"> are a lifelong commitment to learning and the robust ability to synthesize and translate abstract concepts into concrete, executable process and technical requirements. These skills were essential in designing the "Gateway" project plan, particularly in identifying the threat that non-compliance brought to bear on the viability of the final deliverable. This insight, leveraged with a strong project management background, was used to develop the non-negotiable legal milestone that follows final design, use case development, and requirements approval. Furthermore, hard-won acumen in data and integration allows for the effective management of the complexities of the API build, which is the project's technical core.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primary </w:t>
      </w:r>
      <w:r>
        <w:rPr>
          <w:rFonts w:ascii="Times Roman" w:hAnsi="Times Roman"/>
          <w:b w:val="1"/>
          <w:bCs w:val="1"/>
          <w:rtl w:val="0"/>
          <w:lang w:val="en-US"/>
        </w:rPr>
        <w:t>weakness</w:t>
      </w:r>
      <w:r>
        <w:rPr>
          <w:rFonts w:ascii="Times Roman" w:hAnsi="Times Roman"/>
          <w:rtl w:val="0"/>
          <w:lang w:val="en-US"/>
        </w:rPr>
        <w:t xml:space="preserve"> acknowledged is a natural bias toward process and structure, which can be perceived as </w:t>
      </w:r>
      <w:r>
        <w:rPr>
          <w:rFonts w:ascii="Times Roman" w:hAnsi="Times Roman"/>
          <w:b w:val="1"/>
          <w:bCs w:val="1"/>
          <w:rtl w:val="0"/>
          <w:lang w:val="en-US"/>
        </w:rPr>
        <w:t>rigidity or being overly risk-averse</w:t>
      </w:r>
      <w:r>
        <w:rPr>
          <w:rFonts w:ascii="Times Roman" w:hAnsi="Times Roman"/>
          <w:rtl w:val="0"/>
          <w:lang w:val="en-US"/>
        </w:rPr>
        <w:t>, particularly by the fast-moving and agile marketing team. To counteract this potential hindrance, the individual actively works to build processes that are mostly transparent to the business, protecting technical resources from potential scope creep and project failure while maintaining an open mind toward scope adjustments that do not violate legal constraints. Furthermore, this rigidity is counteracted by proactively engaging the business owner and framing the governance structure</w:t>
      </w:r>
      <w:r>
        <w:rPr>
          <w:rFonts w:ascii="Times Roman" w:hAnsi="Times Roman" w:hint="default"/>
          <w:rtl w:val="0"/>
          <w:lang w:val="en-US"/>
        </w:rPr>
        <w:t>—</w:t>
      </w:r>
      <w:r>
        <w:rPr>
          <w:rFonts w:ascii="Times Roman" w:hAnsi="Times Roman"/>
          <w:rtl w:val="0"/>
          <w:lang w:val="en-US"/>
        </w:rPr>
        <w:t>the Compliance Gateway</w:t>
      </w:r>
      <w:r>
        <w:rPr>
          <w:rFonts w:ascii="Times Roman" w:hAnsi="Times Roman" w:hint="default"/>
          <w:rtl w:val="0"/>
          <w:lang w:val="en-US"/>
        </w:rPr>
        <w:t>—</w:t>
      </w:r>
      <w:r>
        <w:rPr>
          <w:rFonts w:ascii="Times Roman" w:hAnsi="Times Roman"/>
          <w:rtl w:val="0"/>
          <w:lang w:val="en-US"/>
        </w:rPr>
        <w:t xml:space="preserve">as a </w:t>
      </w:r>
      <w:r>
        <w:rPr>
          <w:rFonts w:ascii="Times Roman" w:hAnsi="Times Roman"/>
          <w:b w:val="1"/>
          <w:bCs w:val="1"/>
          <w:rtl w:val="0"/>
          <w:lang w:val="en-US"/>
        </w:rPr>
        <w:t>safeguard for brand reputation and executive liability</w:t>
      </w:r>
      <w:r>
        <w:rPr>
          <w:rFonts w:ascii="Times Roman" w:hAnsi="Times Roman"/>
          <w:rtl w:val="0"/>
          <w:lang w:val="en-US"/>
        </w:rPr>
        <w:t xml:space="preserve"> rather than a mere bureaucratic roadblock.</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Action Learning Process Summary</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integrated action learning process was instrumental in the structured planning of the "Gateway" project, providing a disciplined opportunity to explore the high-stakes project outside of the frantic, compressed pace of a working environment. This unique setting contributed directly to a disciplined, </w:t>
      </w:r>
      <w:r>
        <w:rPr>
          <w:rFonts w:ascii="Times Roman" w:hAnsi="Times Roman"/>
          <w:b w:val="1"/>
          <w:bCs w:val="1"/>
          <w:rtl w:val="0"/>
          <w:lang w:val="en-US"/>
        </w:rPr>
        <w:t>research-first approach</w:t>
      </w:r>
      <w:r>
        <w:rPr>
          <w:rFonts w:ascii="Times Roman" w:hAnsi="Times Roman"/>
          <w:rtl w:val="0"/>
          <w:lang w:val="en-US"/>
        </w:rPr>
        <w:t>. The requirement to furnish substantive rationale beyond anecdotal evidence prompted the grounding of every major decision and architectural choice in high-quality academic and policy literature. For instance, the decision to implement the legal/compliance gate was directly substantiated by the ICOMPLY framework, while the commitment to the SSOT principle was validated by academic papers on Service Oriented Architecture.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iterative process of continuous reflection and proactive stakeholder alignment proved to be a critical lesson, particularly in managing the individual</w:t>
      </w:r>
      <w:r>
        <w:rPr>
          <w:rFonts w:ascii="Times Roman" w:hAnsi="Times Roman" w:hint="default"/>
          <w:rtl w:val="1"/>
        </w:rPr>
        <w:t>’</w:t>
      </w:r>
      <w:r>
        <w:rPr>
          <w:rFonts w:ascii="Times Roman" w:hAnsi="Times Roman"/>
          <w:rtl w:val="0"/>
          <w:lang w:val="en-US"/>
        </w:rPr>
        <w:t xml:space="preserve">s natural bias toward process and structure. The initial inclination toward heavy control was mitigated by engaging the site supervisor and other business owners, ensuring the necessary governance structure was ultimately viewed as a </w:t>
      </w:r>
      <w:r>
        <w:rPr>
          <w:rFonts w:ascii="Times Roman" w:hAnsi="Times Roman"/>
          <w:b w:val="1"/>
          <w:bCs w:val="1"/>
          <w:rtl w:val="0"/>
          <w:lang w:val="en-US"/>
        </w:rPr>
        <w:t>shared safeguard</w:t>
      </w:r>
      <w:r>
        <w:rPr>
          <w:rFonts w:ascii="Times Roman" w:hAnsi="Times Roman"/>
          <w:rtl w:val="0"/>
          <w:lang w:val="en-US"/>
        </w:rPr>
        <w:t xml:space="preserve"> and a structured path to success, rather than an impediment. The lesson learned is the importance of continuous, proactive stakeholder alignment to ensure governance is accepted. This iterative process of reflection and adjustment</w:t>
      </w:r>
      <w:r>
        <w:rPr>
          <w:rFonts w:ascii="Times Roman" w:hAnsi="Times Roman" w:hint="default"/>
          <w:rtl w:val="0"/>
          <w:lang w:val="en-US"/>
        </w:rPr>
        <w:t>—</w:t>
      </w:r>
      <w:r>
        <w:rPr>
          <w:rFonts w:ascii="Times Roman" w:hAnsi="Times Roman"/>
          <w:rtl w:val="0"/>
          <w:lang w:val="en-US"/>
        </w:rPr>
        <w:t xml:space="preserve">moving from </w:t>
      </w:r>
      <w:r>
        <w:rPr>
          <w:rFonts w:ascii="Times Roman" w:hAnsi="Times Roman"/>
          <w:b w:val="1"/>
          <w:bCs w:val="1"/>
          <w:rtl w:val="0"/>
          <w:lang w:val="it-IT"/>
        </w:rPr>
        <w:t>"Germinate"</w:t>
      </w:r>
      <w:r>
        <w:rPr>
          <w:rFonts w:ascii="Times Roman" w:hAnsi="Times Roman"/>
          <w:rtl w:val="0"/>
          <w:lang w:val="en-US"/>
        </w:rPr>
        <w:t xml:space="preserve"> to </w:t>
      </w:r>
      <w:r>
        <w:rPr>
          <w:rFonts w:ascii="Times Roman" w:hAnsi="Times Roman"/>
          <w:b w:val="1"/>
          <w:bCs w:val="1"/>
          <w:rtl w:val="0"/>
          <w:lang w:val="en-US"/>
        </w:rPr>
        <w:t>"Seedling"</w:t>
      </w:r>
      <w:r>
        <w:rPr>
          <w:rFonts w:ascii="Times Roman" w:hAnsi="Times Roman"/>
          <w:rtl w:val="0"/>
          <w:lang w:val="en-US"/>
        </w:rPr>
        <w:t xml:space="preserve"> in the project's conceptual naming</w:t>
      </w:r>
      <w:r>
        <w:rPr>
          <w:rFonts w:ascii="Times Roman" w:hAnsi="Times Roman" w:hint="default"/>
          <w:rtl w:val="0"/>
          <w:lang w:val="en-US"/>
        </w:rPr>
        <w:t>—</w:t>
      </w:r>
      <w:r>
        <w:rPr>
          <w:rFonts w:ascii="Times Roman" w:hAnsi="Times Roman"/>
          <w:rtl w:val="0"/>
          <w:lang w:val="en-US"/>
        </w:rPr>
        <w:t>is the single greatest lesson that will be carried into all future planning pursuits.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Solution(s) Analysis</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solution formally proposed for the "Gateway" initiative recognizes that the challenge is dual: a matter of </w:t>
      </w:r>
      <w:r>
        <w:rPr>
          <w:rFonts w:ascii="Times Roman" w:hAnsi="Times Roman"/>
          <w:b w:val="1"/>
          <w:bCs w:val="1"/>
          <w:rtl w:val="0"/>
          <w:lang w:val="en-US"/>
        </w:rPr>
        <w:t>technical execution</w:t>
      </w:r>
      <w:r>
        <w:rPr>
          <w:rFonts w:ascii="Times Roman" w:hAnsi="Times Roman"/>
          <w:rtl w:val="0"/>
          <w:lang w:val="en-US"/>
        </w:rPr>
        <w:t xml:space="preserve"> to achieve data availability and a matter of </w:t>
      </w:r>
      <w:r>
        <w:rPr>
          <w:rFonts w:ascii="Times Roman" w:hAnsi="Times Roman"/>
          <w:b w:val="1"/>
          <w:bCs w:val="1"/>
          <w:rtl w:val="0"/>
          <w:lang w:val="en-US"/>
        </w:rPr>
        <w:t>governance risk</w:t>
      </w:r>
      <w:r>
        <w:rPr>
          <w:rFonts w:ascii="Times Roman" w:hAnsi="Times Roman"/>
          <w:rtl w:val="0"/>
          <w:lang w:val="en-US"/>
        </w:rPr>
        <w:t xml:space="preserve"> to ensure legal compliance. The integrated solution addresses both aspects through two foundational components.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w:t>
      </w:r>
      <w:r>
        <w:rPr>
          <w:rFonts w:ascii="Times Roman" w:hAnsi="Times Roman"/>
          <w:b w:val="1"/>
          <w:bCs w:val="1"/>
          <w:rtl w:val="0"/>
          <w:lang w:val="en-US"/>
        </w:rPr>
        <w:t>first solution component</w:t>
      </w:r>
      <w:r>
        <w:rPr>
          <w:rFonts w:ascii="Times Roman" w:hAnsi="Times Roman"/>
          <w:rtl w:val="0"/>
          <w:lang w:val="en-US"/>
        </w:rPr>
        <w:t xml:space="preserve"> is the inclusion of a mandatory, non-technical checkpoint requiring </w:t>
      </w:r>
      <w:r>
        <w:rPr>
          <w:rFonts w:ascii="Times Roman" w:hAnsi="Times Roman"/>
          <w:b w:val="1"/>
          <w:bCs w:val="1"/>
          <w:rtl w:val="0"/>
          <w:lang w:val="en-US"/>
        </w:rPr>
        <w:t>formal legal and compliance approval</w:t>
      </w:r>
      <w:r>
        <w:rPr>
          <w:rFonts w:ascii="Times Roman" w:hAnsi="Times Roman"/>
          <w:rtl w:val="0"/>
          <w:lang w:val="en-US"/>
        </w:rPr>
        <w:t xml:space="preserve"> after requirements are defined but before any code is written. This </w:t>
      </w:r>
      <w:r>
        <w:rPr>
          <w:rFonts w:ascii="Times Roman" w:hAnsi="Times Roman"/>
          <w:b w:val="1"/>
          <w:bCs w:val="1"/>
          <w:rtl w:val="0"/>
          <w:lang w:val="en-US"/>
        </w:rPr>
        <w:t>Compliance Gateway</w:t>
      </w:r>
      <w:r>
        <w:rPr>
          <w:rFonts w:ascii="Times Roman" w:hAnsi="Times Roman"/>
          <w:rtl w:val="0"/>
          <w:lang w:val="en-US"/>
        </w:rPr>
        <w:t xml:space="preserve"> serves to mitigate the risk of regulatory violations by mandating a thorough legal review of all project deliverables, including the financial logic, required disclaimers, and user experience, and formally approving them. This action effectively embeds legal approval directly into the project lifecycle, preventing costly rework.</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w:t>
      </w:r>
      <w:r>
        <w:rPr>
          <w:rFonts w:ascii="Times Roman" w:hAnsi="Times Roman"/>
          <w:b w:val="1"/>
          <w:bCs w:val="1"/>
          <w:rtl w:val="0"/>
          <w:lang w:val="en-US"/>
        </w:rPr>
        <w:t>second solution component</w:t>
      </w:r>
      <w:r>
        <w:rPr>
          <w:rFonts w:ascii="Times Roman" w:hAnsi="Times Roman"/>
          <w:rtl w:val="0"/>
          <w:lang w:val="en-US"/>
        </w:rPr>
        <w:t xml:space="preserve"> is the </w:t>
      </w:r>
      <w:r>
        <w:rPr>
          <w:rFonts w:ascii="Times Roman" w:hAnsi="Times Roman"/>
          <w:b w:val="1"/>
          <w:bCs w:val="1"/>
          <w:rtl w:val="0"/>
          <w:lang w:val="en-US"/>
        </w:rPr>
        <w:t>API integration layer</w:t>
      </w:r>
      <w:r>
        <w:rPr>
          <w:rFonts w:ascii="Times Roman" w:hAnsi="Times Roman"/>
          <w:rtl w:val="0"/>
          <w:lang w:val="en-US"/>
        </w:rPr>
        <w:t xml:space="preserve"> that replaces the existing manual data entry and file-based updates with a direct, automated, and secure API call to the core student administration system. This system is the definitive, transaction-critical source of truth for all tuition and cost data.</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w:t>
      </w:r>
      <w:r>
        <w:rPr>
          <w:rFonts w:ascii="Times Roman" w:hAnsi="Times Roman"/>
          <w:b w:val="1"/>
          <w:bCs w:val="1"/>
          <w:rtl w:val="0"/>
          <w:lang w:val="en-US"/>
        </w:rPr>
        <w:t>Model and Architecture</w:t>
      </w:r>
      <w:r>
        <w:rPr>
          <w:rFonts w:ascii="Times Roman" w:hAnsi="Times Roman"/>
          <w:rtl w:val="0"/>
          <w:lang w:val="en-US"/>
        </w:rPr>
        <w:t xml:space="preserve"> proposed employs a </w:t>
      </w:r>
      <w:r>
        <w:rPr>
          <w:rFonts w:ascii="Times Roman" w:hAnsi="Times Roman"/>
          <w:b w:val="1"/>
          <w:bCs w:val="1"/>
          <w:rtl w:val="0"/>
          <w:lang w:val="en-US"/>
        </w:rPr>
        <w:t>microservice architecture</w:t>
      </w:r>
      <w:r>
        <w:rPr>
          <w:rFonts w:ascii="Times Roman" w:hAnsi="Times Roman"/>
          <w:rtl w:val="0"/>
          <w:lang w:val="en-US"/>
        </w:rPr>
        <w:t xml:space="preserve"> centered around an </w:t>
      </w:r>
      <w:r>
        <w:rPr>
          <w:rFonts w:ascii="Times Roman" w:hAnsi="Times Roman"/>
          <w:b w:val="1"/>
          <w:bCs w:val="1"/>
          <w:rtl w:val="0"/>
          <w:lang w:val="en-US"/>
        </w:rPr>
        <w:t>API gateway pattern</w:t>
      </w:r>
      <w:r>
        <w:rPr>
          <w:rFonts w:ascii="Times Roman" w:hAnsi="Times Roman"/>
          <w:rtl w:val="0"/>
          <w:lang w:val="en-US"/>
        </w:rPr>
        <w:t xml:space="preserve">. This architectural choice adheres strongly to the IT principle of </w:t>
      </w:r>
      <w:r>
        <w:rPr>
          <w:rFonts w:ascii="Times Roman" w:hAnsi="Times Roman"/>
          <w:b w:val="1"/>
          <w:bCs w:val="1"/>
          <w:rtl w:val="0"/>
          <w:lang w:val="en-US"/>
        </w:rPr>
        <w:t>Separation of Concerns</w:t>
      </w:r>
      <w:r>
        <w:rPr>
          <w:rFonts w:ascii="Times Roman" w:hAnsi="Times Roman"/>
          <w:rtl w:val="0"/>
          <w:lang w:val="en-US"/>
        </w:rPr>
        <w:t xml:space="preserve">, effectively isolating the user-facing front-end component from the sensitive, transaction-critical data sources held within the administrative system. The front-end user experience will be delivered via a new component residing within the </w:t>
      </w:r>
      <w:r>
        <w:rPr>
          <w:rFonts w:ascii="Times Roman" w:hAnsi="Times Roman"/>
          <w:b w:val="1"/>
          <w:bCs w:val="1"/>
          <w:rtl w:val="0"/>
          <w:lang w:val="en-US"/>
        </w:rPr>
        <w:t>Adobe Experience Manager (AEM)</w:t>
      </w:r>
      <w:r>
        <w:rPr>
          <w:rFonts w:ascii="Times Roman" w:hAnsi="Times Roman"/>
          <w:rtl w:val="0"/>
          <w:lang w:val="en-US"/>
        </w:rPr>
        <w:t xml:space="preserve"> content management system. The architecture is designed to enforce the </w:t>
      </w:r>
      <w:r>
        <w:rPr>
          <w:rFonts w:ascii="Times Roman" w:hAnsi="Times Roman"/>
          <w:b w:val="1"/>
          <w:bCs w:val="1"/>
          <w:rtl w:val="0"/>
          <w:lang w:val="en-US"/>
        </w:rPr>
        <w:t>Single Source of Truth (SSOT)</w:t>
      </w:r>
      <w:r>
        <w:rPr>
          <w:rFonts w:ascii="Times Roman" w:hAnsi="Times Roman"/>
          <w:rtl w:val="0"/>
          <w:lang w:val="en-US"/>
        </w:rPr>
        <w:t xml:space="preserve">principle, which is established as the highest-ranking IT principle for this project. The SSOT model eliminates conflicting data sources, ensures data integrity, and is the technical mechanism that guarantees compliance with the financial transparency requirements of the </w:t>
      </w:r>
      <w:r>
        <w:rPr>
          <w:rFonts w:ascii="Times Roman" w:hAnsi="Times Roman"/>
          <w:b w:val="1"/>
          <w:bCs w:val="1"/>
          <w:rtl w:val="0"/>
          <w:lang w:val="en-US"/>
        </w:rPr>
        <w:t>Higher Education Act</w:t>
      </w:r>
      <w:r>
        <w:rPr>
          <w:rFonts w:ascii="Times Roman" w:hAnsi="Times Roman"/>
          <w:rtl w:val="0"/>
          <w:lang w:val="en-US"/>
        </w:rPr>
        <w:t>. The recommendation is to use secure, modern API technologies to establish this real-time data flow, which keeps Arborwood's data infrastructure in line with the industry-wide trend of personalization and real-time data access.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Needs and Risk Analysis</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analysis of organizational needs confirms that the proposed solution directly addresses the institutional need for </w:t>
      </w:r>
      <w:r>
        <w:rPr>
          <w:rFonts w:ascii="Times Roman" w:hAnsi="Times Roman"/>
          <w:b w:val="1"/>
          <w:bCs w:val="1"/>
          <w:rtl w:val="0"/>
          <w:lang w:val="en-US"/>
        </w:rPr>
        <w:t>statutorily-compliant cost disclosure</w:t>
      </w:r>
      <w:r>
        <w:rPr>
          <w:rFonts w:ascii="Times Roman" w:hAnsi="Times Roman"/>
          <w:rtl w:val="0"/>
          <w:lang w:val="en-US"/>
        </w:rPr>
        <w:t xml:space="preserve"> while simultaneously addressing the key stakeholder need for </w:t>
      </w:r>
      <w:r>
        <w:rPr>
          <w:rFonts w:ascii="Times Roman" w:hAnsi="Times Roman"/>
          <w:b w:val="1"/>
          <w:bCs w:val="1"/>
          <w:rtl w:val="0"/>
          <w:lang w:val="en-US"/>
        </w:rPr>
        <w:t>accurate, personalized cost estimates</w:t>
      </w:r>
      <w:r>
        <w:rPr>
          <w:rFonts w:ascii="Times Roman" w:hAnsi="Times Roman"/>
          <w:rtl w:val="0"/>
          <w:lang w:val="en-US"/>
        </w:rPr>
        <w:t xml:space="preserve"> that drive the critical enrollment growth metric. The solution aligns with the university</w:t>
      </w:r>
      <w:r>
        <w:rPr>
          <w:rFonts w:ascii="Times Roman" w:hAnsi="Times Roman" w:hint="default"/>
          <w:rtl w:val="1"/>
        </w:rPr>
        <w:t>’</w:t>
      </w:r>
      <w:r>
        <w:rPr>
          <w:rFonts w:ascii="Times Roman" w:hAnsi="Times Roman"/>
          <w:rtl w:val="0"/>
          <w:lang w:val="en-US"/>
        </w:rPr>
        <w:t>s mission to foster economic and social mobility by providing prospective students with the necessary financial clarity to make informed decisions.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initiative, however, faces two significant high-priority </w:t>
      </w:r>
      <w:r>
        <w:rPr>
          <w:rFonts w:ascii="Times Roman" w:hAnsi="Times Roman"/>
          <w:b w:val="1"/>
          <w:bCs w:val="1"/>
          <w:rtl w:val="0"/>
        </w:rPr>
        <w:t>risks</w:t>
      </w:r>
      <w:r>
        <w:rPr>
          <w:rFonts w:ascii="Times Roman" w:hAnsi="Times Roman"/>
          <w:rtl w:val="0"/>
          <w:lang w:val="en-US"/>
        </w:rPr>
        <w:t xml:space="preserve"> to its delivery and long-term viability: </w:t>
      </w:r>
      <w:r>
        <w:rPr>
          <w:rFonts w:ascii="Times Roman" w:hAnsi="Times Roman"/>
          <w:b w:val="1"/>
          <w:bCs w:val="1"/>
          <w:rtl w:val="0"/>
          <w:lang w:val="en-US"/>
        </w:rPr>
        <w:t>subject-matter expert (SME) resource constraints</w:t>
      </w:r>
      <w:r>
        <w:rPr>
          <w:rFonts w:ascii="Times Roman" w:hAnsi="Times Roman"/>
          <w:rtl w:val="0"/>
          <w:lang w:val="en-US"/>
        </w:rPr>
        <w:t xml:space="preserve"> and the potential for </w:t>
      </w:r>
      <w:r>
        <w:rPr>
          <w:rFonts w:ascii="Times Roman" w:hAnsi="Times Roman"/>
          <w:b w:val="1"/>
          <w:bCs w:val="1"/>
          <w:rtl w:val="0"/>
          <w:lang w:val="en-US"/>
        </w:rPr>
        <w:t>data integrity failure</w:t>
      </w:r>
      <w:r>
        <w:rPr>
          <w:rFonts w:ascii="Times Roman" w:hAnsi="Times Roman"/>
          <w:rtl w:val="0"/>
        </w:rPr>
        <w: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w:t>
      </w:r>
      <w:r>
        <w:rPr>
          <w:rFonts w:ascii="Times Roman" w:hAnsi="Times Roman"/>
          <w:b w:val="1"/>
          <w:bCs w:val="1"/>
          <w:rtl w:val="0"/>
          <w:lang w:val="en-US"/>
        </w:rPr>
        <w:t>SME resource constraint</w:t>
      </w:r>
      <w:r>
        <w:rPr>
          <w:rFonts w:ascii="Times Roman" w:hAnsi="Times Roman"/>
          <w:rtl w:val="0"/>
          <w:lang w:val="en-US"/>
        </w:rPr>
        <w:t xml:space="preserve"> risk is driven by the fact that both the IT and marketing teams are dependent on specialized subject matter expert resources within the teams that own and manage the student administration system. There is a distinct possibility that the IT team may not be able to secure adequate bandwidth from these SMEs during the "Gateway</w:t>
      </w:r>
      <w:r>
        <w:rPr>
          <w:rFonts w:ascii="Times Roman" w:hAnsi="Times Roman" w:hint="default"/>
          <w:rtl w:val="1"/>
        </w:rPr>
        <w:t>’</w:t>
      </w:r>
      <w:r>
        <w:rPr>
          <w:rFonts w:ascii="Times Roman" w:hAnsi="Times Roman"/>
          <w:rtl w:val="0"/>
          <w:lang w:val="en-US"/>
        </w:rPr>
        <w:t xml:space="preserve">s" lifecycle, which would impede the crucial definition of the necessary API endpoints and the validation of data fidelity. If the data endpoints are improperly defined or validated, the integrity of the real-time data flow will be compromised, leading directly back to the initial problem of non-compliant disclosure. This risk is actively mitigated by a </w:t>
      </w:r>
      <w:r>
        <w:rPr>
          <w:rFonts w:ascii="Times Roman" w:hAnsi="Times Roman"/>
          <w:b w:val="1"/>
          <w:bCs w:val="1"/>
          <w:rtl w:val="0"/>
          <w:lang w:val="en-US"/>
        </w:rPr>
        <w:t>mandate via executive sponsorship</w:t>
      </w:r>
      <w:r>
        <w:rPr>
          <w:rFonts w:ascii="Times Roman" w:hAnsi="Times Roman"/>
          <w:rtl w:val="0"/>
          <w:lang w:val="en-US"/>
        </w:rPr>
        <w:t xml:space="preserve"> that secures dedicated, guaranteed time from the administrative system SMEs, forcing resource allocation to the highest priority project.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w:t>
      </w:r>
      <w:r>
        <w:rPr>
          <w:rFonts w:ascii="Times Roman" w:hAnsi="Times Roman"/>
          <w:b w:val="1"/>
          <w:bCs w:val="1"/>
          <w:rtl w:val="0"/>
          <w:lang w:val="en-US"/>
        </w:rPr>
        <w:t>data integrity failure</w:t>
      </w:r>
      <w:r>
        <w:rPr>
          <w:rFonts w:ascii="Times Roman" w:hAnsi="Times Roman"/>
          <w:rtl w:val="0"/>
          <w:lang w:val="en-US"/>
        </w:rPr>
        <w:t xml:space="preserve"> risk is mitigated through two mandatory technical and governance controls. First, the risk is managed by the mandatory </w:t>
      </w:r>
      <w:r>
        <w:rPr>
          <w:rFonts w:ascii="Times Roman" w:hAnsi="Times Roman"/>
          <w:b w:val="1"/>
          <w:bCs w:val="1"/>
          <w:rtl w:val="0"/>
          <w:lang w:val="en-US"/>
        </w:rPr>
        <w:t>legal/compliance approval gateway</w:t>
      </w:r>
      <w:r>
        <w:rPr>
          <w:rFonts w:ascii="Times Roman" w:hAnsi="Times Roman"/>
          <w:rtl w:val="0"/>
          <w:lang w:val="en-US"/>
        </w:rPr>
        <w:t xml:space="preserve">, which requires thorough vetting of all financial logic and disclaimers before development begins. Second, it is mitigated by </w:t>
      </w:r>
      <w:r>
        <w:rPr>
          <w:rFonts w:ascii="Times Roman" w:hAnsi="Times Roman"/>
          <w:b w:val="1"/>
          <w:bCs w:val="1"/>
          <w:rtl w:val="0"/>
          <w:lang w:val="en-US"/>
        </w:rPr>
        <w:t>mandatory one hundred percent automated integration testing</w:t>
      </w:r>
      <w:r>
        <w:rPr>
          <w:rFonts w:ascii="Times Roman" w:hAnsi="Times Roman"/>
          <w:rtl w:val="0"/>
          <w:lang w:val="en-US"/>
        </w:rPr>
        <w:t>, which ensures the new API call successfully fetches and standardizes real-time cost data from the core system, and that the AEM calculator component demonstrates one hundred percent functional accuracy across all tested financial and transfer scenarios defined in the use cases.</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Stakeholder communication</w:t>
      </w:r>
      <w:r>
        <w:rPr>
          <w:rFonts w:ascii="Times Roman" w:hAnsi="Times Roman"/>
          <w:rtl w:val="0"/>
          <w:lang w:val="en-US"/>
        </w:rPr>
        <w:t xml:space="preserve"> is tailored by audience and frequency to ensure transparency and accountability. The </w:t>
      </w:r>
      <w:r>
        <w:rPr>
          <w:rFonts w:ascii="Times Roman" w:hAnsi="Times Roman"/>
          <w:b w:val="1"/>
          <w:bCs w:val="1"/>
          <w:rtl w:val="0"/>
          <w:lang w:val="en-US"/>
        </w:rPr>
        <w:t>Steering Committee (Executive)</w:t>
      </w:r>
      <w:r>
        <w:rPr>
          <w:rFonts w:ascii="Times Roman" w:hAnsi="Times Roman"/>
          <w:rtl w:val="0"/>
          <w:lang w:val="en-US"/>
        </w:rPr>
        <w:t xml:space="preserve"> will receive bi-weekly briefings focused primarily on </w:t>
      </w:r>
      <w:r>
        <w:rPr>
          <w:rFonts w:ascii="Times Roman" w:hAnsi="Times Roman"/>
          <w:b w:val="1"/>
          <w:bCs w:val="1"/>
          <w:rtl w:val="0"/>
          <w:lang w:val="en-US"/>
        </w:rPr>
        <w:t>risk register updates, resource concerns, and formal sign-off requests</w:t>
      </w:r>
      <w:r>
        <w:rPr>
          <w:rFonts w:ascii="Times Roman" w:hAnsi="Times Roman"/>
          <w:rtl w:val="0"/>
          <w:lang w:val="en-US"/>
        </w:rPr>
        <w:t xml:space="preserve"> to ensure the executive team is fully aware of and accountable for resource allocation against the critical risks. Business stakeholders and others with a vested interest in the project</w:t>
      </w:r>
      <w:r>
        <w:rPr>
          <w:rFonts w:ascii="Times Roman" w:hAnsi="Times Roman" w:hint="default"/>
          <w:rtl w:val="1"/>
        </w:rPr>
        <w:t>’</w:t>
      </w:r>
      <w:r>
        <w:rPr>
          <w:rFonts w:ascii="Times Roman" w:hAnsi="Times Roman"/>
          <w:rtl w:val="0"/>
          <w:lang w:val="en-US"/>
        </w:rPr>
        <w:t xml:space="preserve">s outcome will be furnished with </w:t>
      </w:r>
      <w:r>
        <w:rPr>
          <w:rFonts w:ascii="Times Roman" w:hAnsi="Times Roman"/>
          <w:b w:val="1"/>
          <w:bCs w:val="1"/>
          <w:rtl w:val="0"/>
          <w:lang w:val="en-US"/>
        </w:rPr>
        <w:t>weekly status reports</w:t>
      </w:r>
      <w:r>
        <w:rPr>
          <w:rFonts w:ascii="Times Roman" w:hAnsi="Times Roman"/>
          <w:rtl w:val="0"/>
          <w:lang w:val="en-US"/>
        </w:rPr>
        <w:t xml:space="preserve"> that provide essential information about project health, timeline updates, deliverable status, and risk updates. Technical and development teams will hold daily meetings focused on integration, UI/UX development, and testing. This disciplined communication structure ensures the critical link between regulatory compliance and technical execution remains transparent to all leaders, providing a clear and managed path to institutional compliance.</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Legal, Ethical, and Policy Analysis</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solutions designed for the "Gateway" initiative must be viewed through a tripartite lens of legal, ethical, and policy implications, as the project is inherently regulatory in nature.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From a </w:t>
      </w:r>
      <w:r>
        <w:rPr>
          <w:rFonts w:ascii="Times Roman" w:hAnsi="Times Roman"/>
          <w:b w:val="1"/>
          <w:bCs w:val="1"/>
          <w:rtl w:val="0"/>
          <w:lang w:val="en-US"/>
        </w:rPr>
        <w:t>legal standpoint</w:t>
      </w:r>
      <w:r>
        <w:rPr>
          <w:rFonts w:ascii="Times Roman" w:hAnsi="Times Roman"/>
          <w:rtl w:val="0"/>
          <w:lang w:val="en-US"/>
        </w:rPr>
        <w:t xml:space="preserve">, the core challenge is adherence to the </w:t>
      </w:r>
      <w:r>
        <w:rPr>
          <w:rFonts w:ascii="Times Roman" w:hAnsi="Times Roman"/>
          <w:b w:val="1"/>
          <w:bCs w:val="1"/>
          <w:rtl w:val="0"/>
          <w:lang w:val="en-US"/>
        </w:rPr>
        <w:t>Higher Education Act of 1965</w:t>
      </w:r>
      <w:r>
        <w:rPr>
          <w:rFonts w:ascii="Times Roman" w:hAnsi="Times Roman"/>
          <w:rtl w:val="0"/>
          <w:lang w:val="en-US"/>
        </w:rPr>
        <w:t xml:space="preserve"> and related federal regulations concerning financial aid disclosure and cost transparency. The project's current reliance on manual data entry to satisfy this disclosure creates a critical vulnerability. The proposed API integration and SSOT model are the technical solutions to this legal risk, ensuring that the cost information published on the commercial site is directly traceable, auditable, and compliant with all statutory requirements, significantly reducing the organization</w:t>
      </w:r>
      <w:r>
        <w:rPr>
          <w:rFonts w:ascii="Times Roman" w:hAnsi="Times Roman" w:hint="default"/>
          <w:rtl w:val="1"/>
        </w:rPr>
        <w:t>’</w:t>
      </w:r>
      <w:r>
        <w:rPr>
          <w:rFonts w:ascii="Times Roman" w:hAnsi="Times Roman"/>
          <w:rtl w:val="0"/>
          <w:lang w:val="en-US"/>
        </w:rPr>
        <w:t>s exposure to regulatory penalties or lawsuits stemming from financial misrepresentation. The legal review milestone is the formal mechanism for confirming compliance before the risk can materialize in the public sphere.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project is profoundly rooted in an </w:t>
      </w:r>
      <w:r>
        <w:rPr>
          <w:rFonts w:ascii="Times Roman" w:hAnsi="Times Roman"/>
          <w:b w:val="1"/>
          <w:bCs w:val="1"/>
          <w:rtl w:val="0"/>
          <w:lang w:val="en-US"/>
        </w:rPr>
        <w:t>ethical imperative of equity and transparency</w:t>
      </w:r>
      <w:r>
        <w:rPr>
          <w:rFonts w:ascii="Times Roman" w:hAnsi="Times Roman"/>
          <w:rtl w:val="0"/>
          <w:lang w:val="en-US"/>
        </w:rPr>
        <w:t xml:space="preserve">. As noted in the literature review, the current lack of precise, personalized financial information disproportionately </w:t>
      </w:r>
      <w:r>
        <w:rPr>
          <w:rFonts w:ascii="Times Roman" w:hAnsi="Times Roman"/>
          <w:b w:val="1"/>
          <w:bCs w:val="1"/>
          <w:rtl w:val="0"/>
          <w:lang w:val="en-US"/>
        </w:rPr>
        <w:t>hinders the enrollment and persistence of minority and low-income students</w:t>
      </w:r>
      <w:r>
        <w:rPr>
          <w:rFonts w:ascii="Times Roman" w:hAnsi="Times Roman"/>
          <w:rtl w:val="0"/>
          <w:lang w:val="en-US"/>
        </w:rPr>
        <w:t xml:space="preserve">. The ethical duty of the institution, aligned with its mission, is to remove these structural barriers. The solution, driven by the need for maximum transparency and personalization, addresses this ethical issue directly. The compliant calculator acts as a necessary tool for </w:t>
      </w:r>
      <w:r>
        <w:rPr>
          <w:rFonts w:ascii="Times Roman" w:hAnsi="Times Roman"/>
          <w:b w:val="1"/>
          <w:bCs w:val="1"/>
          <w:rtl w:val="0"/>
          <w:lang w:val="es-ES_tradnl"/>
        </w:rPr>
        <w:t>social equity</w:t>
      </w:r>
      <w:r>
        <w:rPr>
          <w:rFonts w:ascii="Times Roman" w:hAnsi="Times Roman"/>
          <w:rtl w:val="0"/>
          <w:lang w:val="en-US"/>
        </w:rPr>
        <w:t>, empowering at-risk populations with the precise and immediate information needed to make fully informed educational decisions. This strategic alignment with the ethical commitment to foster economic mobility is a powerful justification for the project</w:t>
      </w:r>
      <w:r>
        <w:rPr>
          <w:rFonts w:ascii="Times Roman" w:hAnsi="Times Roman" w:hint="default"/>
          <w:rtl w:val="1"/>
        </w:rPr>
        <w:t>’</w:t>
      </w:r>
      <w:r>
        <w:rPr>
          <w:rFonts w:ascii="Times Roman" w:hAnsi="Times Roman"/>
          <w:rtl w:val="0"/>
          <w:lang w:val="en-US"/>
        </w:rPr>
        <w:t>s high priority.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most significant </w:t>
      </w:r>
      <w:r>
        <w:rPr>
          <w:rFonts w:ascii="Times Roman" w:hAnsi="Times Roman"/>
          <w:b w:val="1"/>
          <w:bCs w:val="1"/>
          <w:rtl w:val="0"/>
          <w:lang w:val="en-US"/>
        </w:rPr>
        <w:t>policy challenge</w:t>
      </w:r>
      <w:r>
        <w:rPr>
          <w:rFonts w:ascii="Times Roman" w:hAnsi="Times Roman"/>
          <w:rtl w:val="0"/>
          <w:lang w:val="en-US"/>
        </w:rPr>
        <w:t xml:space="preserve"> is the potential conflict between the </w:t>
      </w:r>
      <w:r>
        <w:rPr>
          <w:rFonts w:ascii="Times Roman" w:hAnsi="Times Roman"/>
          <w:b w:val="1"/>
          <w:bCs w:val="1"/>
          <w:rtl w:val="0"/>
          <w:lang w:val="en-US"/>
        </w:rPr>
        <w:t>existing manual data maintenance policy</w:t>
      </w:r>
      <w:r>
        <w:rPr>
          <w:rFonts w:ascii="Times Roman" w:hAnsi="Times Roman"/>
          <w:rtl w:val="0"/>
          <w:lang w:val="en-US"/>
        </w:rPr>
        <w:t xml:space="preserve"> and the new automated data flow via the API. The existing manual policy, which allows different departments to maintain and publish cost data via file transfers and static content updates, is the very source of the regulatory risk and is rendered obsolete by the new automated system. This disparity creates a policy vacuum that must be proactively addressed. To mitigate this, the project must conclude with the </w:t>
      </w:r>
      <w:r>
        <w:rPr>
          <w:rFonts w:ascii="Times Roman" w:hAnsi="Times Roman"/>
          <w:b w:val="1"/>
          <w:bCs w:val="1"/>
          <w:rtl w:val="0"/>
          <w:lang w:val="en-US"/>
        </w:rPr>
        <w:t>creation of a new Data Governance Policy</w:t>
      </w:r>
      <w:r>
        <w:rPr>
          <w:rFonts w:ascii="Times Roman" w:hAnsi="Times Roman"/>
          <w:rtl w:val="0"/>
          <w:lang w:val="en-US"/>
        </w:rPr>
        <w:t xml:space="preserve">. This new policy must formally designate the administrative system as the </w:t>
      </w:r>
      <w:r>
        <w:rPr>
          <w:rFonts w:ascii="Times Roman" w:hAnsi="Times Roman"/>
          <w:b w:val="1"/>
          <w:bCs w:val="1"/>
          <w:rtl w:val="0"/>
          <w:lang w:val="en-US"/>
        </w:rPr>
        <w:t>Single Source of Truth</w:t>
      </w:r>
      <w:r>
        <w:rPr>
          <w:rFonts w:ascii="Times Roman" w:hAnsi="Times Roman"/>
          <w:rtl w:val="0"/>
          <w:lang w:val="en-US"/>
        </w:rPr>
        <w:t xml:space="preserve"> for all tuition and cost data and establish clear ownership, validation, and maintenance processes for the new API endpoints. This proactive policy revision prevents an organizational gap that could otherwise allow data errors to undermine the project's compliance goals and jeopardize the institution</w:t>
      </w:r>
      <w:r>
        <w:rPr>
          <w:rFonts w:ascii="Times Roman" w:hAnsi="Times Roman" w:hint="default"/>
          <w:rtl w:val="1"/>
        </w:rPr>
        <w:t>’</w:t>
      </w:r>
      <w:r>
        <w:rPr>
          <w:rFonts w:ascii="Times Roman" w:hAnsi="Times Roman"/>
          <w:rtl w:val="0"/>
          <w:lang w:val="it-IT"/>
        </w:rPr>
        <w:t>s reputation.</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Reflection</w:t>
      </w:r>
    </w:p>
    <w:p>
      <w:pPr>
        <w:pStyle w:val="Default"/>
        <w:suppressAutoHyphens w:val="1"/>
        <w:spacing w:before="0" w:after="240" w:line="240" w:lineRule="auto"/>
        <w:rPr>
          <w:rFonts w:ascii="Times Roman" w:cs="Times Roman" w:hAnsi="Times Roman" w:eastAsia="Times Roman"/>
        </w:rPr>
      </w:pP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process of developing the "Gateway" project proposal, utilizing the integrated action learning methodology, was a unique professional development opportunity. It allowed for the construction of a high-stakes project plan outside of the typical pressures of the working environment, which fostered a deep </w:t>
      </w:r>
      <w:r>
        <w:rPr>
          <w:rFonts w:ascii="Times Roman" w:hAnsi="Times Roman"/>
          <w:b w:val="1"/>
          <w:bCs w:val="1"/>
          <w:rtl w:val="0"/>
          <w:lang w:val="en-US"/>
        </w:rPr>
        <w:t>research-first approach</w:t>
      </w:r>
      <w:r>
        <w:rPr>
          <w:rFonts w:ascii="Times Roman" w:hAnsi="Times Roman"/>
          <w:rtl w:val="0"/>
          <w:lang w:val="en-US"/>
        </w:rPr>
        <w:t>. While the approach to high-stakes projects has been historically successful, the mandatory exploration of high-quality academic research provided valuable insight and a new rigor. The academic literature review was an enlightening process that has the potential to fundamentally inform the individual's work over the balance of their career by providing a robust framework for evidence-based decision-making.</w:t>
      </w:r>
    </w:p>
    <w:p>
      <w:pPr>
        <w:pStyle w:val="Default"/>
        <w:suppressAutoHyphens w:val="1"/>
        <w:spacing w:before="0" w:after="240" w:line="240" w:lineRule="auto"/>
      </w:pPr>
      <w:r>
        <w:rPr>
          <w:rFonts w:ascii="Times Roman" w:hAnsi="Times Roman"/>
          <w:rtl w:val="0"/>
          <w:lang w:val="en-US"/>
        </w:rPr>
        <w:t xml:space="preserve">The dedication to serious contemplation and articulation of the project's implications extended beyond merely business objectives and their tangible revenue benefits. It also included a focus on the larger </w:t>
      </w:r>
      <w:r>
        <w:rPr>
          <w:rFonts w:ascii="Times Roman" w:hAnsi="Times Roman"/>
          <w:b w:val="1"/>
          <w:bCs w:val="1"/>
          <w:rtl w:val="0"/>
          <w:lang w:val="en-US"/>
        </w:rPr>
        <w:t>technical architecture</w:t>
      </w:r>
      <w:r>
        <w:rPr>
          <w:rFonts w:ascii="Times Roman" w:hAnsi="Times Roman"/>
          <w:rtl w:val="0"/>
          <w:lang w:val="en-US"/>
        </w:rPr>
        <w:t xml:space="preserve"> of the organization and the </w:t>
      </w:r>
      <w:r>
        <w:rPr>
          <w:rFonts w:ascii="Times Roman" w:hAnsi="Times Roman"/>
          <w:b w:val="1"/>
          <w:bCs w:val="1"/>
          <w:rtl w:val="0"/>
          <w:lang w:val="en-US"/>
        </w:rPr>
        <w:t>ethical obligations</w:t>
      </w:r>
      <w:r>
        <w:rPr>
          <w:rFonts w:ascii="Times Roman" w:hAnsi="Times Roman"/>
          <w:rtl w:val="0"/>
          <w:lang w:val="en-US"/>
        </w:rPr>
        <w:t xml:space="preserve"> inherent in financial data disclosure. The major lesson learned was the critical importance of continuous, proactive stakeholder alignment, which serves to ensure that necessary governance and controls, such as the Compliance Gateway, are viewed as a </w:t>
      </w:r>
      <w:r>
        <w:rPr>
          <w:rFonts w:ascii="Times Roman" w:hAnsi="Times Roman"/>
          <w:b w:val="1"/>
          <w:bCs w:val="1"/>
          <w:rtl w:val="0"/>
          <w:lang w:val="en-US"/>
        </w:rPr>
        <w:t>shared safeguard</w:t>
      </w:r>
      <w:r>
        <w:rPr>
          <w:rFonts w:ascii="Times Roman" w:hAnsi="Times Roman"/>
          <w:rtl w:val="0"/>
          <w:lang w:val="en-US"/>
        </w:rPr>
        <w:t xml:space="preserve"> for brand reputation rather than an organizational roadblock. This intentional effort to ground every decision in academic and policy research is a disciplined approach that will be replicated in all future planning pursuits. The overall experience was invaluable in fostering a comprehensive understanding of risk, governance, and the ethical responsibilities of a mid-career IT leader.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