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6E2C7" w14:textId="77777777" w:rsidR="002500E6" w:rsidRDefault="002500E6" w:rsidP="001B34C9">
      <w:pPr>
        <w:pStyle w:val="Default"/>
        <w:suppressAutoHyphens/>
        <w:spacing w:after="299"/>
        <w:jc w:val="center"/>
        <w:rPr>
          <w:rFonts w:ascii="Times Roman" w:hAnsi="Times Roman"/>
          <w:b/>
          <w:bCs/>
        </w:rPr>
      </w:pPr>
    </w:p>
    <w:p w14:paraId="74206D58" w14:textId="77777777" w:rsidR="002500E6" w:rsidRDefault="002500E6" w:rsidP="001B34C9">
      <w:pPr>
        <w:pStyle w:val="Default"/>
        <w:suppressAutoHyphens/>
        <w:spacing w:after="299"/>
        <w:jc w:val="center"/>
        <w:rPr>
          <w:rFonts w:ascii="Times Roman" w:hAnsi="Times Roman"/>
          <w:b/>
          <w:bCs/>
        </w:rPr>
      </w:pPr>
    </w:p>
    <w:p w14:paraId="44FF0D41" w14:textId="77777777" w:rsidR="002500E6" w:rsidRDefault="002500E6" w:rsidP="001B34C9">
      <w:pPr>
        <w:pStyle w:val="Default"/>
        <w:suppressAutoHyphens/>
        <w:spacing w:after="299"/>
        <w:jc w:val="center"/>
        <w:rPr>
          <w:rFonts w:ascii="Times Roman" w:hAnsi="Times Roman"/>
          <w:b/>
          <w:bCs/>
        </w:rPr>
      </w:pPr>
    </w:p>
    <w:p w14:paraId="75E986A5" w14:textId="77501357" w:rsidR="001B34C9" w:rsidRPr="001B34C9" w:rsidRDefault="001B34C9" w:rsidP="001B34C9">
      <w:pPr>
        <w:pStyle w:val="Default"/>
        <w:suppressAutoHyphens/>
        <w:spacing w:after="299"/>
        <w:jc w:val="center"/>
        <w:rPr>
          <w:rFonts w:ascii="Times Roman" w:hAnsi="Times Roman"/>
          <w:b/>
          <w:bCs/>
        </w:rPr>
      </w:pPr>
      <w:r w:rsidRPr="001B34C9">
        <w:rPr>
          <w:rFonts w:ascii="Times Roman" w:hAnsi="Times Roman"/>
          <w:b/>
          <w:bCs/>
        </w:rPr>
        <w:t>Gateway:</w:t>
      </w:r>
    </w:p>
    <w:p w14:paraId="626E8349" w14:textId="77777777" w:rsidR="00A46B48" w:rsidRDefault="00261687" w:rsidP="001B34C9">
      <w:pPr>
        <w:pStyle w:val="Default"/>
        <w:suppressAutoHyphens/>
        <w:spacing w:after="299"/>
        <w:jc w:val="center"/>
        <w:rPr>
          <w:rFonts w:ascii="Times Roman" w:hAnsi="Times Roman"/>
          <w:b/>
          <w:bCs/>
        </w:rPr>
      </w:pPr>
      <w:r>
        <w:rPr>
          <w:rFonts w:ascii="Times Roman" w:hAnsi="Times Roman"/>
          <w:b/>
          <w:bCs/>
        </w:rPr>
        <w:t xml:space="preserve">A </w:t>
      </w:r>
      <w:r w:rsidR="00A46B48">
        <w:rPr>
          <w:rFonts w:ascii="Times Roman" w:hAnsi="Times Roman"/>
          <w:b/>
          <w:bCs/>
        </w:rPr>
        <w:t xml:space="preserve">Data-Driven Architecture for Regulatory </w:t>
      </w:r>
    </w:p>
    <w:p w14:paraId="4E43D844" w14:textId="4D3E19BF" w:rsidR="001B34C9" w:rsidRPr="001B34C9" w:rsidRDefault="00A46B48" w:rsidP="001B34C9">
      <w:pPr>
        <w:pStyle w:val="Default"/>
        <w:suppressAutoHyphens/>
        <w:spacing w:after="299"/>
        <w:jc w:val="center"/>
        <w:rPr>
          <w:rFonts w:ascii="Times Roman" w:hAnsi="Times Roman"/>
        </w:rPr>
      </w:pPr>
      <w:r>
        <w:rPr>
          <w:rFonts w:ascii="Times Roman" w:hAnsi="Times Roman"/>
          <w:b/>
          <w:bCs/>
        </w:rPr>
        <w:t>Compliance and Enrollment Growth</w:t>
      </w:r>
    </w:p>
    <w:p w14:paraId="1BCC7582" w14:textId="77777777" w:rsidR="001B34C9" w:rsidRPr="001B34C9" w:rsidRDefault="001B34C9" w:rsidP="001B34C9">
      <w:pPr>
        <w:pStyle w:val="Default"/>
        <w:suppressAutoHyphens/>
        <w:spacing w:after="299"/>
        <w:jc w:val="center"/>
        <w:rPr>
          <w:rFonts w:ascii="Times Roman" w:hAnsi="Times Roman"/>
        </w:rPr>
      </w:pPr>
    </w:p>
    <w:p w14:paraId="0DC4B6AD" w14:textId="77777777" w:rsidR="001B34C9" w:rsidRPr="001B34C9" w:rsidRDefault="001B34C9" w:rsidP="001B34C9">
      <w:pPr>
        <w:pStyle w:val="Default"/>
        <w:suppressAutoHyphens/>
        <w:spacing w:after="299"/>
        <w:jc w:val="center"/>
        <w:rPr>
          <w:rFonts w:ascii="Times Roman" w:hAnsi="Times Roman"/>
        </w:rPr>
      </w:pPr>
      <w:r w:rsidRPr="001B34C9">
        <w:rPr>
          <w:rFonts w:ascii="Times Roman" w:hAnsi="Times Roman"/>
        </w:rPr>
        <w:t>Kate Herrick</w:t>
      </w:r>
    </w:p>
    <w:p w14:paraId="4EA0B209" w14:textId="77777777" w:rsidR="001B34C9" w:rsidRPr="001B34C9" w:rsidRDefault="001B34C9" w:rsidP="001B34C9">
      <w:pPr>
        <w:pStyle w:val="Default"/>
        <w:suppressAutoHyphens/>
        <w:spacing w:after="299"/>
        <w:jc w:val="center"/>
        <w:rPr>
          <w:rFonts w:ascii="Times Roman" w:hAnsi="Times Roman"/>
        </w:rPr>
      </w:pPr>
      <w:r w:rsidRPr="001B34C9">
        <w:rPr>
          <w:rFonts w:ascii="Times Roman" w:hAnsi="Times Roman"/>
        </w:rPr>
        <w:t>Capella University</w:t>
      </w:r>
    </w:p>
    <w:p w14:paraId="05DADD0A" w14:textId="77777777" w:rsidR="001B34C9" w:rsidRPr="001B34C9" w:rsidRDefault="001B34C9" w:rsidP="001B34C9">
      <w:pPr>
        <w:pStyle w:val="Default"/>
        <w:suppressAutoHyphens/>
        <w:spacing w:after="299"/>
        <w:jc w:val="center"/>
        <w:rPr>
          <w:rFonts w:ascii="Times Roman" w:hAnsi="Times Roman"/>
        </w:rPr>
      </w:pPr>
      <w:r w:rsidRPr="001B34C9">
        <w:rPr>
          <w:rFonts w:ascii="Times Roman" w:hAnsi="Times Roman"/>
        </w:rPr>
        <w:t>IT-FPX 4997: Capstone I</w:t>
      </w:r>
    </w:p>
    <w:p w14:paraId="385E6CF9" w14:textId="77777777" w:rsidR="001B34C9" w:rsidRPr="001B34C9" w:rsidRDefault="001B34C9" w:rsidP="001B34C9">
      <w:pPr>
        <w:pStyle w:val="Default"/>
        <w:suppressAutoHyphens/>
        <w:spacing w:after="299"/>
        <w:jc w:val="center"/>
        <w:rPr>
          <w:rFonts w:ascii="Times Roman" w:hAnsi="Times Roman"/>
        </w:rPr>
      </w:pPr>
      <w:r w:rsidRPr="001B34C9">
        <w:rPr>
          <w:rFonts w:ascii="Times Roman" w:hAnsi="Times Roman"/>
        </w:rPr>
        <w:t>Site Supervisor: Mike Goettl</w:t>
      </w:r>
    </w:p>
    <w:p w14:paraId="3A389C85" w14:textId="18C0A661" w:rsidR="00D30C7D" w:rsidRDefault="001E3A5D" w:rsidP="001B34C9">
      <w:pPr>
        <w:pStyle w:val="Default"/>
        <w:suppressAutoHyphens/>
        <w:spacing w:before="0" w:after="299" w:line="240" w:lineRule="auto"/>
        <w:jc w:val="center"/>
      </w:pPr>
      <w:r>
        <w:rPr>
          <w:rFonts w:ascii="Times Roman" w:hAnsi="Times Roman"/>
        </w:rPr>
        <w:t>November</w:t>
      </w:r>
      <w:r w:rsidR="001B34C9" w:rsidRPr="001B34C9">
        <w:rPr>
          <w:rFonts w:ascii="Times Roman" w:hAnsi="Times Roman"/>
        </w:rPr>
        <w:t xml:space="preserve"> </w:t>
      </w:r>
      <w:r w:rsidR="00A46B48">
        <w:rPr>
          <w:rFonts w:ascii="Times Roman" w:hAnsi="Times Roman"/>
        </w:rPr>
        <w:t>7</w:t>
      </w:r>
      <w:r w:rsidR="001B34C9" w:rsidRPr="001B34C9">
        <w:rPr>
          <w:rFonts w:ascii="Times Roman" w:hAnsi="Times Roman"/>
        </w:rPr>
        <w:t>, 2025</w:t>
      </w:r>
      <w:r w:rsidR="001B34C9">
        <w:rPr>
          <w:rFonts w:ascii="Arial Unicode MS" w:hAnsi="Arial Unicode MS"/>
          <w:sz w:val="36"/>
          <w:szCs w:val="36"/>
        </w:rPr>
        <w:br w:type="page"/>
      </w:r>
    </w:p>
    <w:p w14:paraId="687ADF59" w14:textId="2AE7F525" w:rsidR="00A55071" w:rsidRPr="004E6451" w:rsidRDefault="00A46B48" w:rsidP="00A55071">
      <w:pPr>
        <w:pStyle w:val="Default"/>
        <w:suppressAutoHyphens/>
        <w:spacing w:before="0" w:after="299" w:line="240" w:lineRule="auto"/>
        <w:rPr>
          <w:rStyle w:val="SubtleReference"/>
          <w:sz w:val="32"/>
          <w:szCs w:val="32"/>
        </w:rPr>
      </w:pPr>
      <w:r>
        <w:rPr>
          <w:rStyle w:val="SubtleReference"/>
          <w:sz w:val="32"/>
          <w:szCs w:val="32"/>
        </w:rPr>
        <w:lastRenderedPageBreak/>
        <w:t>Executive Summary: Project “Gateway”</w:t>
      </w:r>
    </w:p>
    <w:p w14:paraId="01555840" w14:textId="3969B9BF" w:rsidR="002500E6" w:rsidRPr="002500E6" w:rsidRDefault="002500E6" w:rsidP="002500E6">
      <w:pPr>
        <w:pStyle w:val="Default"/>
        <w:suppressAutoHyphens/>
        <w:spacing w:before="0" w:after="240" w:line="240" w:lineRule="auto"/>
        <w:ind w:firstLine="720"/>
        <w:rPr>
          <w:rFonts w:ascii="Times New Roman" w:eastAsia="Times Roman" w:hAnsi="Times New Roman" w:cs="Times New Roman"/>
        </w:rPr>
      </w:pPr>
      <w:r w:rsidRPr="002500E6">
        <w:rPr>
          <w:rFonts w:ascii="Times New Roman" w:hAnsi="Times New Roman" w:cs="Times New Roman"/>
        </w:rPr>
        <w:t xml:space="preserve">The </w:t>
      </w:r>
      <w:proofErr w:type="spellStart"/>
      <w:r w:rsidRPr="002500E6">
        <w:rPr>
          <w:rFonts w:ascii="Times New Roman" w:hAnsi="Times New Roman" w:cs="Times New Roman"/>
        </w:rPr>
        <w:t>Arborwood</w:t>
      </w:r>
      <w:proofErr w:type="spellEnd"/>
      <w:r w:rsidRPr="002500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University </w:t>
      </w:r>
      <w:r w:rsidRPr="002500E6">
        <w:rPr>
          <w:rFonts w:ascii="Times New Roman" w:hAnsi="Times New Roman" w:cs="Times New Roman"/>
        </w:rPr>
        <w:t>Cost Calculator project, known internally as</w:t>
      </w:r>
      <w:r>
        <w:rPr>
          <w:rFonts w:ascii="Times New Roman" w:hAnsi="Times New Roman" w:cs="Times New Roman"/>
        </w:rPr>
        <w:t xml:space="preserve"> the</w:t>
      </w:r>
      <w:r w:rsidRPr="002500E6">
        <w:rPr>
          <w:rFonts w:ascii="Times New Roman" w:hAnsi="Times New Roman" w:cs="Times New Roman"/>
        </w:rPr>
        <w:t xml:space="preserve"> "Gateway" </w:t>
      </w:r>
      <w:r>
        <w:rPr>
          <w:rFonts w:ascii="Times New Roman" w:hAnsi="Times New Roman" w:cs="Times New Roman"/>
        </w:rPr>
        <w:t>project</w:t>
      </w:r>
      <w:r w:rsidRPr="002500E6">
        <w:rPr>
          <w:rFonts w:ascii="Times New Roman" w:hAnsi="Times New Roman" w:cs="Times New Roman"/>
        </w:rPr>
        <w:t xml:space="preserve">, was </w:t>
      </w:r>
      <w:r w:rsidR="00C468F8">
        <w:rPr>
          <w:rFonts w:ascii="Times New Roman" w:hAnsi="Times New Roman" w:cs="Times New Roman"/>
        </w:rPr>
        <w:t xml:space="preserve">initially </w:t>
      </w:r>
      <w:r w:rsidRPr="002500E6">
        <w:rPr>
          <w:rFonts w:ascii="Times New Roman" w:hAnsi="Times New Roman" w:cs="Times New Roman"/>
        </w:rPr>
        <w:t xml:space="preserve">launched </w:t>
      </w:r>
      <w:r w:rsidR="00C468F8">
        <w:rPr>
          <w:rFonts w:ascii="Times New Roman" w:hAnsi="Times New Roman" w:cs="Times New Roman"/>
        </w:rPr>
        <w:t xml:space="preserve">as a means of improving cost transparency during marketing efforts with the aim of improving enrollment growth. </w:t>
      </w:r>
      <w:r w:rsidR="00EF78A7">
        <w:rPr>
          <w:rFonts w:ascii="Times New Roman" w:hAnsi="Times New Roman" w:cs="Times New Roman"/>
        </w:rPr>
        <w:t>Market research suggests</w:t>
      </w:r>
      <w:r w:rsidR="003D7992">
        <w:rPr>
          <w:rFonts w:ascii="Times New Roman" w:hAnsi="Times New Roman" w:cs="Times New Roman"/>
        </w:rPr>
        <w:t xml:space="preserve"> implementation of the cost calculator could yield revenue growth of up to $8.9 million in the first year against a planned spend of </w:t>
      </w:r>
      <w:r w:rsidR="006060A0">
        <w:rPr>
          <w:rFonts w:ascii="Times New Roman" w:hAnsi="Times New Roman" w:cs="Times New Roman"/>
        </w:rPr>
        <w:t>$425,000. However, w</w:t>
      </w:r>
      <w:r w:rsidR="00C468F8">
        <w:rPr>
          <w:rFonts w:ascii="Times New Roman" w:hAnsi="Times New Roman" w:cs="Times New Roman"/>
        </w:rPr>
        <w:t xml:space="preserve">ith the realization that </w:t>
      </w:r>
      <w:r w:rsidR="002D5AFC">
        <w:rPr>
          <w:rFonts w:ascii="Times New Roman" w:hAnsi="Times New Roman" w:cs="Times New Roman"/>
        </w:rPr>
        <w:t xml:space="preserve">legal and regulatory liabilities could result from inaccurate cost estimates, the project’s focus was revised </w:t>
      </w:r>
      <w:r w:rsidR="00C468F8">
        <w:rPr>
          <w:rFonts w:ascii="Times New Roman" w:hAnsi="Times New Roman" w:cs="Times New Roman"/>
        </w:rPr>
        <w:t>t</w:t>
      </w:r>
      <w:r w:rsidR="002D5AFC">
        <w:rPr>
          <w:rFonts w:ascii="Times New Roman" w:hAnsi="Times New Roman" w:cs="Times New Roman"/>
        </w:rPr>
        <w:t xml:space="preserve">o focus on </w:t>
      </w:r>
      <w:r w:rsidR="006060A0">
        <w:rPr>
          <w:rFonts w:ascii="Times New Roman" w:hAnsi="Times New Roman" w:cs="Times New Roman"/>
        </w:rPr>
        <w:t xml:space="preserve">the </w:t>
      </w:r>
      <w:r w:rsidR="002D5AFC">
        <w:rPr>
          <w:rFonts w:ascii="Times New Roman" w:hAnsi="Times New Roman" w:cs="Times New Roman"/>
        </w:rPr>
        <w:t>development of a solution that also</w:t>
      </w:r>
      <w:r w:rsidRPr="002500E6">
        <w:rPr>
          <w:rFonts w:ascii="Times New Roman" w:hAnsi="Times New Roman" w:cs="Times New Roman"/>
        </w:rPr>
        <w:t xml:space="preserve"> mitigate</w:t>
      </w:r>
      <w:r w:rsidR="002D5AFC">
        <w:rPr>
          <w:rFonts w:ascii="Times New Roman" w:hAnsi="Times New Roman" w:cs="Times New Roman"/>
        </w:rPr>
        <w:t>d</w:t>
      </w:r>
      <w:r w:rsidRPr="002500E6">
        <w:rPr>
          <w:rFonts w:ascii="Times New Roman" w:hAnsi="Times New Roman" w:cs="Times New Roman"/>
        </w:rPr>
        <w:t xml:space="preserve"> a critical regulatory and financial risk stemming from the institution's existing manual process for publishing student costs. </w:t>
      </w:r>
      <w:r w:rsidR="00B24C5F">
        <w:rPr>
          <w:rFonts w:ascii="Times New Roman" w:hAnsi="Times New Roman" w:cs="Times New Roman"/>
        </w:rPr>
        <w:t>An initial review of the potential architecture of the calculator</w:t>
      </w:r>
      <w:r w:rsidR="00D81340">
        <w:rPr>
          <w:rFonts w:ascii="Times New Roman" w:hAnsi="Times New Roman" w:cs="Times New Roman"/>
        </w:rPr>
        <w:t>, leveraging current-state processes, would violate</w:t>
      </w:r>
      <w:r w:rsidRPr="002500E6">
        <w:rPr>
          <w:rFonts w:ascii="Times New Roman" w:hAnsi="Times New Roman" w:cs="Times New Roman"/>
        </w:rPr>
        <w:t xml:space="preserve"> the Single Source of Truth (SSOT) principle, relying on error-prone human data entry, which </w:t>
      </w:r>
      <w:r w:rsidR="006060A0">
        <w:rPr>
          <w:rFonts w:ascii="Times New Roman" w:hAnsi="Times New Roman" w:cs="Times New Roman"/>
        </w:rPr>
        <w:t>puts</w:t>
      </w:r>
      <w:r w:rsidRPr="002500E6">
        <w:rPr>
          <w:rFonts w:ascii="Times New Roman" w:hAnsi="Times New Roman" w:cs="Times New Roman"/>
        </w:rPr>
        <w:t xml:space="preserve"> </w:t>
      </w:r>
      <w:r w:rsidR="00D81340">
        <w:rPr>
          <w:rFonts w:ascii="Times New Roman" w:hAnsi="Times New Roman" w:cs="Times New Roman"/>
        </w:rPr>
        <w:t>the organization</w:t>
      </w:r>
      <w:r w:rsidRPr="002500E6">
        <w:rPr>
          <w:rFonts w:ascii="Times New Roman" w:hAnsi="Times New Roman" w:cs="Times New Roman"/>
        </w:rPr>
        <w:t xml:space="preserve"> in conflict with the </w:t>
      </w:r>
      <w:r w:rsidR="00457ED1">
        <w:rPr>
          <w:rFonts w:ascii="Times New Roman" w:hAnsi="Times New Roman" w:cs="Times New Roman"/>
        </w:rPr>
        <w:t>mandates of Federal regulations</w:t>
      </w:r>
      <w:r w:rsidRPr="002500E6">
        <w:rPr>
          <w:rFonts w:ascii="Times New Roman" w:hAnsi="Times New Roman" w:cs="Times New Roman"/>
        </w:rPr>
        <w:t>.</w:t>
      </w:r>
    </w:p>
    <w:p w14:paraId="11D5ED6E" w14:textId="77777777" w:rsidR="002F4423" w:rsidRDefault="00D81340" w:rsidP="00D81340">
      <w:pPr>
        <w:pStyle w:val="Default"/>
        <w:suppressAutoHyphens/>
        <w:spacing w:after="240"/>
        <w:rPr>
          <w:rFonts w:ascii="Times New Roman" w:hAnsi="Times New Roman" w:cs="Times New Roman"/>
        </w:rPr>
      </w:pPr>
      <w:r w:rsidRPr="00D81340">
        <w:rPr>
          <w:rFonts w:ascii="Times New Roman" w:hAnsi="Times New Roman" w:cs="Times New Roman"/>
        </w:rPr>
        <w:t xml:space="preserve">The initiative's core objectives are threefold: </w:t>
      </w:r>
    </w:p>
    <w:p w14:paraId="39CE8C23" w14:textId="77777777" w:rsidR="002F4423" w:rsidRDefault="002F4423" w:rsidP="002F4423">
      <w:pPr>
        <w:pStyle w:val="Default"/>
        <w:numPr>
          <w:ilvl w:val="0"/>
          <w:numId w:val="10"/>
        </w:numPr>
        <w:suppressAutoHyphens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D81340" w:rsidRPr="00D81340">
        <w:rPr>
          <w:rFonts w:ascii="Times New Roman" w:hAnsi="Times New Roman" w:cs="Times New Roman"/>
        </w:rPr>
        <w:t xml:space="preserve">o achieve absolute </w:t>
      </w:r>
      <w:r w:rsidR="00071FFA">
        <w:rPr>
          <w:rFonts w:ascii="Times New Roman" w:hAnsi="Times New Roman" w:cs="Times New Roman"/>
        </w:rPr>
        <w:t>c</w:t>
      </w:r>
      <w:r w:rsidR="00D81340" w:rsidRPr="00D81340">
        <w:rPr>
          <w:rFonts w:ascii="Times New Roman" w:hAnsi="Times New Roman" w:cs="Times New Roman"/>
        </w:rPr>
        <w:t xml:space="preserve">ompliance and </w:t>
      </w:r>
      <w:r w:rsidR="00071FFA">
        <w:rPr>
          <w:rFonts w:ascii="Times New Roman" w:hAnsi="Times New Roman" w:cs="Times New Roman"/>
        </w:rPr>
        <w:t>r</w:t>
      </w:r>
      <w:r w:rsidR="00D81340" w:rsidRPr="00D81340">
        <w:rPr>
          <w:rFonts w:ascii="Times New Roman" w:hAnsi="Times New Roman" w:cs="Times New Roman"/>
        </w:rPr>
        <w:t xml:space="preserve">isk </w:t>
      </w:r>
      <w:r>
        <w:rPr>
          <w:rFonts w:ascii="Times New Roman" w:hAnsi="Times New Roman" w:cs="Times New Roman"/>
        </w:rPr>
        <w:t>m</w:t>
      </w:r>
      <w:r w:rsidR="00D81340" w:rsidRPr="00D81340">
        <w:rPr>
          <w:rFonts w:ascii="Times New Roman" w:hAnsi="Times New Roman" w:cs="Times New Roman"/>
        </w:rPr>
        <w:t xml:space="preserve">itigation by embedding a </w:t>
      </w:r>
      <w:r w:rsidR="00071FFA">
        <w:rPr>
          <w:rFonts w:ascii="Times New Roman" w:hAnsi="Times New Roman" w:cs="Times New Roman"/>
        </w:rPr>
        <w:t xml:space="preserve">thorough and </w:t>
      </w:r>
      <w:r w:rsidR="00D81340" w:rsidRPr="00D81340">
        <w:rPr>
          <w:rFonts w:ascii="Times New Roman" w:hAnsi="Times New Roman" w:cs="Times New Roman"/>
        </w:rPr>
        <w:t xml:space="preserve">non-negotiable </w:t>
      </w:r>
      <w:r w:rsidR="00071FFA">
        <w:rPr>
          <w:rFonts w:ascii="Times New Roman" w:hAnsi="Times New Roman" w:cs="Times New Roman"/>
        </w:rPr>
        <w:t>l</w:t>
      </w:r>
      <w:r w:rsidR="00D81340" w:rsidRPr="00D81340">
        <w:rPr>
          <w:rFonts w:ascii="Times New Roman" w:hAnsi="Times New Roman" w:cs="Times New Roman"/>
        </w:rPr>
        <w:t>egal/</w:t>
      </w:r>
      <w:r w:rsidR="00071FFA">
        <w:rPr>
          <w:rFonts w:ascii="Times New Roman" w:hAnsi="Times New Roman" w:cs="Times New Roman"/>
        </w:rPr>
        <w:t>c</w:t>
      </w:r>
      <w:r w:rsidR="00D81340" w:rsidRPr="00D81340">
        <w:rPr>
          <w:rFonts w:ascii="Times New Roman" w:hAnsi="Times New Roman" w:cs="Times New Roman"/>
        </w:rPr>
        <w:t>ompliance</w:t>
      </w:r>
      <w:r w:rsidR="00071FFA">
        <w:rPr>
          <w:rFonts w:ascii="Times New Roman" w:hAnsi="Times New Roman" w:cs="Times New Roman"/>
        </w:rPr>
        <w:t xml:space="preserve"> review and approval</w:t>
      </w:r>
      <w:r w:rsidR="00D81340" w:rsidRPr="00D81340">
        <w:rPr>
          <w:rFonts w:ascii="Times New Roman" w:hAnsi="Times New Roman" w:cs="Times New Roman"/>
        </w:rPr>
        <w:t xml:space="preserve"> </w:t>
      </w:r>
      <w:r w:rsidR="00071FFA">
        <w:rPr>
          <w:rFonts w:ascii="Times New Roman" w:hAnsi="Times New Roman" w:cs="Times New Roman"/>
        </w:rPr>
        <w:t>g</w:t>
      </w:r>
      <w:r w:rsidR="00D81340" w:rsidRPr="00D81340">
        <w:rPr>
          <w:rFonts w:ascii="Times New Roman" w:hAnsi="Times New Roman" w:cs="Times New Roman"/>
        </w:rPr>
        <w:t xml:space="preserve">ate into the project lifecycle. </w:t>
      </w:r>
    </w:p>
    <w:p w14:paraId="77028AB2" w14:textId="77777777" w:rsidR="002F4423" w:rsidRDefault="002F4423" w:rsidP="002F4423">
      <w:pPr>
        <w:pStyle w:val="Default"/>
        <w:numPr>
          <w:ilvl w:val="0"/>
          <w:numId w:val="10"/>
        </w:numPr>
        <w:suppressAutoHyphens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D81340" w:rsidRPr="00D81340">
        <w:rPr>
          <w:rFonts w:ascii="Times New Roman" w:hAnsi="Times New Roman" w:cs="Times New Roman"/>
        </w:rPr>
        <w:t xml:space="preserve">o enhance </w:t>
      </w:r>
      <w:r w:rsidR="00071FFA">
        <w:rPr>
          <w:rFonts w:ascii="Times New Roman" w:hAnsi="Times New Roman" w:cs="Times New Roman"/>
        </w:rPr>
        <w:t>e</w:t>
      </w:r>
      <w:r w:rsidR="00D81340" w:rsidRPr="00D81340">
        <w:rPr>
          <w:rFonts w:ascii="Times New Roman" w:hAnsi="Times New Roman" w:cs="Times New Roman"/>
        </w:rPr>
        <w:t xml:space="preserve">quity and </w:t>
      </w:r>
      <w:r w:rsidR="00071FFA">
        <w:rPr>
          <w:rFonts w:ascii="Times New Roman" w:hAnsi="Times New Roman" w:cs="Times New Roman"/>
        </w:rPr>
        <w:t>t</w:t>
      </w:r>
      <w:r w:rsidR="00D81340" w:rsidRPr="00D81340">
        <w:rPr>
          <w:rFonts w:ascii="Times New Roman" w:hAnsi="Times New Roman" w:cs="Times New Roman"/>
        </w:rPr>
        <w:t xml:space="preserve">ransparency by </w:t>
      </w:r>
      <w:r w:rsidR="00264300">
        <w:rPr>
          <w:rFonts w:ascii="Times New Roman" w:hAnsi="Times New Roman" w:cs="Times New Roman"/>
        </w:rPr>
        <w:t>ensuring data quality via an API integration to the student administration system</w:t>
      </w:r>
      <w:r w:rsidR="00D81340" w:rsidRPr="00D81340">
        <w:rPr>
          <w:rFonts w:ascii="Times New Roman" w:hAnsi="Times New Roman" w:cs="Times New Roman"/>
        </w:rPr>
        <w:t xml:space="preserve">. </w:t>
      </w:r>
    </w:p>
    <w:p w14:paraId="60975791" w14:textId="7E1158C4" w:rsidR="00D81340" w:rsidRPr="00D81340" w:rsidRDefault="002F4423" w:rsidP="002F4423">
      <w:pPr>
        <w:pStyle w:val="Default"/>
        <w:numPr>
          <w:ilvl w:val="0"/>
          <w:numId w:val="10"/>
        </w:numPr>
        <w:suppressAutoHyphens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D81340" w:rsidRPr="00D81340">
        <w:rPr>
          <w:rFonts w:ascii="Times New Roman" w:hAnsi="Times New Roman" w:cs="Times New Roman"/>
        </w:rPr>
        <w:t xml:space="preserve">o </w:t>
      </w:r>
      <w:r>
        <w:rPr>
          <w:rFonts w:ascii="Times New Roman" w:hAnsi="Times New Roman" w:cs="Times New Roman"/>
        </w:rPr>
        <w:t xml:space="preserve">further </w:t>
      </w:r>
      <w:proofErr w:type="spellStart"/>
      <w:r>
        <w:rPr>
          <w:rFonts w:ascii="Times New Roman" w:hAnsi="Times New Roman" w:cs="Times New Roman"/>
        </w:rPr>
        <w:t>Arborwood’s</w:t>
      </w:r>
      <w:proofErr w:type="spellEnd"/>
      <w:r>
        <w:rPr>
          <w:rFonts w:ascii="Times New Roman" w:hAnsi="Times New Roman" w:cs="Times New Roman"/>
        </w:rPr>
        <w:t xml:space="preserve"> efforts in technical modernization</w:t>
      </w:r>
      <w:r w:rsidR="00D81340" w:rsidRPr="00D81340">
        <w:rPr>
          <w:rFonts w:ascii="Times New Roman" w:hAnsi="Times New Roman" w:cs="Times New Roman"/>
        </w:rPr>
        <w:t xml:space="preserve"> by eliminating technical debt through the deployment of a scalable microservice architecture on the Google Cloud Platform.</w:t>
      </w:r>
    </w:p>
    <w:p w14:paraId="29074F23" w14:textId="77777777" w:rsidR="00D81340" w:rsidRPr="00D81340" w:rsidRDefault="00D81340" w:rsidP="00D81340">
      <w:pPr>
        <w:pStyle w:val="Default"/>
        <w:suppressAutoHyphens/>
        <w:spacing w:after="240"/>
        <w:rPr>
          <w:rFonts w:ascii="Times New Roman" w:hAnsi="Times New Roman" w:cs="Times New Roman"/>
        </w:rPr>
      </w:pPr>
    </w:p>
    <w:p w14:paraId="1873B60D" w14:textId="77777777" w:rsidR="00D81340" w:rsidRPr="002F4423" w:rsidRDefault="00D81340" w:rsidP="00D81340">
      <w:pPr>
        <w:pStyle w:val="Default"/>
        <w:suppressAutoHyphens/>
        <w:spacing w:after="240"/>
        <w:rPr>
          <w:rStyle w:val="SubtleReference"/>
        </w:rPr>
      </w:pPr>
      <w:r w:rsidRPr="002F4423">
        <w:rPr>
          <w:rStyle w:val="SubtleReference"/>
        </w:rPr>
        <w:t>Scope, Milestones, and Timeline</w:t>
      </w:r>
    </w:p>
    <w:p w14:paraId="00B1A3C1" w14:textId="09BA01A3" w:rsidR="00806B15" w:rsidRDefault="00D81340" w:rsidP="00403A4D">
      <w:pPr>
        <w:pStyle w:val="Default"/>
        <w:suppressAutoHyphens/>
        <w:spacing w:after="240" w:line="240" w:lineRule="auto"/>
        <w:ind w:firstLine="720"/>
        <w:rPr>
          <w:rFonts w:ascii="Times New Roman" w:hAnsi="Times New Roman" w:cs="Times New Roman"/>
        </w:rPr>
      </w:pPr>
      <w:r w:rsidRPr="00D81340">
        <w:rPr>
          <w:rFonts w:ascii="Times New Roman" w:hAnsi="Times New Roman" w:cs="Times New Roman"/>
        </w:rPr>
        <w:t xml:space="preserve">The project scope is defined by two integrated deliverables: a new process and a new technology </w:t>
      </w:r>
      <w:r w:rsidR="00457ED1">
        <w:rPr>
          <w:rFonts w:ascii="Times New Roman" w:hAnsi="Times New Roman" w:cs="Times New Roman"/>
        </w:rPr>
        <w:t>implementation</w:t>
      </w:r>
      <w:r w:rsidRPr="00D81340">
        <w:rPr>
          <w:rFonts w:ascii="Times New Roman" w:hAnsi="Times New Roman" w:cs="Times New Roman"/>
        </w:rPr>
        <w:t xml:space="preserve">. The new process involves the </w:t>
      </w:r>
      <w:r w:rsidR="00457ED1">
        <w:rPr>
          <w:rFonts w:ascii="Times New Roman" w:hAnsi="Times New Roman" w:cs="Times New Roman"/>
        </w:rPr>
        <w:t>c</w:t>
      </w:r>
      <w:r w:rsidRPr="00D81340">
        <w:rPr>
          <w:rFonts w:ascii="Times New Roman" w:hAnsi="Times New Roman" w:cs="Times New Roman"/>
        </w:rPr>
        <w:t xml:space="preserve">ompliance </w:t>
      </w:r>
      <w:r w:rsidR="00457ED1">
        <w:rPr>
          <w:rFonts w:ascii="Times New Roman" w:hAnsi="Times New Roman" w:cs="Times New Roman"/>
        </w:rPr>
        <w:t>g</w:t>
      </w:r>
      <w:r w:rsidRPr="00D81340">
        <w:rPr>
          <w:rFonts w:ascii="Times New Roman" w:hAnsi="Times New Roman" w:cs="Times New Roman"/>
        </w:rPr>
        <w:t xml:space="preserve">ate, a mandatory legal checkpoint requiring formal </w:t>
      </w:r>
      <w:r w:rsidR="00457ED1">
        <w:rPr>
          <w:rFonts w:ascii="Times New Roman" w:hAnsi="Times New Roman" w:cs="Times New Roman"/>
        </w:rPr>
        <w:t>approval</w:t>
      </w:r>
      <w:r w:rsidRPr="00D81340">
        <w:rPr>
          <w:rFonts w:ascii="Times New Roman" w:hAnsi="Times New Roman" w:cs="Times New Roman"/>
        </w:rPr>
        <w:t xml:space="preserve"> from the Legal team </w:t>
      </w:r>
      <w:r w:rsidR="00457ED1">
        <w:rPr>
          <w:rFonts w:ascii="Times New Roman" w:hAnsi="Times New Roman" w:cs="Times New Roman"/>
        </w:rPr>
        <w:t>for</w:t>
      </w:r>
      <w:r w:rsidRPr="00D81340">
        <w:rPr>
          <w:rFonts w:ascii="Times New Roman" w:hAnsi="Times New Roman" w:cs="Times New Roman"/>
        </w:rPr>
        <w:t xml:space="preserve"> all </w:t>
      </w:r>
      <w:r w:rsidR="00457ED1">
        <w:rPr>
          <w:rFonts w:ascii="Times New Roman" w:hAnsi="Times New Roman" w:cs="Times New Roman"/>
        </w:rPr>
        <w:t>calculation</w:t>
      </w:r>
      <w:r w:rsidRPr="00D81340">
        <w:rPr>
          <w:rFonts w:ascii="Times New Roman" w:hAnsi="Times New Roman" w:cs="Times New Roman"/>
        </w:rPr>
        <w:t xml:space="preserve"> logic</w:t>
      </w:r>
      <w:r w:rsidR="00457ED1">
        <w:rPr>
          <w:rFonts w:ascii="Times New Roman" w:hAnsi="Times New Roman" w:cs="Times New Roman"/>
        </w:rPr>
        <w:t xml:space="preserve"> and data </w:t>
      </w:r>
      <w:r w:rsidR="00051461">
        <w:rPr>
          <w:rFonts w:ascii="Times New Roman" w:hAnsi="Times New Roman" w:cs="Times New Roman"/>
        </w:rPr>
        <w:t>accuracy</w:t>
      </w:r>
      <w:r w:rsidRPr="00D81340">
        <w:rPr>
          <w:rFonts w:ascii="Times New Roman" w:hAnsi="Times New Roman" w:cs="Times New Roman"/>
        </w:rPr>
        <w:t xml:space="preserve"> before development is </w:t>
      </w:r>
      <w:r w:rsidR="00051461">
        <w:rPr>
          <w:rFonts w:ascii="Times New Roman" w:hAnsi="Times New Roman" w:cs="Times New Roman"/>
        </w:rPr>
        <w:t>initiated</w:t>
      </w:r>
      <w:r w:rsidRPr="00D81340">
        <w:rPr>
          <w:rFonts w:ascii="Times New Roman" w:hAnsi="Times New Roman" w:cs="Times New Roman"/>
        </w:rPr>
        <w:t xml:space="preserve">. The new technology involves </w:t>
      </w:r>
      <w:r w:rsidR="00051461">
        <w:rPr>
          <w:rFonts w:ascii="Times New Roman" w:hAnsi="Times New Roman" w:cs="Times New Roman"/>
        </w:rPr>
        <w:t xml:space="preserve">the implementation of an </w:t>
      </w:r>
      <w:r w:rsidRPr="00D81340">
        <w:rPr>
          <w:rFonts w:ascii="Times New Roman" w:hAnsi="Times New Roman" w:cs="Times New Roman"/>
        </w:rPr>
        <w:t xml:space="preserve">API </w:t>
      </w:r>
      <w:r w:rsidR="00051461">
        <w:rPr>
          <w:rFonts w:ascii="Times New Roman" w:hAnsi="Times New Roman" w:cs="Times New Roman"/>
        </w:rPr>
        <w:t>i</w:t>
      </w:r>
      <w:r w:rsidRPr="00D81340">
        <w:rPr>
          <w:rFonts w:ascii="Times New Roman" w:hAnsi="Times New Roman" w:cs="Times New Roman"/>
        </w:rPr>
        <w:t>ntegration</w:t>
      </w:r>
      <w:r w:rsidR="00051461">
        <w:rPr>
          <w:rFonts w:ascii="Times New Roman" w:hAnsi="Times New Roman" w:cs="Times New Roman"/>
        </w:rPr>
        <w:t>, a secure</w:t>
      </w:r>
      <w:r w:rsidRPr="00D81340">
        <w:rPr>
          <w:rFonts w:ascii="Times New Roman" w:hAnsi="Times New Roman" w:cs="Times New Roman"/>
        </w:rPr>
        <w:t xml:space="preserve"> microservice designed to pull cost data directly from the </w:t>
      </w:r>
      <w:r w:rsidR="00051461">
        <w:rPr>
          <w:rFonts w:ascii="Times New Roman" w:hAnsi="Times New Roman" w:cs="Times New Roman"/>
        </w:rPr>
        <w:t>administrative system</w:t>
      </w:r>
      <w:r w:rsidRPr="00D81340">
        <w:rPr>
          <w:rFonts w:ascii="Times New Roman" w:hAnsi="Times New Roman" w:cs="Times New Roman"/>
        </w:rPr>
        <w:t>.</w:t>
      </w:r>
    </w:p>
    <w:p w14:paraId="02F33B2F" w14:textId="376D7915" w:rsidR="00D81340" w:rsidRPr="00D81340" w:rsidRDefault="00D81340" w:rsidP="00403A4D">
      <w:pPr>
        <w:ind w:firstLine="720"/>
      </w:pPr>
      <w:r w:rsidRPr="00D81340">
        <w:t xml:space="preserve">The Gateway </w:t>
      </w:r>
      <w:r w:rsidR="000D0A58">
        <w:t>i</w:t>
      </w:r>
      <w:r w:rsidRPr="00D81340">
        <w:t>nitiative is targeted for completion within</w:t>
      </w:r>
      <w:r w:rsidR="00403A4D">
        <w:t xml:space="preserve"> </w:t>
      </w:r>
      <w:r w:rsidR="00994615">
        <w:t>twelve months</w:t>
      </w:r>
      <w:r w:rsidRPr="00D81340">
        <w:t xml:space="preserve"> (T+</w:t>
      </w:r>
      <w:r w:rsidR="00994615">
        <w:t>12</w:t>
      </w:r>
      <w:r w:rsidRPr="00D81340">
        <w:t xml:space="preserve">), following a phased approach. The first critical deliverable, the </w:t>
      </w:r>
      <w:r w:rsidR="00994615">
        <w:t xml:space="preserve">Legal/Compliance </w:t>
      </w:r>
      <w:r w:rsidR="00AD0861">
        <w:t>Gateway</w:t>
      </w:r>
      <w:r w:rsidRPr="00D81340">
        <w:t xml:space="preserve"> </w:t>
      </w:r>
      <w:r w:rsidR="00AD0861">
        <w:t>m</w:t>
      </w:r>
      <w:r w:rsidRPr="00D81340">
        <w:t>ilestone, is scheduled for T+</w:t>
      </w:r>
      <w:r w:rsidR="00AD0861">
        <w:t>6</w:t>
      </w:r>
      <w:r w:rsidRPr="00D81340">
        <w:t xml:space="preserve"> </w:t>
      </w:r>
      <w:r w:rsidR="00AD0861">
        <w:t>m</w:t>
      </w:r>
      <w:r w:rsidRPr="00D81340">
        <w:t>onth</w:t>
      </w:r>
      <w:r w:rsidR="00AD0861">
        <w:t>s</w:t>
      </w:r>
      <w:r w:rsidRPr="00D81340">
        <w:t>, where final use cases</w:t>
      </w:r>
      <w:r w:rsidR="00E73A55">
        <w:t xml:space="preserve"> and data accuracy</w:t>
      </w:r>
      <w:r w:rsidRPr="00D81340">
        <w:t xml:space="preserve"> must be </w:t>
      </w:r>
      <w:r w:rsidR="00E73A55">
        <w:t>approved</w:t>
      </w:r>
      <w:r w:rsidRPr="00D81340">
        <w:t xml:space="preserve"> by the Legal team. This is followed by the </w:t>
      </w:r>
      <w:r w:rsidR="00403A4D">
        <w:t>API/Data Integration Build Completion</w:t>
      </w:r>
      <w:r w:rsidRPr="00D81340">
        <w:t xml:space="preserve"> at T+</w:t>
      </w:r>
      <w:r w:rsidR="00403A4D">
        <w:t>7</w:t>
      </w:r>
      <w:r w:rsidRPr="00D81340">
        <w:t xml:space="preserve"> Months, signifying the development and 100% data </w:t>
      </w:r>
      <w:r w:rsidR="00403A4D">
        <w:t>validation</w:t>
      </w:r>
      <w:r w:rsidRPr="00D81340">
        <w:t xml:space="preserve"> testing of the integration layer. The project will conclude with </w:t>
      </w:r>
      <w:r w:rsidR="00403A4D">
        <w:t>p</w:t>
      </w:r>
      <w:r w:rsidRPr="00D81340">
        <w:t xml:space="preserve">roduction </w:t>
      </w:r>
      <w:r w:rsidR="00403A4D">
        <w:t>d</w:t>
      </w:r>
      <w:r w:rsidRPr="00D81340">
        <w:t xml:space="preserve">eployment and </w:t>
      </w:r>
      <w:r w:rsidR="00403A4D">
        <w:t>hand-off</w:t>
      </w:r>
      <w:r w:rsidRPr="00D81340">
        <w:t xml:space="preserve"> at T+</w:t>
      </w:r>
      <w:r w:rsidR="00403A4D">
        <w:t>12</w:t>
      </w:r>
      <w:r w:rsidRPr="00D81340">
        <w:t xml:space="preserve"> Months, launching the compliant calculator.</w:t>
      </w:r>
    </w:p>
    <w:p w14:paraId="48322CBA" w14:textId="77777777" w:rsidR="00D81340" w:rsidRPr="00D81340" w:rsidRDefault="00D81340" w:rsidP="00403A4D">
      <w:pPr>
        <w:pStyle w:val="Default"/>
        <w:suppressAutoHyphens/>
        <w:spacing w:after="240" w:line="240" w:lineRule="auto"/>
        <w:rPr>
          <w:rFonts w:ascii="Times New Roman" w:hAnsi="Times New Roman" w:cs="Times New Roman"/>
        </w:rPr>
      </w:pPr>
    </w:p>
    <w:p w14:paraId="47EAAD52" w14:textId="77777777" w:rsidR="00D81340" w:rsidRPr="001B3CEA" w:rsidRDefault="00D81340" w:rsidP="00D81340">
      <w:pPr>
        <w:pStyle w:val="Default"/>
        <w:suppressAutoHyphens/>
        <w:spacing w:after="240"/>
        <w:rPr>
          <w:rStyle w:val="SubtleReference"/>
        </w:rPr>
      </w:pPr>
      <w:r w:rsidRPr="001B3CEA">
        <w:rPr>
          <w:rStyle w:val="SubtleReference"/>
        </w:rPr>
        <w:t>Risk and Communication Strategy</w:t>
      </w:r>
    </w:p>
    <w:p w14:paraId="79204D6B" w14:textId="6A755187" w:rsidR="00D81340" w:rsidRPr="00D81340" w:rsidRDefault="00D81340" w:rsidP="001B3CEA">
      <w:pPr>
        <w:pStyle w:val="Default"/>
        <w:suppressAutoHyphens/>
        <w:spacing w:after="240" w:line="240" w:lineRule="auto"/>
        <w:ind w:firstLine="720"/>
        <w:rPr>
          <w:rFonts w:ascii="Times New Roman" w:hAnsi="Times New Roman" w:cs="Times New Roman"/>
        </w:rPr>
      </w:pPr>
      <w:r w:rsidRPr="00D81340">
        <w:rPr>
          <w:rFonts w:ascii="Times New Roman" w:hAnsi="Times New Roman" w:cs="Times New Roman"/>
        </w:rPr>
        <w:t xml:space="preserve">The highest-priority threats to project delivery are </w:t>
      </w:r>
      <w:r w:rsidR="001B3CEA">
        <w:rPr>
          <w:rFonts w:ascii="Times New Roman" w:hAnsi="Times New Roman" w:cs="Times New Roman"/>
        </w:rPr>
        <w:t>subject-matter expert (</w:t>
      </w:r>
      <w:r w:rsidRPr="00D81340">
        <w:rPr>
          <w:rFonts w:ascii="Times New Roman" w:hAnsi="Times New Roman" w:cs="Times New Roman"/>
        </w:rPr>
        <w:t>SME</w:t>
      </w:r>
      <w:r w:rsidR="001B3CEA">
        <w:rPr>
          <w:rFonts w:ascii="Times New Roman" w:hAnsi="Times New Roman" w:cs="Times New Roman"/>
        </w:rPr>
        <w:t>)</w:t>
      </w:r>
      <w:r w:rsidRPr="00D81340">
        <w:rPr>
          <w:rFonts w:ascii="Times New Roman" w:hAnsi="Times New Roman" w:cs="Times New Roman"/>
        </w:rPr>
        <w:t xml:space="preserve"> </w:t>
      </w:r>
      <w:r w:rsidR="001B3CEA">
        <w:rPr>
          <w:rFonts w:ascii="Times New Roman" w:hAnsi="Times New Roman" w:cs="Times New Roman"/>
        </w:rPr>
        <w:t>r</w:t>
      </w:r>
      <w:r w:rsidRPr="00D81340">
        <w:rPr>
          <w:rFonts w:ascii="Times New Roman" w:hAnsi="Times New Roman" w:cs="Times New Roman"/>
        </w:rPr>
        <w:t xml:space="preserve">esource </w:t>
      </w:r>
      <w:r w:rsidR="001B3CEA">
        <w:rPr>
          <w:rFonts w:ascii="Times New Roman" w:hAnsi="Times New Roman" w:cs="Times New Roman"/>
        </w:rPr>
        <w:t>c</w:t>
      </w:r>
      <w:r w:rsidRPr="00D81340">
        <w:rPr>
          <w:rFonts w:ascii="Times New Roman" w:hAnsi="Times New Roman" w:cs="Times New Roman"/>
        </w:rPr>
        <w:t xml:space="preserve">onstraints and </w:t>
      </w:r>
      <w:r w:rsidR="001B3CEA">
        <w:rPr>
          <w:rFonts w:ascii="Times New Roman" w:hAnsi="Times New Roman" w:cs="Times New Roman"/>
        </w:rPr>
        <w:t>d</w:t>
      </w:r>
      <w:r w:rsidRPr="00D81340">
        <w:rPr>
          <w:rFonts w:ascii="Times New Roman" w:hAnsi="Times New Roman" w:cs="Times New Roman"/>
        </w:rPr>
        <w:t xml:space="preserve">ata </w:t>
      </w:r>
      <w:r w:rsidR="001B3CEA">
        <w:rPr>
          <w:rFonts w:ascii="Times New Roman" w:hAnsi="Times New Roman" w:cs="Times New Roman"/>
        </w:rPr>
        <w:t>i</w:t>
      </w:r>
      <w:r w:rsidRPr="00D81340">
        <w:rPr>
          <w:rFonts w:ascii="Times New Roman" w:hAnsi="Times New Roman" w:cs="Times New Roman"/>
        </w:rPr>
        <w:t xml:space="preserve">ntegrity </w:t>
      </w:r>
      <w:r w:rsidR="001B3CEA">
        <w:rPr>
          <w:rFonts w:ascii="Times New Roman" w:hAnsi="Times New Roman" w:cs="Times New Roman"/>
        </w:rPr>
        <w:t>f</w:t>
      </w:r>
      <w:r w:rsidRPr="00D81340">
        <w:rPr>
          <w:rFonts w:ascii="Times New Roman" w:hAnsi="Times New Roman" w:cs="Times New Roman"/>
        </w:rPr>
        <w:t xml:space="preserve">ailure. These are actively mitigated by executive action and technical controls. Resource risks are addressed by </w:t>
      </w:r>
      <w:proofErr w:type="spellStart"/>
      <w:r w:rsidRPr="00D81340">
        <w:rPr>
          <w:rFonts w:ascii="Times New Roman" w:hAnsi="Times New Roman" w:cs="Times New Roman"/>
        </w:rPr>
        <w:t>a</w:t>
      </w:r>
      <w:proofErr w:type="spellEnd"/>
      <w:r w:rsidR="001B3CEA">
        <w:rPr>
          <w:rFonts w:ascii="Times New Roman" w:hAnsi="Times New Roman" w:cs="Times New Roman"/>
        </w:rPr>
        <w:t xml:space="preserve"> mandate via</w:t>
      </w:r>
      <w:r w:rsidRPr="00D81340">
        <w:rPr>
          <w:rFonts w:ascii="Times New Roman" w:hAnsi="Times New Roman" w:cs="Times New Roman"/>
        </w:rPr>
        <w:t xml:space="preserve"> </w:t>
      </w:r>
      <w:r w:rsidR="001B3CEA">
        <w:rPr>
          <w:rFonts w:ascii="Times New Roman" w:hAnsi="Times New Roman" w:cs="Times New Roman"/>
        </w:rPr>
        <w:t>e</w:t>
      </w:r>
      <w:r w:rsidRPr="00D81340">
        <w:rPr>
          <w:rFonts w:ascii="Times New Roman" w:hAnsi="Times New Roman" w:cs="Times New Roman"/>
        </w:rPr>
        <w:t xml:space="preserve">xecutive </w:t>
      </w:r>
      <w:r w:rsidR="001B3CEA">
        <w:rPr>
          <w:rFonts w:ascii="Times New Roman" w:hAnsi="Times New Roman" w:cs="Times New Roman"/>
        </w:rPr>
        <w:t>s</w:t>
      </w:r>
      <w:r w:rsidRPr="00D81340">
        <w:rPr>
          <w:rFonts w:ascii="Times New Roman" w:hAnsi="Times New Roman" w:cs="Times New Roman"/>
        </w:rPr>
        <w:t xml:space="preserve">ponsorship </w:t>
      </w:r>
      <w:r w:rsidR="001B3CEA">
        <w:rPr>
          <w:rFonts w:ascii="Times New Roman" w:hAnsi="Times New Roman" w:cs="Times New Roman"/>
        </w:rPr>
        <w:t xml:space="preserve">that </w:t>
      </w:r>
      <w:r w:rsidRPr="00D81340">
        <w:rPr>
          <w:rFonts w:ascii="Times New Roman" w:hAnsi="Times New Roman" w:cs="Times New Roman"/>
        </w:rPr>
        <w:t>secur</w:t>
      </w:r>
      <w:r w:rsidR="001B3CEA">
        <w:rPr>
          <w:rFonts w:ascii="Times New Roman" w:hAnsi="Times New Roman" w:cs="Times New Roman"/>
        </w:rPr>
        <w:t>es</w:t>
      </w:r>
      <w:r w:rsidRPr="00D81340">
        <w:rPr>
          <w:rFonts w:ascii="Times New Roman" w:hAnsi="Times New Roman" w:cs="Times New Roman"/>
        </w:rPr>
        <w:t xml:space="preserve"> dedicated time from the </w:t>
      </w:r>
      <w:r w:rsidR="001B3CEA">
        <w:rPr>
          <w:rFonts w:ascii="Times New Roman" w:hAnsi="Times New Roman" w:cs="Times New Roman"/>
        </w:rPr>
        <w:t>administrative system SME</w:t>
      </w:r>
      <w:r w:rsidRPr="00D81340">
        <w:rPr>
          <w:rFonts w:ascii="Times New Roman" w:hAnsi="Times New Roman" w:cs="Times New Roman"/>
        </w:rPr>
        <w:t xml:space="preserve">s. Data integrity is </w:t>
      </w:r>
      <w:r w:rsidR="001B3CEA">
        <w:rPr>
          <w:rFonts w:ascii="Times New Roman" w:hAnsi="Times New Roman" w:cs="Times New Roman"/>
        </w:rPr>
        <w:t>assured</w:t>
      </w:r>
      <w:r w:rsidRPr="00D81340">
        <w:rPr>
          <w:rFonts w:ascii="Times New Roman" w:hAnsi="Times New Roman" w:cs="Times New Roman"/>
        </w:rPr>
        <w:t xml:space="preserve"> by the mandatory </w:t>
      </w:r>
      <w:r w:rsidR="001B3CEA">
        <w:rPr>
          <w:rFonts w:ascii="Times New Roman" w:hAnsi="Times New Roman" w:cs="Times New Roman"/>
        </w:rPr>
        <w:t>legal/compliance approval g</w:t>
      </w:r>
      <w:r w:rsidRPr="00D81340">
        <w:rPr>
          <w:rFonts w:ascii="Times New Roman" w:hAnsi="Times New Roman" w:cs="Times New Roman"/>
        </w:rPr>
        <w:t>ateway and mandatory 100% automated integration testing.</w:t>
      </w:r>
    </w:p>
    <w:p w14:paraId="092155BB" w14:textId="1E3FA34F" w:rsidR="00F951AD" w:rsidRPr="00595519" w:rsidRDefault="00D81340" w:rsidP="00C879C6">
      <w:pPr>
        <w:pStyle w:val="Default"/>
        <w:suppressAutoHyphens/>
        <w:spacing w:before="0" w:after="240" w:line="240" w:lineRule="auto"/>
        <w:ind w:firstLine="720"/>
        <w:rPr>
          <w:rFonts w:ascii="Times New Roman" w:eastAsia="Times Roman" w:hAnsi="Times New Roman" w:cs="Times New Roman"/>
        </w:rPr>
      </w:pPr>
      <w:r w:rsidRPr="00D81340">
        <w:rPr>
          <w:rFonts w:ascii="Times New Roman" w:hAnsi="Times New Roman" w:cs="Times New Roman"/>
        </w:rPr>
        <w:t xml:space="preserve">Stakeholder communication is tailored by audience and frequency. The Steering Committee (Executive) will receive bi-weekly briefings focused primarily on risk register updates, resource </w:t>
      </w:r>
      <w:r w:rsidR="00841B5E">
        <w:rPr>
          <w:rFonts w:ascii="Times New Roman" w:hAnsi="Times New Roman" w:cs="Times New Roman"/>
        </w:rPr>
        <w:t>concerns</w:t>
      </w:r>
      <w:r w:rsidRPr="00D81340">
        <w:rPr>
          <w:rFonts w:ascii="Times New Roman" w:hAnsi="Times New Roman" w:cs="Times New Roman"/>
        </w:rPr>
        <w:t xml:space="preserve">, and formal sign-off requests. </w:t>
      </w:r>
      <w:r w:rsidR="00841B5E">
        <w:rPr>
          <w:rFonts w:ascii="Times New Roman" w:hAnsi="Times New Roman" w:cs="Times New Roman"/>
        </w:rPr>
        <w:t>Business stakeholders and others with a vested interest in the project’s outcome will be furnished with weekly status reports</w:t>
      </w:r>
      <w:r w:rsidR="00AC1FBD">
        <w:rPr>
          <w:rFonts w:ascii="Times New Roman" w:hAnsi="Times New Roman" w:cs="Times New Roman"/>
        </w:rPr>
        <w:t xml:space="preserve"> that furnish information about project health, timeline updates, deliverable status, and risk updates</w:t>
      </w:r>
      <w:r w:rsidR="00841B5E">
        <w:rPr>
          <w:rFonts w:ascii="Times New Roman" w:hAnsi="Times New Roman" w:cs="Times New Roman"/>
        </w:rPr>
        <w:t xml:space="preserve">. </w:t>
      </w:r>
      <w:r w:rsidRPr="00D81340">
        <w:rPr>
          <w:rFonts w:ascii="Times New Roman" w:hAnsi="Times New Roman" w:cs="Times New Roman"/>
        </w:rPr>
        <w:t xml:space="preserve">Technical and development teams will hold daily </w:t>
      </w:r>
      <w:r w:rsidR="00841B5E">
        <w:rPr>
          <w:rFonts w:ascii="Times New Roman" w:hAnsi="Times New Roman" w:cs="Times New Roman"/>
        </w:rPr>
        <w:t>meetings</w:t>
      </w:r>
      <w:r w:rsidRPr="00D81340">
        <w:rPr>
          <w:rFonts w:ascii="Times New Roman" w:hAnsi="Times New Roman" w:cs="Times New Roman"/>
        </w:rPr>
        <w:t xml:space="preserve"> focused on integration</w:t>
      </w:r>
      <w:r w:rsidR="00AC1FBD">
        <w:rPr>
          <w:rFonts w:ascii="Times New Roman" w:hAnsi="Times New Roman" w:cs="Times New Roman"/>
        </w:rPr>
        <w:t>, UI/UX development and testing</w:t>
      </w:r>
      <w:r w:rsidRPr="00D81340">
        <w:rPr>
          <w:rFonts w:ascii="Times New Roman" w:hAnsi="Times New Roman" w:cs="Times New Roman"/>
        </w:rPr>
        <w:t>. This disciplined communication structure ensures the critical link between regulatory compliance and technical execution remains transparent to all leaders, providing a clear and managed path to institutional compliance</w:t>
      </w:r>
      <w:r w:rsidR="001D1196">
        <w:rPr>
          <w:rFonts w:ascii="Times New Roman" w:hAnsi="Times New Roman" w:cs="Times New Roman"/>
        </w:rPr>
        <w:t>.</w:t>
      </w:r>
    </w:p>
    <w:p w14:paraId="254E0848" w14:textId="77777777" w:rsidR="00386992" w:rsidRDefault="00386992" w:rsidP="00A55071">
      <w:pPr>
        <w:pStyle w:val="Default"/>
        <w:suppressAutoHyphens/>
        <w:spacing w:before="0" w:after="299" w:line="240" w:lineRule="auto"/>
      </w:pPr>
    </w:p>
    <w:sectPr w:rsidR="00386992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2DDD7E" w14:textId="77777777" w:rsidR="0022589D" w:rsidRDefault="0022589D">
      <w:r>
        <w:separator/>
      </w:r>
    </w:p>
  </w:endnote>
  <w:endnote w:type="continuationSeparator" w:id="0">
    <w:p w14:paraId="1AE97499" w14:textId="77777777" w:rsidR="0022589D" w:rsidRDefault="00225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Roman">
    <w:altName w:val="Times New Roman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CFA50" w14:textId="77777777" w:rsidR="00D30C7D" w:rsidRDefault="00D30C7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725D85" w14:textId="77777777" w:rsidR="0022589D" w:rsidRDefault="0022589D">
      <w:r>
        <w:separator/>
      </w:r>
    </w:p>
  </w:footnote>
  <w:footnote w:type="continuationSeparator" w:id="0">
    <w:p w14:paraId="4E22B418" w14:textId="77777777" w:rsidR="0022589D" w:rsidRDefault="002258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0C69AE" w14:textId="77777777" w:rsidR="00D30C7D" w:rsidRDefault="00D30C7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966AD"/>
    <w:multiLevelType w:val="hybridMultilevel"/>
    <w:tmpl w:val="7CEA8C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C830F3"/>
    <w:multiLevelType w:val="hybridMultilevel"/>
    <w:tmpl w:val="36FCC478"/>
    <w:numStyleLink w:val="Bullet"/>
  </w:abstractNum>
  <w:abstractNum w:abstractNumId="2" w15:restartNumberingAfterBreak="0">
    <w:nsid w:val="29E437B1"/>
    <w:multiLevelType w:val="hybridMultilevel"/>
    <w:tmpl w:val="0D3AE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991B40"/>
    <w:multiLevelType w:val="hybridMultilevel"/>
    <w:tmpl w:val="36FCC478"/>
    <w:styleLink w:val="Bullet"/>
    <w:lvl w:ilvl="0" w:tplc="D3781A8A">
      <w:start w:val="1"/>
      <w:numFmt w:val="bullet"/>
      <w:lvlText w:val="•"/>
      <w:lvlJc w:val="left"/>
      <w:pPr>
        <w:ind w:left="72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026D98C">
      <w:start w:val="1"/>
      <w:numFmt w:val="bullet"/>
      <w:lvlText w:val="•"/>
      <w:lvlJc w:val="left"/>
      <w:pPr>
        <w:ind w:left="94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34A6564">
      <w:start w:val="1"/>
      <w:numFmt w:val="bullet"/>
      <w:lvlText w:val="•"/>
      <w:lvlJc w:val="left"/>
      <w:pPr>
        <w:ind w:left="116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FDC6A42">
      <w:start w:val="1"/>
      <w:numFmt w:val="bullet"/>
      <w:lvlText w:val="•"/>
      <w:lvlJc w:val="left"/>
      <w:pPr>
        <w:ind w:left="138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E0F80DAA">
      <w:start w:val="1"/>
      <w:numFmt w:val="bullet"/>
      <w:lvlText w:val="•"/>
      <w:lvlJc w:val="left"/>
      <w:pPr>
        <w:ind w:left="160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8F49BCC">
      <w:start w:val="1"/>
      <w:numFmt w:val="bullet"/>
      <w:lvlText w:val="•"/>
      <w:lvlJc w:val="left"/>
      <w:pPr>
        <w:ind w:left="182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525868C2">
      <w:start w:val="1"/>
      <w:numFmt w:val="bullet"/>
      <w:lvlText w:val="•"/>
      <w:lvlJc w:val="left"/>
      <w:pPr>
        <w:ind w:left="204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F86EBB0">
      <w:start w:val="1"/>
      <w:numFmt w:val="bullet"/>
      <w:lvlText w:val="•"/>
      <w:lvlJc w:val="left"/>
      <w:pPr>
        <w:ind w:left="226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58068B8">
      <w:start w:val="1"/>
      <w:numFmt w:val="bullet"/>
      <w:lvlText w:val="•"/>
      <w:lvlJc w:val="left"/>
      <w:pPr>
        <w:ind w:left="248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 w15:restartNumberingAfterBreak="0">
    <w:nsid w:val="5A744B15"/>
    <w:multiLevelType w:val="hybridMultilevel"/>
    <w:tmpl w:val="128E4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C6C49"/>
    <w:multiLevelType w:val="hybridMultilevel"/>
    <w:tmpl w:val="0C56B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C2F03"/>
    <w:multiLevelType w:val="hybridMultilevel"/>
    <w:tmpl w:val="09B6C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4938D9"/>
    <w:multiLevelType w:val="hybridMultilevel"/>
    <w:tmpl w:val="20A84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8412DF"/>
    <w:multiLevelType w:val="hybridMultilevel"/>
    <w:tmpl w:val="4B7E9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AA198E"/>
    <w:multiLevelType w:val="hybridMultilevel"/>
    <w:tmpl w:val="1F229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7122471">
    <w:abstractNumId w:val="4"/>
  </w:num>
  <w:num w:numId="2" w16cid:durableId="176701256">
    <w:abstractNumId w:val="3"/>
  </w:num>
  <w:num w:numId="3" w16cid:durableId="767040185">
    <w:abstractNumId w:val="1"/>
  </w:num>
  <w:num w:numId="4" w16cid:durableId="424349625">
    <w:abstractNumId w:val="6"/>
  </w:num>
  <w:num w:numId="5" w16cid:durableId="632177649">
    <w:abstractNumId w:val="2"/>
  </w:num>
  <w:num w:numId="6" w16cid:durableId="740055374">
    <w:abstractNumId w:val="5"/>
  </w:num>
  <w:num w:numId="7" w16cid:durableId="958726399">
    <w:abstractNumId w:val="7"/>
  </w:num>
  <w:num w:numId="8" w16cid:durableId="1532297899">
    <w:abstractNumId w:val="9"/>
  </w:num>
  <w:num w:numId="9" w16cid:durableId="1827354910">
    <w:abstractNumId w:val="0"/>
  </w:num>
  <w:num w:numId="10" w16cid:durableId="20601566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C7D"/>
    <w:rsid w:val="00051461"/>
    <w:rsid w:val="00052674"/>
    <w:rsid w:val="00071FFA"/>
    <w:rsid w:val="00082036"/>
    <w:rsid w:val="00087D0C"/>
    <w:rsid w:val="000B7E85"/>
    <w:rsid w:val="000D0A58"/>
    <w:rsid w:val="000E4CD8"/>
    <w:rsid w:val="0011791E"/>
    <w:rsid w:val="00122731"/>
    <w:rsid w:val="00130F18"/>
    <w:rsid w:val="00155882"/>
    <w:rsid w:val="00181DCF"/>
    <w:rsid w:val="001B34C9"/>
    <w:rsid w:val="001B3BB7"/>
    <w:rsid w:val="001B3CEA"/>
    <w:rsid w:val="001D06A9"/>
    <w:rsid w:val="001D1196"/>
    <w:rsid w:val="001E3A5D"/>
    <w:rsid w:val="001E5A7D"/>
    <w:rsid w:val="001E7C0D"/>
    <w:rsid w:val="0022589D"/>
    <w:rsid w:val="0023760E"/>
    <w:rsid w:val="002500E6"/>
    <w:rsid w:val="00256C63"/>
    <w:rsid w:val="00261687"/>
    <w:rsid w:val="00261788"/>
    <w:rsid w:val="00264300"/>
    <w:rsid w:val="00270EA6"/>
    <w:rsid w:val="002B159D"/>
    <w:rsid w:val="002C3D47"/>
    <w:rsid w:val="002D5AFC"/>
    <w:rsid w:val="002F4423"/>
    <w:rsid w:val="00304A22"/>
    <w:rsid w:val="003421B6"/>
    <w:rsid w:val="00346A78"/>
    <w:rsid w:val="00386992"/>
    <w:rsid w:val="0039427B"/>
    <w:rsid w:val="003D7992"/>
    <w:rsid w:val="003E7FE8"/>
    <w:rsid w:val="00400AF9"/>
    <w:rsid w:val="00403884"/>
    <w:rsid w:val="00403A4D"/>
    <w:rsid w:val="00434A1D"/>
    <w:rsid w:val="00445ADC"/>
    <w:rsid w:val="00457ED1"/>
    <w:rsid w:val="0046416E"/>
    <w:rsid w:val="00493596"/>
    <w:rsid w:val="00497A85"/>
    <w:rsid w:val="004A2A58"/>
    <w:rsid w:val="004B34FB"/>
    <w:rsid w:val="004C37EE"/>
    <w:rsid w:val="004D5BC4"/>
    <w:rsid w:val="004E7200"/>
    <w:rsid w:val="004F4665"/>
    <w:rsid w:val="005148E6"/>
    <w:rsid w:val="00554EA7"/>
    <w:rsid w:val="00561654"/>
    <w:rsid w:val="005A3959"/>
    <w:rsid w:val="005F3A6E"/>
    <w:rsid w:val="006060A0"/>
    <w:rsid w:val="00620C39"/>
    <w:rsid w:val="00650614"/>
    <w:rsid w:val="00662547"/>
    <w:rsid w:val="00687644"/>
    <w:rsid w:val="006D5045"/>
    <w:rsid w:val="00751921"/>
    <w:rsid w:val="00766098"/>
    <w:rsid w:val="007678F0"/>
    <w:rsid w:val="007817EC"/>
    <w:rsid w:val="007D4655"/>
    <w:rsid w:val="0080557B"/>
    <w:rsid w:val="00806B15"/>
    <w:rsid w:val="00836781"/>
    <w:rsid w:val="00841B5E"/>
    <w:rsid w:val="00850E0E"/>
    <w:rsid w:val="008739C4"/>
    <w:rsid w:val="00894820"/>
    <w:rsid w:val="008B6F76"/>
    <w:rsid w:val="008D23D0"/>
    <w:rsid w:val="008E457F"/>
    <w:rsid w:val="008F35B5"/>
    <w:rsid w:val="00961347"/>
    <w:rsid w:val="00975CEF"/>
    <w:rsid w:val="00990107"/>
    <w:rsid w:val="00994615"/>
    <w:rsid w:val="009D1EC0"/>
    <w:rsid w:val="009F5988"/>
    <w:rsid w:val="00A03EE4"/>
    <w:rsid w:val="00A10998"/>
    <w:rsid w:val="00A46B48"/>
    <w:rsid w:val="00A55071"/>
    <w:rsid w:val="00A67429"/>
    <w:rsid w:val="00A7300E"/>
    <w:rsid w:val="00AA72E1"/>
    <w:rsid w:val="00AC1FBD"/>
    <w:rsid w:val="00AD0861"/>
    <w:rsid w:val="00B24C5F"/>
    <w:rsid w:val="00B342C2"/>
    <w:rsid w:val="00B45AED"/>
    <w:rsid w:val="00BA7D68"/>
    <w:rsid w:val="00BE09AA"/>
    <w:rsid w:val="00C468F8"/>
    <w:rsid w:val="00C5229A"/>
    <w:rsid w:val="00C879C6"/>
    <w:rsid w:val="00CB15C9"/>
    <w:rsid w:val="00D30C7D"/>
    <w:rsid w:val="00D81340"/>
    <w:rsid w:val="00DD2B8C"/>
    <w:rsid w:val="00E03A19"/>
    <w:rsid w:val="00E41CA0"/>
    <w:rsid w:val="00E73A55"/>
    <w:rsid w:val="00E7655E"/>
    <w:rsid w:val="00E85794"/>
    <w:rsid w:val="00EF78A7"/>
    <w:rsid w:val="00F41594"/>
    <w:rsid w:val="00F518F8"/>
    <w:rsid w:val="00F951AD"/>
    <w:rsid w:val="00F97EB3"/>
    <w:rsid w:val="00FF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5B264B"/>
  <w15:docId w15:val="{56135AED-0D9F-48F2-AD1E-2A18FAC5E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styleId="SubtleReference">
    <w:name w:val="Subtle Reference"/>
    <w:basedOn w:val="DefaultParagraphFont"/>
    <w:uiPriority w:val="31"/>
    <w:qFormat/>
    <w:rsid w:val="000B7E85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4C37EE"/>
    <w:pPr>
      <w:ind w:left="720"/>
      <w:contextualSpacing/>
    </w:pPr>
  </w:style>
  <w:style w:type="numbering" w:customStyle="1" w:styleId="Bullet">
    <w:name w:val="Bullet"/>
    <w:rsid w:val="00DD2B8C"/>
    <w:pPr>
      <w:numPr>
        <w:numId w:val="2"/>
      </w:numPr>
    </w:pPr>
  </w:style>
  <w:style w:type="table" w:styleId="TableGrid">
    <w:name w:val="Table Grid"/>
    <w:basedOn w:val="TableNormal"/>
    <w:uiPriority w:val="39"/>
    <w:rsid w:val="00A550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87D0C"/>
    <w:rPr>
      <w:color w:val="605E5C"/>
      <w:shd w:val="clear" w:color="auto" w:fill="E1DFDD"/>
    </w:rPr>
  </w:style>
  <w:style w:type="character" w:customStyle="1" w:styleId="None">
    <w:name w:val="None"/>
    <w:rsid w:val="00805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561</Words>
  <Characters>3553</Characters>
  <Application>Microsoft Office Word</Application>
  <DocSecurity>0</DocSecurity>
  <Lines>107</Lines>
  <Paragraphs>76</Paragraphs>
  <ScaleCrop>false</ScaleCrop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Slothk8 Herrick</dc:creator>
  <cp:lastModifiedBy>Slothk8 Herrick</cp:lastModifiedBy>
  <cp:revision>110</cp:revision>
  <dcterms:created xsi:type="dcterms:W3CDTF">2025-10-26T16:43:00Z</dcterms:created>
  <dcterms:modified xsi:type="dcterms:W3CDTF">2025-10-29T11:50:00Z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d8b3389b-1127-4b51-a2b4-e317fdbb712a</vt:lpwstr>
  </property>
</Properties>
</file>