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uppressAutoHyphens w:val="1"/>
        <w:spacing w:before="0" w:after="299" w:line="240" w:lineRule="auto"/>
        <w:jc w:val="left"/>
        <w:rPr>
          <w:rFonts w:ascii="Times Roman" w:cs="Times Roman" w:hAnsi="Times Roman" w:eastAsia="Times Roman"/>
          <w:b w:val="1"/>
          <w:bCs w:val="1"/>
          <w:sz w:val="36"/>
          <w:szCs w:val="36"/>
        </w:rPr>
      </w:pPr>
      <w:r>
        <w:rPr>
          <w:rFonts w:ascii="Times Roman" w:hAnsi="Times Roman"/>
          <w:b w:val="1"/>
          <w:bCs w:val="1"/>
          <w:sz w:val="36"/>
          <w:szCs w:val="36"/>
          <w:rtl w:val="0"/>
          <w:lang w:val="en-US"/>
        </w:rPr>
        <w:t>Literature Review Outline (Revised for Public Access)</w:t>
      </w:r>
    </w:p>
    <w:p>
      <w:pPr>
        <w:pStyle w:val="Default"/>
        <w:suppressAutoHyphens w:val="1"/>
        <w:spacing w:before="0" w:after="240" w:line="240" w:lineRule="auto"/>
        <w:jc w:val="left"/>
        <w:rPr>
          <w:rFonts w:ascii="Times Roman" w:cs="Times Roman" w:hAnsi="Times Roman" w:eastAsia="Times Roman"/>
        </w:rPr>
      </w:pPr>
      <w:r>
        <w:rPr>
          <w:rFonts w:ascii="Times Roman" w:hAnsi="Times Roman"/>
          <w:rtl w:val="0"/>
          <w:lang w:val="en-US"/>
        </w:rPr>
        <w:t>This outline addresses the IT challenges of the Arborwood University cost calculator project by grounding the technical solution in compliance, data integrity, and the strategic necessity of transparency, using publicly accessible sources.</w:t>
      </w:r>
    </w:p>
    <w:p>
      <w:pPr>
        <w:pStyle w:val="Default"/>
        <w:suppressAutoHyphens w:val="1"/>
        <w:spacing w:before="0" w:after="281" w:line="240" w:lineRule="auto"/>
        <w:jc w:val="left"/>
        <w:rPr>
          <w:rFonts w:ascii="Times Roman" w:cs="Times Roman" w:hAnsi="Times Roman" w:eastAsia="Times Roman"/>
          <w:b w:val="1"/>
          <w:bCs w:val="1"/>
          <w:sz w:val="28"/>
          <w:szCs w:val="28"/>
        </w:rPr>
      </w:pPr>
      <w:r>
        <w:rPr>
          <w:rFonts w:ascii="Times Roman" w:hAnsi="Times Roman"/>
          <w:b w:val="1"/>
          <w:bCs w:val="1"/>
          <w:sz w:val="28"/>
          <w:szCs w:val="28"/>
          <w:rtl w:val="0"/>
          <w:lang w:val="en-US"/>
        </w:rPr>
        <w:t>I. Governing Risk: Formalizing Compliance Gateways in IT Projects</w:t>
      </w:r>
    </w:p>
    <w:p>
      <w:pPr>
        <w:pStyle w:val="Default"/>
        <w:suppressAutoHyphens w:val="1"/>
        <w:spacing w:before="0" w:after="240" w:line="240" w:lineRule="auto"/>
        <w:jc w:val="left"/>
        <w:rPr>
          <w:rFonts w:ascii="Times Roman" w:cs="Times Roman" w:hAnsi="Times Roman" w:eastAsia="Times Roman"/>
        </w:rPr>
      </w:pPr>
      <w:r>
        <w:rPr>
          <w:rFonts w:ascii="Times Roman" w:hAnsi="Times Roman"/>
          <w:rtl w:val="0"/>
          <w:lang w:val="en-US"/>
        </w:rPr>
        <w:t xml:space="preserve">This theme reviews research on how organizations mitigate critical regulatory risks by embedding formal legal and compliance checkpoints (or </w:t>
      </w:r>
      <w:r>
        <w:rPr>
          <w:rFonts w:ascii="Times Roman" w:hAnsi="Times Roman"/>
          <w:b w:val="1"/>
          <w:bCs w:val="1"/>
          <w:rtl w:val="0"/>
          <w:lang w:val="en-US"/>
        </w:rPr>
        <w:t>gateways</w:t>
      </w:r>
      <w:r>
        <w:rPr>
          <w:rFonts w:ascii="Times Roman" w:hAnsi="Times Roman"/>
          <w:rtl w:val="0"/>
          <w:lang w:val="en-US"/>
        </w:rPr>
        <w:t>) directly into the technology development and governance lifecycle.</w:t>
      </w:r>
    </w:p>
    <w:p>
      <w:pPr>
        <w:pStyle w:val="Default"/>
        <w:suppressAutoHyphens w:val="1"/>
        <w:spacing w:before="0" w:after="240" w:line="240" w:lineRule="auto"/>
        <w:jc w:val="left"/>
        <w:rPr>
          <w:rFonts w:ascii="Times Roman" w:cs="Times Roman" w:hAnsi="Times Roman" w:eastAsia="Times Roman"/>
          <w:b w:val="0"/>
          <w:bCs w:val="0"/>
        </w:rPr>
      </w:pPr>
      <w:r>
        <w:rPr>
          <w:rFonts w:ascii="Times Roman" w:hAnsi="Times Roman"/>
          <w:b w:val="1"/>
          <w:bCs w:val="1"/>
          <w:rtl w:val="0"/>
          <w:lang w:val="en-US"/>
        </w:rPr>
        <w:t>1. Example Resource: The Strategic Role of Governance</w:t>
      </w:r>
    </w:p>
    <w:p>
      <w:pPr>
        <w:pStyle w:val="Default"/>
        <w:suppressAutoHyphens w:val="1"/>
        <w:spacing w:before="0" w:after="240" w:line="240" w:lineRule="auto"/>
        <w:jc w:val="left"/>
        <w:rPr>
          <w:rFonts w:ascii="Times Roman" w:cs="Times Roman" w:hAnsi="Times Roman" w:eastAsia="Times Roman"/>
          <w:i w:val="0"/>
          <w:iCs w:val="0"/>
        </w:rPr>
      </w:pPr>
      <w:r>
        <w:rPr>
          <w:rFonts w:ascii="Times Roman" w:hAnsi="Times Roman"/>
          <w:b w:val="1"/>
          <w:bCs w:val="1"/>
          <w:i w:val="0"/>
          <w:iCs w:val="0"/>
          <w:rtl w:val="0"/>
          <w:lang w:val="en-US"/>
        </w:rPr>
        <w:t>Citation:</w:t>
      </w:r>
      <w:r>
        <w:rPr>
          <w:rFonts w:ascii="Times Roman" w:hAnsi="Times Roman"/>
          <w:i w:val="0"/>
          <w:iCs w:val="0"/>
          <w:rtl w:val="0"/>
          <w:lang w:val="en-US"/>
        </w:rPr>
        <w:t xml:space="preserve"> Kaplan, R. S., &amp; Norton, D. P. (2007). </w:t>
      </w:r>
      <w:r>
        <w:rPr>
          <w:rFonts w:ascii="Times Roman" w:hAnsi="Times Roman"/>
          <w:i w:val="1"/>
          <w:iCs w:val="1"/>
          <w:rtl w:val="0"/>
          <w:lang w:val="en-US"/>
        </w:rPr>
        <w:t>The execution premium: Linking strategy to results.</w:t>
      </w:r>
      <w:r>
        <w:rPr>
          <w:rFonts w:ascii="Times Roman" w:hAnsi="Times Roman"/>
          <w:i w:val="0"/>
          <w:iCs w:val="0"/>
          <w:rtl w:val="0"/>
          <w:lang w:val="en-US"/>
        </w:rPr>
        <w:t xml:space="preserve"> Harvard Business Review Press.</w:t>
      </w:r>
    </w:p>
    <w:p>
      <w:pPr>
        <w:pStyle w:val="Default"/>
        <w:suppressAutoHyphens w:val="1"/>
        <w:spacing w:before="0" w:after="240" w:line="240" w:lineRule="auto"/>
        <w:jc w:val="left"/>
        <w:rPr>
          <w:rFonts w:ascii="Times Roman" w:cs="Times Roman" w:hAnsi="Times Roman" w:eastAsia="Times Roman"/>
        </w:rPr>
      </w:pPr>
      <w:r>
        <w:rPr>
          <w:rFonts w:ascii="Times Roman" w:hAnsi="Times Roman"/>
          <w:b w:val="1"/>
          <w:bCs w:val="1"/>
          <w:rtl w:val="0"/>
          <w:lang w:val="en-US"/>
        </w:rPr>
        <w:t>Description:</w:t>
      </w:r>
      <w:r>
        <w:rPr>
          <w:rFonts w:ascii="Times Roman" w:hAnsi="Times Roman"/>
          <w:rtl w:val="0"/>
          <w:lang w:val="en-US"/>
        </w:rPr>
        <w:t xml:space="preserve"> This seminal business strategy text argues that formal </w:t>
      </w:r>
      <w:r>
        <w:rPr>
          <w:rFonts w:ascii="Times Roman" w:hAnsi="Times Roman"/>
          <w:b w:val="1"/>
          <w:bCs w:val="1"/>
          <w:rtl w:val="0"/>
          <w:lang w:val="en-US"/>
        </w:rPr>
        <w:t>governance structures</w:t>
      </w:r>
      <w:r>
        <w:rPr>
          <w:rFonts w:ascii="Times Roman" w:hAnsi="Times Roman"/>
          <w:rtl w:val="0"/>
          <w:lang w:val="en-US"/>
        </w:rPr>
        <w:t xml:space="preserve"> are essential for translating strategic goals (like meeting market demand for transparency) into project-level controls (like your compliance gateway). This prevents the kind of misalignment between executive intent and operational execution that derailed the previous effort.</w:t>
      </w:r>
    </w:p>
    <w:p>
      <w:pPr>
        <w:pStyle w:val="Default"/>
        <w:suppressAutoHyphens w:val="1"/>
        <w:spacing w:before="0" w:after="240" w:line="240" w:lineRule="auto"/>
        <w:jc w:val="left"/>
        <w:rPr>
          <w:rFonts w:ascii="Times Roman" w:cs="Times Roman" w:hAnsi="Times Roman" w:eastAsia="Times Roman"/>
          <w:b w:val="0"/>
          <w:bCs w:val="0"/>
        </w:rPr>
      </w:pPr>
      <w:r>
        <w:rPr>
          <w:rFonts w:ascii="Times Roman" w:hAnsi="Times Roman"/>
          <w:b w:val="1"/>
          <w:bCs w:val="1"/>
          <w:rtl w:val="0"/>
          <w:lang w:val="en-US"/>
        </w:rPr>
        <w:t>2. Example Resource: IT Governance and Risk Management Frameworks</w:t>
      </w:r>
    </w:p>
    <w:p>
      <w:pPr>
        <w:pStyle w:val="Default"/>
        <w:suppressAutoHyphens w:val="1"/>
        <w:spacing w:before="0" w:after="240" w:line="240" w:lineRule="auto"/>
        <w:jc w:val="left"/>
        <w:rPr>
          <w:rFonts w:ascii="Times Roman" w:cs="Times Roman" w:hAnsi="Times Roman" w:eastAsia="Times Roman"/>
        </w:rPr>
      </w:pPr>
      <w:r>
        <w:rPr>
          <w:rFonts w:ascii="Times Roman" w:hAnsi="Times Roman"/>
          <w:b w:val="1"/>
          <w:bCs w:val="1"/>
          <w:rtl w:val="0"/>
          <w:lang w:val="en-US"/>
        </w:rPr>
        <w:t>Citation:</w:t>
      </w:r>
      <w:r>
        <w:rPr>
          <w:rFonts w:ascii="Times Roman" w:hAnsi="Times Roman"/>
          <w:rtl w:val="0"/>
          <w:lang w:val="en-US"/>
        </w:rPr>
        <w:t xml:space="preserve"> ISACA. (2019). </w:t>
      </w:r>
      <w:r>
        <w:rPr>
          <w:rFonts w:ascii="Times Roman" w:hAnsi="Times Roman"/>
          <w:i w:val="1"/>
          <w:iCs w:val="1"/>
          <w:rtl w:val="0"/>
          <w:lang w:val="en-US"/>
        </w:rPr>
        <w:t>COBIT 2019 Framework: Introduction and Methodology.</w:t>
      </w:r>
      <w:r>
        <w:rPr>
          <w:rFonts w:ascii="Times Roman" w:hAnsi="Times Roman"/>
          <w:rtl w:val="0"/>
          <w:lang w:val="en-US"/>
        </w:rPr>
        <w:t xml:space="preserve"> ISACA. Retrieved from [Insert COBIT 2019 PDF Link Here]</w:t>
      </w:r>
    </w:p>
    <w:p>
      <w:pPr>
        <w:pStyle w:val="Default"/>
        <w:suppressAutoHyphens w:val="1"/>
        <w:spacing w:before="0" w:after="240" w:line="240" w:lineRule="auto"/>
        <w:jc w:val="left"/>
        <w:rPr>
          <w:rFonts w:ascii="Times Roman" w:cs="Times Roman" w:hAnsi="Times Roman" w:eastAsia="Times Roman"/>
        </w:rPr>
      </w:pPr>
      <w:r>
        <w:rPr>
          <w:rFonts w:ascii="Times Roman" w:hAnsi="Times Roman"/>
          <w:b w:val="1"/>
          <w:bCs w:val="1"/>
          <w:rtl w:val="0"/>
          <w:lang w:val="en-US"/>
        </w:rPr>
        <w:t>Description:</w:t>
      </w:r>
      <w:r>
        <w:rPr>
          <w:rFonts w:ascii="Times Roman" w:hAnsi="Times Roman"/>
          <w:rtl w:val="0"/>
          <w:lang w:val="en-US"/>
        </w:rPr>
        <w:t xml:space="preserve"> The </w:t>
      </w:r>
      <w:r>
        <w:rPr>
          <w:rFonts w:ascii="Times Roman" w:hAnsi="Times Roman"/>
          <w:b w:val="1"/>
          <w:bCs w:val="1"/>
          <w:rtl w:val="0"/>
          <w:lang w:val="en-US"/>
        </w:rPr>
        <w:t>COBIT framework</w:t>
      </w:r>
      <w:r>
        <w:rPr>
          <w:rFonts w:ascii="Times Roman" w:hAnsi="Times Roman"/>
          <w:rtl w:val="0"/>
          <w:lang w:val="en-US"/>
        </w:rPr>
        <w:t xml:space="preserve"> is a globally recognized standard for IT governance. This source provides a robust model for managing IT-related risk, directly supporting the inclusion of a formal, documentation-heavy control process</w:t>
      </w:r>
      <w:r>
        <w:rPr>
          <w:rFonts w:ascii="Times Roman" w:hAnsi="Times Roman" w:hint="default"/>
          <w:rtl w:val="0"/>
          <w:lang w:val="en-US"/>
        </w:rPr>
        <w:t>—</w:t>
      </w:r>
      <w:r>
        <w:rPr>
          <w:rFonts w:ascii="Times Roman" w:hAnsi="Times Roman"/>
          <w:rtl w:val="0"/>
          <w:lang w:val="en-US"/>
        </w:rPr>
        <w:t xml:space="preserve">your </w:t>
      </w:r>
      <w:r>
        <w:rPr>
          <w:rFonts w:ascii="Times Roman" w:hAnsi="Times Roman"/>
          <w:b w:val="1"/>
          <w:bCs w:val="1"/>
          <w:rtl w:val="0"/>
          <w:lang w:val="en-US"/>
        </w:rPr>
        <w:t>Legal Gateway</w:t>
      </w:r>
      <w:r>
        <w:rPr>
          <w:rFonts w:ascii="Times Roman" w:hAnsi="Times Roman" w:hint="default"/>
          <w:rtl w:val="0"/>
          <w:lang w:val="en-US"/>
        </w:rPr>
        <w:t>—</w:t>
      </w:r>
      <w:r>
        <w:rPr>
          <w:rFonts w:ascii="Times Roman" w:hAnsi="Times Roman"/>
          <w:rtl w:val="0"/>
          <w:lang w:val="en-US"/>
        </w:rPr>
        <w:t>as a mandatory milestone in the project's design phase.</w:t>
      </w:r>
    </w:p>
    <w:p>
      <w:pPr>
        <w:pStyle w:val="Default"/>
        <w:suppressAutoHyphens w:val="1"/>
        <w:spacing w:before="0" w:after="240" w:line="240" w:lineRule="auto"/>
        <w:jc w:val="left"/>
        <w:rPr>
          <w:rFonts w:ascii="Times Roman" w:cs="Times Roman" w:hAnsi="Times Roman" w:eastAsia="Times Roman"/>
          <w:b w:val="0"/>
          <w:bCs w:val="0"/>
        </w:rPr>
      </w:pPr>
      <w:r>
        <w:rPr>
          <w:rFonts w:ascii="Times Roman" w:hAnsi="Times Roman"/>
          <w:b w:val="1"/>
          <w:bCs w:val="1"/>
          <w:rtl w:val="0"/>
          <w:lang w:val="en-US"/>
        </w:rPr>
        <w:t>3. Example Resource: Aligning Compliance with Project Management</w:t>
      </w:r>
    </w:p>
    <w:p>
      <w:pPr>
        <w:pStyle w:val="Default"/>
        <w:suppressAutoHyphens w:val="1"/>
        <w:spacing w:before="0" w:after="240" w:line="240" w:lineRule="auto"/>
        <w:jc w:val="left"/>
        <w:rPr>
          <w:rFonts w:ascii="Times Roman" w:cs="Times Roman" w:hAnsi="Times Roman" w:eastAsia="Times Roman"/>
          <w:i w:val="0"/>
          <w:iCs w:val="0"/>
        </w:rPr>
      </w:pPr>
      <w:r>
        <w:rPr>
          <w:rFonts w:ascii="Times Roman" w:hAnsi="Times Roman"/>
          <w:b w:val="1"/>
          <w:bCs w:val="1"/>
          <w:i w:val="0"/>
          <w:iCs w:val="0"/>
          <w:rtl w:val="0"/>
          <w:lang w:val="en-US"/>
        </w:rPr>
        <w:t>Citation:</w:t>
      </w:r>
      <w:r>
        <w:rPr>
          <w:rFonts w:ascii="Times Roman" w:hAnsi="Times Roman"/>
          <w:i w:val="0"/>
          <w:iCs w:val="0"/>
          <w:rtl w:val="0"/>
          <w:lang w:val="en-US"/>
        </w:rPr>
        <w:t xml:space="preserve"> Project Management Institute (PMI). (2021). </w:t>
      </w:r>
      <w:r>
        <w:rPr>
          <w:rFonts w:ascii="Times Roman" w:hAnsi="Times Roman"/>
          <w:i w:val="1"/>
          <w:iCs w:val="1"/>
          <w:rtl w:val="0"/>
          <w:lang w:val="en-US"/>
        </w:rPr>
        <w:t>A guide to the Project Management Body of Knowledge (PMBOK Guide).</w:t>
      </w:r>
      <w:r>
        <w:rPr>
          <w:rFonts w:ascii="Times Roman" w:hAnsi="Times Roman"/>
          <w:i w:val="0"/>
          <w:iCs w:val="0"/>
          <w:rtl w:val="0"/>
          <w:lang w:val="en-US"/>
        </w:rPr>
        <w:t xml:space="preserve"> (7th ed.). Project Management Institute.</w:t>
      </w:r>
    </w:p>
    <w:p>
      <w:pPr>
        <w:pStyle w:val="Default"/>
        <w:suppressAutoHyphens w:val="1"/>
        <w:spacing w:before="0" w:after="240" w:line="240" w:lineRule="auto"/>
        <w:jc w:val="left"/>
        <w:rPr>
          <w:rFonts w:ascii="Times Roman" w:cs="Times Roman" w:hAnsi="Times Roman" w:eastAsia="Times Roman"/>
        </w:rPr>
      </w:pPr>
      <w:r>
        <w:rPr>
          <w:rFonts w:ascii="Times Roman" w:hAnsi="Times Roman"/>
          <w:b w:val="1"/>
          <w:bCs w:val="1"/>
          <w:rtl w:val="0"/>
          <w:lang w:val="en-US"/>
        </w:rPr>
        <w:t>Description:</w:t>
      </w:r>
      <w:r>
        <w:rPr>
          <w:rFonts w:ascii="Times Roman" w:hAnsi="Times Roman"/>
          <w:rtl w:val="0"/>
          <w:lang w:val="en-US"/>
        </w:rPr>
        <w:t xml:space="preserve"> This foundational text emphasizes the necessity of </w:t>
      </w:r>
      <w:r>
        <w:rPr>
          <w:rFonts w:ascii="Times Roman" w:hAnsi="Times Roman"/>
          <w:b w:val="1"/>
          <w:bCs w:val="1"/>
          <w:rtl w:val="0"/>
          <w:lang w:val="en-US"/>
        </w:rPr>
        <w:t>stakeholder engagement and risk response planning</w:t>
      </w:r>
      <w:r>
        <w:rPr>
          <w:rFonts w:ascii="Times Roman" w:hAnsi="Times Roman"/>
          <w:rtl w:val="0"/>
          <w:lang w:val="en-US"/>
        </w:rPr>
        <w:t>. It provides the core justification for transforming the major risk of regulatory veto into a mandatory governance milestone, ensuring the Legal Counsel is engaged and signs off on the core deliverables.</w:t>
      </w:r>
    </w:p>
    <w:p>
      <w:pPr>
        <w:pStyle w:val="Default"/>
        <w:suppressAutoHyphens w:val="1"/>
        <w:spacing w:before="0" w:after="281" w:line="240" w:lineRule="auto"/>
        <w:jc w:val="left"/>
        <w:rPr>
          <w:rFonts w:ascii="Times Roman" w:cs="Times Roman" w:hAnsi="Times Roman" w:eastAsia="Times Roman"/>
          <w:b w:val="1"/>
          <w:bCs w:val="1"/>
          <w:sz w:val="28"/>
          <w:szCs w:val="28"/>
        </w:rPr>
      </w:pPr>
      <w:r>
        <w:rPr>
          <w:rFonts w:ascii="Times Roman" w:hAnsi="Times Roman"/>
          <w:b w:val="1"/>
          <w:bCs w:val="1"/>
          <w:sz w:val="28"/>
          <w:szCs w:val="28"/>
          <w:rtl w:val="0"/>
          <w:lang w:val="en-US"/>
        </w:rPr>
        <w:t>II. Ensuring Accuracy: API-Driven Data Integration Best Practices</w:t>
      </w:r>
    </w:p>
    <w:p>
      <w:pPr>
        <w:pStyle w:val="Default"/>
        <w:suppressAutoHyphens w:val="1"/>
        <w:spacing w:before="0" w:after="240" w:line="240" w:lineRule="auto"/>
        <w:jc w:val="left"/>
        <w:rPr>
          <w:rFonts w:ascii="Times Roman" w:cs="Times Roman" w:hAnsi="Times Roman" w:eastAsia="Times Roman"/>
        </w:rPr>
      </w:pPr>
      <w:r>
        <w:rPr>
          <w:rFonts w:ascii="Times Roman" w:hAnsi="Times Roman"/>
          <w:rtl w:val="0"/>
          <w:lang w:val="en-US"/>
        </w:rPr>
        <w:t xml:space="preserve">This theme explores industry white papers and public-facing technical guides on implementing Application Programming Interfaces (APIs) to ensure the accuracy and </w:t>
      </w:r>
      <w:r>
        <w:rPr>
          <w:rFonts w:ascii="Times Roman" w:hAnsi="Times Roman"/>
          <w:b w:val="1"/>
          <w:bCs w:val="1"/>
          <w:rtl w:val="0"/>
          <w:lang w:val="en-US"/>
        </w:rPr>
        <w:t>real-time reliability</w:t>
      </w:r>
      <w:r>
        <w:rPr>
          <w:rFonts w:ascii="Times Roman" w:hAnsi="Times Roman"/>
          <w:rtl w:val="0"/>
          <w:lang w:val="en-US"/>
        </w:rPr>
        <w:t xml:space="preserve"> of financial data, thereby mitigating the risk associated with manual data entry.</w:t>
      </w:r>
    </w:p>
    <w:p>
      <w:pPr>
        <w:pStyle w:val="Default"/>
        <w:suppressAutoHyphens w:val="1"/>
        <w:spacing w:before="0" w:after="240" w:line="240" w:lineRule="auto"/>
        <w:jc w:val="left"/>
        <w:rPr>
          <w:rFonts w:ascii="Times Roman" w:cs="Times Roman" w:hAnsi="Times Roman" w:eastAsia="Times Roman"/>
          <w:b w:val="0"/>
          <w:bCs w:val="0"/>
        </w:rPr>
      </w:pPr>
      <w:r>
        <w:rPr>
          <w:rFonts w:ascii="Times Roman" w:hAnsi="Times Roman"/>
          <w:b w:val="1"/>
          <w:bCs w:val="1"/>
          <w:rtl w:val="0"/>
          <w:lang w:val="en-US"/>
        </w:rPr>
        <w:t>4. Example Resource: The Case for Real-Time Data</w:t>
      </w:r>
    </w:p>
    <w:p>
      <w:pPr>
        <w:pStyle w:val="Default"/>
        <w:suppressAutoHyphens w:val="1"/>
        <w:spacing w:before="0" w:after="240" w:line="240" w:lineRule="auto"/>
        <w:jc w:val="left"/>
        <w:rPr>
          <w:rFonts w:ascii="Times Roman" w:cs="Times Roman" w:hAnsi="Times Roman" w:eastAsia="Times Roman"/>
          <w:i w:val="0"/>
          <w:iCs w:val="0"/>
        </w:rPr>
      </w:pPr>
      <w:r>
        <w:rPr>
          <w:rFonts w:ascii="Times Roman" w:hAnsi="Times Roman"/>
          <w:b w:val="1"/>
          <w:bCs w:val="1"/>
          <w:i w:val="0"/>
          <w:iCs w:val="0"/>
          <w:rtl w:val="0"/>
          <w:lang w:val="en-US"/>
        </w:rPr>
        <w:t>Citation:</w:t>
      </w:r>
      <w:r>
        <w:rPr>
          <w:rFonts w:ascii="Times Roman" w:hAnsi="Times Roman"/>
          <w:i w:val="0"/>
          <w:iCs w:val="0"/>
          <w:rtl w:val="0"/>
          <w:lang w:val="en-US"/>
        </w:rPr>
        <w:t xml:space="preserve"> Oracle. (2022). </w:t>
      </w:r>
      <w:r>
        <w:rPr>
          <w:rFonts w:ascii="Times Roman" w:hAnsi="Times Roman"/>
          <w:i w:val="1"/>
          <w:iCs w:val="1"/>
          <w:rtl w:val="0"/>
          <w:lang w:val="en-US"/>
        </w:rPr>
        <w:t>The business value of real-time data: How immediate insights drive better decisions.</w:t>
      </w:r>
      <w:r>
        <w:rPr>
          <w:rFonts w:ascii="Times Roman" w:hAnsi="Times Roman"/>
          <w:i w:val="0"/>
          <w:iCs w:val="0"/>
          <w:rtl w:val="0"/>
          <w:lang w:val="en-US"/>
        </w:rPr>
        <w:t xml:space="preserve"> [Insert Oracle White Paper Link Here]</w:t>
      </w:r>
    </w:p>
    <w:p>
      <w:pPr>
        <w:pStyle w:val="Default"/>
        <w:suppressAutoHyphens w:val="1"/>
        <w:spacing w:before="0" w:after="240" w:line="240" w:lineRule="auto"/>
        <w:jc w:val="left"/>
        <w:rPr>
          <w:rFonts w:ascii="Times Roman" w:cs="Times Roman" w:hAnsi="Times Roman" w:eastAsia="Times Roman"/>
        </w:rPr>
      </w:pPr>
      <w:r>
        <w:rPr>
          <w:rFonts w:ascii="Times Roman" w:hAnsi="Times Roman"/>
          <w:b w:val="1"/>
          <w:bCs w:val="1"/>
          <w:rtl w:val="0"/>
          <w:lang w:val="en-US"/>
        </w:rPr>
        <w:t>Description:</w:t>
      </w:r>
      <w:r>
        <w:rPr>
          <w:rFonts w:ascii="Times Roman" w:hAnsi="Times Roman"/>
          <w:rtl w:val="0"/>
          <w:lang w:val="en-US"/>
        </w:rPr>
        <w:t xml:space="preserve"> This white paper argues that manual, batch, or cached data introduces significant error, which is untenable for a financial calculator. It makes the business and technical case for using </w:t>
      </w:r>
      <w:r>
        <w:rPr>
          <w:rFonts w:ascii="Times Roman" w:hAnsi="Times Roman"/>
          <w:b w:val="1"/>
          <w:bCs w:val="1"/>
          <w:rtl w:val="0"/>
          <w:lang w:val="en-US"/>
        </w:rPr>
        <w:t>live API calls from a system of record</w:t>
      </w:r>
      <w:r>
        <w:rPr>
          <w:rFonts w:ascii="Times Roman" w:hAnsi="Times Roman"/>
          <w:rtl w:val="0"/>
          <w:lang w:val="en-US"/>
        </w:rPr>
        <w:t xml:space="preserve"> (Arborwood's core student administration system) to provide the necessary data fidelity for high-risk applications.</w:t>
      </w:r>
    </w:p>
    <w:p>
      <w:pPr>
        <w:pStyle w:val="Default"/>
        <w:suppressAutoHyphens w:val="1"/>
        <w:spacing w:before="0" w:after="240" w:line="240" w:lineRule="auto"/>
        <w:jc w:val="left"/>
        <w:rPr>
          <w:rFonts w:ascii="Times Roman" w:cs="Times Roman" w:hAnsi="Times Roman" w:eastAsia="Times Roman"/>
          <w:b w:val="0"/>
          <w:bCs w:val="0"/>
        </w:rPr>
      </w:pPr>
      <w:r>
        <w:rPr>
          <w:rFonts w:ascii="Times Roman" w:hAnsi="Times Roman"/>
          <w:b w:val="1"/>
          <w:bCs w:val="1"/>
          <w:rtl w:val="0"/>
          <w:lang w:val="en-US"/>
        </w:rPr>
        <w:t>5. Example Resource: Microservices and Integration Patterns</w:t>
      </w:r>
    </w:p>
    <w:p>
      <w:pPr>
        <w:pStyle w:val="Default"/>
        <w:suppressAutoHyphens w:val="1"/>
        <w:spacing w:before="0" w:after="240" w:line="240" w:lineRule="auto"/>
        <w:jc w:val="left"/>
        <w:rPr>
          <w:rFonts w:ascii="Times Roman" w:cs="Times Roman" w:hAnsi="Times Roman" w:eastAsia="Times Roman"/>
        </w:rPr>
      </w:pPr>
      <w:r>
        <w:rPr>
          <w:rFonts w:ascii="Times Roman" w:hAnsi="Times Roman"/>
          <w:b w:val="1"/>
          <w:bCs w:val="1"/>
          <w:rtl w:val="0"/>
          <w:lang w:val="en-US"/>
        </w:rPr>
        <w:t>Citation:</w:t>
      </w:r>
      <w:r>
        <w:rPr>
          <w:rFonts w:ascii="Times Roman" w:hAnsi="Times Roman"/>
          <w:rtl w:val="0"/>
          <w:lang w:val="en-US"/>
        </w:rPr>
        <w:t xml:space="preserve"> Martin, M. F. (2018). </w:t>
      </w:r>
      <w:r>
        <w:rPr>
          <w:rFonts w:ascii="Times Roman" w:hAnsi="Times Roman"/>
          <w:i w:val="1"/>
          <w:iCs w:val="1"/>
          <w:rtl w:val="0"/>
          <w:lang w:val="en-US"/>
        </w:rPr>
        <w:t>Microservices architecture.</w:t>
      </w:r>
      <w:r>
        <w:rPr>
          <w:rFonts w:ascii="Times Roman" w:hAnsi="Times Roman"/>
          <w:rtl w:val="0"/>
          <w:lang w:val="en-US"/>
        </w:rPr>
        <w:t xml:space="preserve"> Addison-Wesley Professional. (Available widely as public documentation or excerpts).</w:t>
      </w:r>
    </w:p>
    <w:p>
      <w:pPr>
        <w:pStyle w:val="Default"/>
        <w:suppressAutoHyphens w:val="1"/>
        <w:spacing w:before="0" w:after="240" w:line="240" w:lineRule="auto"/>
        <w:jc w:val="left"/>
        <w:rPr>
          <w:rFonts w:ascii="Times Roman" w:cs="Times Roman" w:hAnsi="Times Roman" w:eastAsia="Times Roman"/>
        </w:rPr>
      </w:pPr>
      <w:r>
        <w:rPr>
          <w:rFonts w:ascii="Times Roman" w:hAnsi="Times Roman"/>
          <w:b w:val="1"/>
          <w:bCs w:val="1"/>
          <w:rtl w:val="0"/>
          <w:lang w:val="en-US"/>
        </w:rPr>
        <w:t>Description:</w:t>
      </w:r>
      <w:r>
        <w:rPr>
          <w:rFonts w:ascii="Times Roman" w:hAnsi="Times Roman"/>
          <w:rtl w:val="0"/>
          <w:lang w:val="en-US"/>
        </w:rPr>
        <w:t xml:space="preserve"> The principles of microservices detail how to build efficient, granular services to expose specific business data (like tuition caps or fee schedules) without exposing the entire underlying legacy system. This justifies the development of a dedicated, narrowly focused </w:t>
      </w:r>
      <w:r>
        <w:rPr>
          <w:rFonts w:ascii="Times Roman" w:hAnsi="Times Roman"/>
          <w:b w:val="1"/>
          <w:bCs w:val="1"/>
          <w:rtl w:val="0"/>
          <w:lang w:val="en-US"/>
        </w:rPr>
        <w:t>API layer</w:t>
      </w:r>
      <w:r>
        <w:rPr>
          <w:rFonts w:ascii="Times Roman" w:hAnsi="Times Roman"/>
          <w:rtl w:val="0"/>
          <w:lang w:val="en-US"/>
        </w:rPr>
        <w:t xml:space="preserve"> for the calculator to pull precise information.</w:t>
      </w:r>
    </w:p>
    <w:p>
      <w:pPr>
        <w:pStyle w:val="Default"/>
        <w:suppressAutoHyphens w:val="1"/>
        <w:spacing w:before="0" w:after="240" w:line="240" w:lineRule="auto"/>
        <w:jc w:val="left"/>
        <w:rPr>
          <w:rFonts w:ascii="Times Roman" w:cs="Times Roman" w:hAnsi="Times Roman" w:eastAsia="Times Roman"/>
          <w:b w:val="0"/>
          <w:bCs w:val="0"/>
        </w:rPr>
      </w:pPr>
      <w:r>
        <w:rPr>
          <w:rFonts w:ascii="Times Roman" w:hAnsi="Times Roman"/>
          <w:b w:val="1"/>
          <w:bCs w:val="1"/>
          <w:rtl w:val="0"/>
          <w:lang w:val="en-US"/>
        </w:rPr>
        <w:t>6. Example Resource: API Security and Reliability</w:t>
      </w:r>
    </w:p>
    <w:p>
      <w:pPr>
        <w:pStyle w:val="Default"/>
        <w:suppressAutoHyphens w:val="1"/>
        <w:spacing w:before="0" w:after="240" w:line="240" w:lineRule="auto"/>
        <w:jc w:val="left"/>
        <w:rPr>
          <w:rFonts w:ascii="Times Roman" w:cs="Times Roman" w:hAnsi="Times Roman" w:eastAsia="Times Roman"/>
        </w:rPr>
      </w:pPr>
      <w:r>
        <w:rPr>
          <w:rFonts w:ascii="Times Roman" w:hAnsi="Times Roman"/>
          <w:b w:val="1"/>
          <w:bCs w:val="1"/>
          <w:rtl w:val="0"/>
          <w:lang w:val="en-US"/>
        </w:rPr>
        <w:t>Citation:</w:t>
      </w:r>
      <w:r>
        <w:rPr>
          <w:rFonts w:ascii="Times Roman" w:hAnsi="Times Roman"/>
          <w:rtl w:val="0"/>
          <w:lang w:val="en-US"/>
        </w:rPr>
        <w:t xml:space="preserve"> U.S. National Institute of Standards and Technology (NIST). (2020). </w:t>
      </w:r>
      <w:r>
        <w:rPr>
          <w:rFonts w:ascii="Times Roman" w:hAnsi="Times Roman"/>
          <w:i w:val="1"/>
          <w:iCs w:val="1"/>
          <w:rtl w:val="0"/>
          <w:lang w:val="en-US"/>
        </w:rPr>
        <w:t>API Security Guidance.</w:t>
      </w:r>
      <w:r>
        <w:rPr>
          <w:rFonts w:ascii="Times Roman" w:hAnsi="Times Roman"/>
          <w:rtl w:val="0"/>
          <w:lang w:val="en-US"/>
        </w:rPr>
        <w:t>[Insert NIST Publication Link Here]</w:t>
      </w:r>
    </w:p>
    <w:p>
      <w:pPr>
        <w:pStyle w:val="Default"/>
        <w:suppressAutoHyphens w:val="1"/>
        <w:spacing w:before="0" w:after="240" w:line="240" w:lineRule="auto"/>
        <w:jc w:val="left"/>
        <w:rPr>
          <w:rFonts w:ascii="Times Roman" w:cs="Times Roman" w:hAnsi="Times Roman" w:eastAsia="Times Roman"/>
        </w:rPr>
      </w:pPr>
      <w:r>
        <w:rPr>
          <w:rFonts w:ascii="Times Roman" w:hAnsi="Times Roman"/>
          <w:b w:val="1"/>
          <w:bCs w:val="1"/>
          <w:rtl w:val="0"/>
          <w:lang w:val="en-US"/>
        </w:rPr>
        <w:t>Description:</w:t>
      </w:r>
      <w:r>
        <w:rPr>
          <w:rFonts w:ascii="Times Roman" w:hAnsi="Times Roman"/>
          <w:rtl w:val="0"/>
          <w:lang w:val="en-US"/>
        </w:rPr>
        <w:t xml:space="preserve"> This public technical guidance provides best practices for securing APIs that transmit sensitive or high-value data. It reinforces the IT team's need to develop a robust, reliable, and </w:t>
      </w:r>
      <w:r>
        <w:rPr>
          <w:rFonts w:ascii="Times Roman" w:hAnsi="Times Roman"/>
          <w:b w:val="1"/>
          <w:bCs w:val="1"/>
          <w:rtl w:val="0"/>
          <w:lang w:val="en-US"/>
        </w:rPr>
        <w:t>secure data integration pipeline</w:t>
      </w:r>
      <w:r>
        <w:rPr>
          <w:rFonts w:ascii="Times Roman" w:hAnsi="Times Roman"/>
          <w:rtl w:val="0"/>
          <w:lang w:val="en-US"/>
        </w:rPr>
        <w:t>, ensuring the connection between the calculator component and the student administration system is protected and dependable.</w:t>
      </w:r>
    </w:p>
    <w:p>
      <w:pPr>
        <w:pStyle w:val="Default"/>
        <w:suppressAutoHyphens w:val="1"/>
        <w:spacing w:before="0" w:after="281" w:line="240" w:lineRule="auto"/>
        <w:jc w:val="left"/>
        <w:rPr>
          <w:rFonts w:ascii="Times Roman" w:cs="Times Roman" w:hAnsi="Times Roman" w:eastAsia="Times Roman"/>
          <w:b w:val="1"/>
          <w:bCs w:val="1"/>
          <w:sz w:val="28"/>
          <w:szCs w:val="28"/>
        </w:rPr>
      </w:pPr>
      <w:r>
        <w:rPr>
          <w:rFonts w:ascii="Times Roman" w:hAnsi="Times Roman"/>
          <w:b w:val="1"/>
          <w:bCs w:val="1"/>
          <w:sz w:val="28"/>
          <w:szCs w:val="28"/>
          <w:rtl w:val="0"/>
          <w:lang w:val="en-US"/>
        </w:rPr>
        <w:t>III. Mitigating Litigation Risk: Transparency and the Regulatory Environment</w:t>
      </w:r>
    </w:p>
    <w:p>
      <w:pPr>
        <w:pStyle w:val="Default"/>
        <w:suppressAutoHyphens w:val="1"/>
        <w:spacing w:before="0" w:after="240" w:line="240" w:lineRule="auto"/>
        <w:jc w:val="left"/>
        <w:rPr>
          <w:rFonts w:ascii="Times Roman" w:cs="Times Roman" w:hAnsi="Times Roman" w:eastAsia="Times Roman"/>
        </w:rPr>
      </w:pPr>
      <w:r>
        <w:rPr>
          <w:rFonts w:ascii="Times Roman" w:hAnsi="Times Roman"/>
          <w:rtl w:val="0"/>
          <w:lang w:val="en-US"/>
        </w:rPr>
        <w:t>This theme directly addresses the legal environment of higher education, focusing on government mandates and public documentation that reinforce the necessity of accurate, non-misleading financial transparency tools.</w:t>
      </w:r>
    </w:p>
    <w:p>
      <w:pPr>
        <w:pStyle w:val="Default"/>
        <w:suppressAutoHyphens w:val="1"/>
        <w:spacing w:before="0" w:after="240" w:line="240" w:lineRule="auto"/>
        <w:jc w:val="left"/>
        <w:rPr>
          <w:rFonts w:ascii="Times Roman" w:cs="Times Roman" w:hAnsi="Times Roman" w:eastAsia="Times Roman"/>
          <w:b w:val="0"/>
          <w:bCs w:val="0"/>
        </w:rPr>
      </w:pPr>
      <w:r>
        <w:rPr>
          <w:rFonts w:ascii="Times Roman" w:hAnsi="Times Roman"/>
          <w:b w:val="1"/>
          <w:bCs w:val="1"/>
          <w:rtl w:val="0"/>
          <w:lang w:val="en-US"/>
        </w:rPr>
        <w:t>7. Example Resource: Federal Disclosure Requirements</w:t>
      </w:r>
    </w:p>
    <w:p>
      <w:pPr>
        <w:pStyle w:val="Default"/>
        <w:suppressAutoHyphens w:val="1"/>
        <w:spacing w:before="0" w:after="240" w:line="240" w:lineRule="auto"/>
        <w:jc w:val="left"/>
        <w:rPr>
          <w:rFonts w:ascii="Times Roman" w:cs="Times Roman" w:hAnsi="Times Roman" w:eastAsia="Times Roman"/>
          <w:i w:val="0"/>
          <w:iCs w:val="0"/>
        </w:rPr>
      </w:pPr>
      <w:r>
        <w:rPr>
          <w:rFonts w:ascii="Times Roman" w:hAnsi="Times Roman"/>
          <w:b w:val="1"/>
          <w:bCs w:val="1"/>
          <w:i w:val="0"/>
          <w:iCs w:val="0"/>
          <w:rtl w:val="0"/>
          <w:lang w:val="en-US"/>
        </w:rPr>
        <w:t>Citation:</w:t>
      </w:r>
      <w:r>
        <w:rPr>
          <w:rFonts w:ascii="Times Roman" w:hAnsi="Times Roman"/>
          <w:i w:val="0"/>
          <w:iCs w:val="0"/>
          <w:rtl w:val="0"/>
          <w:lang w:val="en-US"/>
        </w:rPr>
        <w:t xml:space="preserve"> U.S. Department of Education (DoE). (Current Year). </w:t>
      </w:r>
      <w:r>
        <w:rPr>
          <w:rFonts w:ascii="Times Roman" w:hAnsi="Times Roman"/>
          <w:i w:val="1"/>
          <w:iCs w:val="1"/>
          <w:rtl w:val="0"/>
          <w:lang w:val="en-US"/>
        </w:rPr>
        <w:t>Higher Education Act (HEA) of 1965, Title IV, General Provisions.</w:t>
      </w:r>
      <w:r>
        <w:rPr>
          <w:rFonts w:ascii="Times Roman" w:hAnsi="Times Roman"/>
          <w:i w:val="0"/>
          <w:iCs w:val="0"/>
          <w:rtl w:val="0"/>
          <w:lang w:val="en-US"/>
        </w:rPr>
        <w:t xml:space="preserve"> Retrieved from [Insert Current HEA Reference Link Here]</w:t>
      </w:r>
    </w:p>
    <w:p>
      <w:pPr>
        <w:pStyle w:val="Default"/>
        <w:suppressAutoHyphens w:val="1"/>
        <w:spacing w:before="0" w:after="240" w:line="240" w:lineRule="auto"/>
        <w:jc w:val="left"/>
        <w:rPr>
          <w:rFonts w:ascii="Times Roman" w:cs="Times Roman" w:hAnsi="Times Roman" w:eastAsia="Times Roman"/>
        </w:rPr>
      </w:pPr>
      <w:r>
        <w:rPr>
          <w:rFonts w:ascii="Times Roman" w:hAnsi="Times Roman"/>
          <w:b w:val="1"/>
          <w:bCs w:val="1"/>
          <w:rtl w:val="0"/>
          <w:lang w:val="en-US"/>
        </w:rPr>
        <w:t>Description:</w:t>
      </w:r>
      <w:r>
        <w:rPr>
          <w:rFonts w:ascii="Times Roman" w:hAnsi="Times Roman"/>
          <w:rtl w:val="0"/>
          <w:lang w:val="en-US"/>
        </w:rPr>
        <w:t xml:space="preserve"> This foundational federal legislation dictates required financial disclosures. Referencing the </w:t>
      </w:r>
      <w:r>
        <w:rPr>
          <w:rFonts w:ascii="Times Roman" w:hAnsi="Times Roman"/>
          <w:b w:val="1"/>
          <w:bCs w:val="1"/>
          <w:rtl w:val="0"/>
          <w:lang w:val="en-US"/>
        </w:rPr>
        <w:t>Higher Education Act</w:t>
      </w:r>
      <w:r>
        <w:rPr>
          <w:rFonts w:ascii="Times Roman" w:hAnsi="Times Roman"/>
          <w:rtl w:val="0"/>
          <w:lang w:val="en-US"/>
        </w:rPr>
        <w:t xml:space="preserve"> establishes the legal context for why cost transparency is mandatory, and why any online tool providing cost estimates must be scrupulously accurate to avoid statutory violations.</w:t>
      </w:r>
    </w:p>
    <w:p>
      <w:pPr>
        <w:pStyle w:val="Default"/>
        <w:suppressAutoHyphens w:val="1"/>
        <w:spacing w:before="0" w:after="240" w:line="240" w:lineRule="auto"/>
        <w:jc w:val="left"/>
        <w:rPr>
          <w:rFonts w:ascii="Times Roman" w:cs="Times Roman" w:hAnsi="Times Roman" w:eastAsia="Times Roman"/>
          <w:b w:val="0"/>
          <w:bCs w:val="0"/>
        </w:rPr>
      </w:pPr>
      <w:r>
        <w:rPr>
          <w:rFonts w:ascii="Times Roman" w:hAnsi="Times Roman"/>
          <w:b w:val="1"/>
          <w:bCs w:val="1"/>
          <w:rtl w:val="0"/>
          <w:lang w:val="en-US"/>
        </w:rPr>
        <w:t>8. Example Resource: Regulatory Scrutiny of Net Price Calculators</w:t>
      </w:r>
    </w:p>
    <w:p>
      <w:pPr>
        <w:pStyle w:val="Default"/>
        <w:suppressAutoHyphens w:val="1"/>
        <w:spacing w:before="0" w:after="240" w:line="240" w:lineRule="auto"/>
        <w:jc w:val="left"/>
        <w:rPr>
          <w:rFonts w:ascii="Times Roman" w:cs="Times Roman" w:hAnsi="Times Roman" w:eastAsia="Times Roman"/>
          <w:i w:val="0"/>
          <w:iCs w:val="0"/>
        </w:rPr>
      </w:pPr>
      <w:r>
        <w:rPr>
          <w:rFonts w:ascii="Times Roman" w:hAnsi="Times Roman"/>
          <w:b w:val="1"/>
          <w:bCs w:val="1"/>
          <w:i w:val="0"/>
          <w:iCs w:val="0"/>
          <w:rtl w:val="0"/>
          <w:lang w:val="en-US"/>
        </w:rPr>
        <w:t>Citation:</w:t>
      </w:r>
      <w:r>
        <w:rPr>
          <w:rFonts w:ascii="Times Roman" w:hAnsi="Times Roman"/>
          <w:i w:val="0"/>
          <w:iCs w:val="0"/>
          <w:rtl w:val="0"/>
          <w:lang w:val="en-US"/>
        </w:rPr>
        <w:t xml:space="preserve"> The Pew Charitable Trusts. (2019). </w:t>
      </w:r>
      <w:r>
        <w:rPr>
          <w:rFonts w:ascii="Times Roman" w:hAnsi="Times Roman"/>
          <w:i w:val="1"/>
          <w:iCs w:val="1"/>
          <w:rtl w:val="0"/>
          <w:lang w:val="en-US"/>
        </w:rPr>
        <w:t>Improvement needed: Making the net price calculator a more useful tool for students.</w:t>
      </w:r>
      <w:r>
        <w:rPr>
          <w:rFonts w:ascii="Times Roman" w:hAnsi="Times Roman"/>
          <w:i w:val="0"/>
          <w:iCs w:val="0"/>
          <w:rtl w:val="0"/>
          <w:lang w:val="en-US"/>
        </w:rPr>
        <w:t xml:space="preserve"> [Insert Pew Report Link Here]</w:t>
      </w:r>
    </w:p>
    <w:p>
      <w:pPr>
        <w:pStyle w:val="Default"/>
        <w:suppressAutoHyphens w:val="1"/>
        <w:spacing w:before="0" w:after="240" w:line="240" w:lineRule="auto"/>
        <w:jc w:val="left"/>
        <w:rPr>
          <w:rFonts w:ascii="Times Roman" w:cs="Times Roman" w:hAnsi="Times Roman" w:eastAsia="Times Roman"/>
        </w:rPr>
      </w:pPr>
      <w:r>
        <w:rPr>
          <w:rFonts w:ascii="Times Roman" w:hAnsi="Times Roman"/>
          <w:b w:val="1"/>
          <w:bCs w:val="1"/>
          <w:rtl w:val="0"/>
          <w:lang w:val="en-US"/>
        </w:rPr>
        <w:t>Description:</w:t>
      </w:r>
      <w:r>
        <w:rPr>
          <w:rFonts w:ascii="Times Roman" w:hAnsi="Times Roman"/>
          <w:rtl w:val="0"/>
          <w:lang w:val="en-US"/>
        </w:rPr>
        <w:t xml:space="preserve"> This public policy report evaluates the effectiveness and accuracy of the federally mandated </w:t>
      </w:r>
      <w:r>
        <w:rPr>
          <w:rFonts w:ascii="Times Roman" w:hAnsi="Times Roman"/>
          <w:b w:val="1"/>
          <w:bCs w:val="1"/>
          <w:rtl w:val="0"/>
          <w:lang w:val="en-US"/>
        </w:rPr>
        <w:t>Net Price Calculator (NPC)</w:t>
      </w:r>
      <w:r>
        <w:rPr>
          <w:rFonts w:ascii="Times Roman" w:hAnsi="Times Roman"/>
          <w:rtl w:val="0"/>
          <w:lang w:val="en-US"/>
        </w:rPr>
        <w:t>. Its findings</w:t>
      </w:r>
      <w:r>
        <w:rPr>
          <w:rFonts w:ascii="Times Roman" w:hAnsi="Times Roman" w:hint="default"/>
          <w:rtl w:val="0"/>
          <w:lang w:val="en-US"/>
        </w:rPr>
        <w:t>—</w:t>
      </w:r>
      <w:r>
        <w:rPr>
          <w:rFonts w:ascii="Times Roman" w:hAnsi="Times Roman"/>
          <w:rtl w:val="0"/>
          <w:lang w:val="en-US"/>
        </w:rPr>
        <w:t xml:space="preserve">often highlighting </w:t>
      </w:r>
      <w:r>
        <w:rPr>
          <w:rFonts w:ascii="Times Roman" w:hAnsi="Times Roman"/>
          <w:i w:val="1"/>
          <w:iCs w:val="1"/>
          <w:rtl w:val="0"/>
          <w:lang w:val="en-US"/>
        </w:rPr>
        <w:t>inaccuracies and usability issues</w:t>
      </w:r>
      <w:r>
        <w:rPr>
          <w:rFonts w:ascii="Times Roman" w:hAnsi="Times Roman" w:hint="default"/>
          <w:rtl w:val="0"/>
          <w:lang w:val="en-US"/>
        </w:rPr>
        <w:t>—</w:t>
      </w:r>
      <w:r>
        <w:rPr>
          <w:rFonts w:ascii="Times Roman" w:hAnsi="Times Roman"/>
          <w:rtl w:val="0"/>
          <w:lang w:val="en-US"/>
        </w:rPr>
        <w:t>justify the market need for Arborwood to build a custom, high-fidelity calculator while validating the risk associated with all online financial tools.</w:t>
      </w:r>
    </w:p>
    <w:p>
      <w:pPr>
        <w:pStyle w:val="Default"/>
        <w:suppressAutoHyphens w:val="1"/>
        <w:spacing w:before="0" w:after="240" w:line="240" w:lineRule="auto"/>
        <w:jc w:val="left"/>
        <w:rPr>
          <w:rFonts w:ascii="Times Roman" w:cs="Times Roman" w:hAnsi="Times Roman" w:eastAsia="Times Roman"/>
          <w:b w:val="0"/>
          <w:bCs w:val="0"/>
        </w:rPr>
      </w:pPr>
      <w:r>
        <w:rPr>
          <w:rFonts w:ascii="Times Roman" w:hAnsi="Times Roman"/>
          <w:b w:val="1"/>
          <w:bCs w:val="1"/>
          <w:rtl w:val="0"/>
          <w:lang w:val="en-US"/>
        </w:rPr>
        <w:t>9. Example Resource: Consumer Protection and Financial Advertising</w:t>
      </w:r>
    </w:p>
    <w:p>
      <w:pPr>
        <w:pStyle w:val="Default"/>
        <w:suppressAutoHyphens w:val="1"/>
        <w:spacing w:before="0" w:after="240" w:line="240" w:lineRule="auto"/>
        <w:jc w:val="left"/>
        <w:rPr>
          <w:rFonts w:ascii="Times Roman" w:cs="Times Roman" w:hAnsi="Times Roman" w:eastAsia="Times Roman"/>
          <w:i w:val="0"/>
          <w:iCs w:val="0"/>
        </w:rPr>
      </w:pPr>
      <w:r>
        <w:rPr>
          <w:rFonts w:ascii="Times Roman" w:hAnsi="Times Roman"/>
          <w:b w:val="1"/>
          <w:bCs w:val="1"/>
          <w:i w:val="0"/>
          <w:iCs w:val="0"/>
          <w:rtl w:val="0"/>
          <w:lang w:val="en-US"/>
        </w:rPr>
        <w:t>Citation:</w:t>
      </w:r>
      <w:r>
        <w:rPr>
          <w:rFonts w:ascii="Times Roman" w:hAnsi="Times Roman"/>
          <w:i w:val="0"/>
          <w:iCs w:val="0"/>
          <w:rtl w:val="0"/>
          <w:lang w:val="en-US"/>
        </w:rPr>
        <w:t xml:space="preserve"> U.S. Federal Trade Commission (FTC). (Current Year). </w:t>
      </w:r>
      <w:r>
        <w:rPr>
          <w:rFonts w:ascii="Times Roman" w:hAnsi="Times Roman"/>
          <w:i w:val="1"/>
          <w:iCs w:val="1"/>
          <w:rtl w:val="0"/>
          <w:lang w:val="en-US"/>
        </w:rPr>
        <w:t>Guides Concerning the Use of Endorsements and Testimonials in Advertising.</w:t>
      </w:r>
      <w:r>
        <w:rPr>
          <w:rFonts w:ascii="Times Roman" w:hAnsi="Times Roman"/>
          <w:i w:val="0"/>
          <w:iCs w:val="0"/>
          <w:rtl w:val="0"/>
          <w:lang w:val="en-US"/>
        </w:rPr>
        <w:t xml:space="preserve"> Retrieved from [Insert FTC Guides Link Here]</w:t>
      </w:r>
    </w:p>
    <w:p>
      <w:pPr>
        <w:pStyle w:val="Default"/>
        <w:suppressAutoHyphens w:val="1"/>
        <w:spacing w:before="0" w:after="240" w:line="240" w:lineRule="auto"/>
        <w:jc w:val="left"/>
        <w:rPr>
          <w:rFonts w:ascii="Times Roman" w:cs="Times Roman" w:hAnsi="Times Roman" w:eastAsia="Times Roman"/>
        </w:rPr>
      </w:pPr>
      <w:r>
        <w:rPr>
          <w:rFonts w:ascii="Times Roman" w:hAnsi="Times Roman"/>
          <w:b w:val="1"/>
          <w:bCs w:val="1"/>
          <w:rtl w:val="0"/>
          <w:lang w:val="en-US"/>
        </w:rPr>
        <w:t>Description:</w:t>
      </w:r>
      <w:r>
        <w:rPr>
          <w:rFonts w:ascii="Times Roman" w:hAnsi="Times Roman"/>
          <w:rtl w:val="0"/>
          <w:lang w:val="en-US"/>
        </w:rPr>
        <w:t xml:space="preserve"> The </w:t>
      </w:r>
      <w:r>
        <w:rPr>
          <w:rFonts w:ascii="Times Roman" w:hAnsi="Times Roman"/>
          <w:b w:val="1"/>
          <w:bCs w:val="1"/>
          <w:rtl w:val="0"/>
          <w:lang w:val="en-US"/>
        </w:rPr>
        <w:t>FTC's</w:t>
      </w:r>
      <w:r>
        <w:rPr>
          <w:rFonts w:ascii="Times Roman" w:hAnsi="Times Roman"/>
          <w:rtl w:val="0"/>
          <w:lang w:val="en-US"/>
        </w:rPr>
        <w:t xml:space="preserve"> general guidance on advertising applies to financial representations made by universities. This source reinforces the legal necessity of </w:t>
      </w:r>
      <w:r>
        <w:rPr>
          <w:rFonts w:ascii="Times Roman" w:hAnsi="Times Roman"/>
          <w:b w:val="1"/>
          <w:bCs w:val="1"/>
          <w:rtl w:val="0"/>
          <w:lang w:val="en-US"/>
        </w:rPr>
        <w:t>clear, prominent disclaimers</w:t>
      </w:r>
      <w:r>
        <w:rPr>
          <w:rFonts w:ascii="Times Roman" w:hAnsi="Times Roman"/>
          <w:rtl w:val="0"/>
          <w:lang w:val="en-US"/>
        </w:rPr>
        <w:t xml:space="preserve"> and the prohibition of </w:t>
      </w:r>
      <w:r>
        <w:rPr>
          <w:rFonts w:ascii="Times Roman" w:hAnsi="Times Roman"/>
          <w:b w:val="1"/>
          <w:bCs w:val="1"/>
          <w:rtl w:val="0"/>
          <w:lang w:val="en-US"/>
        </w:rPr>
        <w:t>misleading estimates</w:t>
      </w:r>
      <w:r>
        <w:rPr>
          <w:rFonts w:ascii="Times Roman" w:hAnsi="Times Roman"/>
          <w:rtl w:val="0"/>
          <w:lang w:val="en-US"/>
        </w:rPr>
        <w:t>, underscoring the Legal team's concerns and the need for the specific governance controls in your charter.</w:t>
      </w:r>
    </w:p>
    <w:p>
      <w:pPr>
        <w:pStyle w:val="Default"/>
        <w:suppressAutoHyphens w:val="1"/>
        <w:spacing w:before="0" w:after="240" w:line="240" w:lineRule="auto"/>
        <w:jc w:val="left"/>
        <w:rPr>
          <w:rFonts w:ascii="Times Roman" w:cs="Times Roman" w:hAnsi="Times Roman" w:eastAsia="Times Roman"/>
          <w:b w:val="0"/>
          <w:bCs w:val="0"/>
        </w:rPr>
      </w:pPr>
      <w:r>
        <w:rPr>
          <w:rFonts w:ascii="Times Roman" w:hAnsi="Times Roman"/>
          <w:b w:val="1"/>
          <w:bCs w:val="1"/>
          <w:rtl w:val="0"/>
          <w:lang w:val="en-US"/>
        </w:rPr>
        <w:t>10. Example Resource: Market Demand and Strategic Enrollment</w:t>
      </w:r>
    </w:p>
    <w:p>
      <w:pPr>
        <w:pStyle w:val="Default"/>
        <w:suppressAutoHyphens w:val="1"/>
        <w:spacing w:before="0" w:after="240" w:line="240" w:lineRule="auto"/>
        <w:jc w:val="left"/>
        <w:rPr>
          <w:rFonts w:ascii="Times Roman" w:cs="Times Roman" w:hAnsi="Times Roman" w:eastAsia="Times Roman"/>
          <w:i w:val="0"/>
          <w:iCs w:val="0"/>
        </w:rPr>
      </w:pPr>
      <w:r>
        <w:rPr>
          <w:rFonts w:ascii="Times Roman" w:hAnsi="Times Roman"/>
          <w:b w:val="1"/>
          <w:bCs w:val="1"/>
          <w:i w:val="0"/>
          <w:iCs w:val="0"/>
          <w:rtl w:val="0"/>
          <w:lang w:val="en-US"/>
        </w:rPr>
        <w:t>Citation:</w:t>
      </w:r>
      <w:r>
        <w:rPr>
          <w:rFonts w:ascii="Times Roman" w:hAnsi="Times Roman"/>
          <w:i w:val="0"/>
          <w:iCs w:val="0"/>
          <w:rtl w:val="0"/>
          <w:lang w:val="en-US"/>
        </w:rPr>
        <w:t xml:space="preserve"> Noel-Levitz (EAB). (2024). </w:t>
      </w:r>
      <w:r>
        <w:rPr>
          <w:rFonts w:ascii="Times Roman" w:hAnsi="Times Roman"/>
          <w:i w:val="1"/>
          <w:iCs w:val="1"/>
          <w:rtl w:val="0"/>
          <w:lang w:val="en-US"/>
        </w:rPr>
        <w:t>Annual Student Financial Aid and Enrollment Report: Key Findings on Cost and Transparency.</w:t>
      </w:r>
      <w:r>
        <w:rPr>
          <w:rFonts w:ascii="Times Roman" w:hAnsi="Times Roman"/>
          <w:i w:val="0"/>
          <w:iCs w:val="0"/>
          <w:rtl w:val="0"/>
          <w:lang w:val="en-US"/>
        </w:rPr>
        <w:t xml:space="preserve"> [Insert EAB/Noel-Levitz Report Link Here]</w:t>
      </w:r>
    </w:p>
    <w:p>
      <w:pPr>
        <w:pStyle w:val="Default"/>
        <w:suppressAutoHyphens w:val="1"/>
        <w:spacing w:before="0" w:after="240" w:line="240" w:lineRule="auto"/>
        <w:jc w:val="left"/>
      </w:pPr>
      <w:r>
        <w:rPr>
          <w:rFonts w:ascii="Times Roman" w:hAnsi="Times Roman"/>
          <w:b w:val="1"/>
          <w:bCs w:val="1"/>
          <w:rtl w:val="0"/>
          <w:lang w:val="en-US"/>
        </w:rPr>
        <w:t>Description:</w:t>
      </w:r>
      <w:r>
        <w:rPr>
          <w:rFonts w:ascii="Times Roman" w:hAnsi="Times Roman"/>
          <w:rtl w:val="0"/>
          <w:lang w:val="en-US"/>
        </w:rPr>
        <w:t xml:space="preserve"> This annual industry report from a leading enrollment management consultancy quantifies the market demand for cost transparency, often confirming that "</w:t>
      </w:r>
      <w:r>
        <w:rPr>
          <w:rFonts w:ascii="Times Roman" w:hAnsi="Times Roman"/>
          <w:b w:val="1"/>
          <w:bCs w:val="1"/>
          <w:rtl w:val="0"/>
          <w:lang w:val="en-US"/>
        </w:rPr>
        <w:t>cost ambiguity</w:t>
      </w:r>
      <w:r>
        <w:rPr>
          <w:rFonts w:ascii="Times Roman" w:hAnsi="Times Roman"/>
          <w:rtl w:val="0"/>
          <w:lang w:val="en-US"/>
        </w:rPr>
        <w:t xml:space="preserve">" is a primary reason for student attrition. This report provides the strong, data-driven </w:t>
      </w:r>
      <w:r>
        <w:rPr>
          <w:rFonts w:ascii="Times Roman" w:hAnsi="Times Roman"/>
          <w:b w:val="1"/>
          <w:bCs w:val="1"/>
          <w:rtl w:val="0"/>
          <w:lang w:val="en-US"/>
        </w:rPr>
        <w:t>Business Case</w:t>
      </w:r>
      <w:r>
        <w:rPr>
          <w:rFonts w:ascii="Times Roman" w:hAnsi="Times Roman"/>
          <w:rtl w:val="0"/>
          <w:lang w:val="en-US"/>
        </w:rPr>
        <w:t xml:space="preserve"> for the project to the Executive Sponsor.</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