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Default"/>
        <w:suppressAutoHyphens w:val="1"/>
        <w:spacing w:before="0" w:after="299" w:line="240" w:lineRule="auto"/>
        <w:jc w:val="left"/>
        <w:rPr>
          <w:rFonts w:ascii="Times Roman" w:cs="Times Roman" w:hAnsi="Times Roman" w:eastAsia="Times Roman"/>
          <w:b w:val="1"/>
          <w:bCs w:val="1"/>
          <w:sz w:val="36"/>
          <w:szCs w:val="36"/>
        </w:rPr>
      </w:pPr>
      <w:r>
        <w:rPr>
          <w:rFonts w:ascii="Times Roman" w:hAnsi="Times Roman"/>
          <w:b w:val="1"/>
          <w:bCs w:val="1"/>
          <w:sz w:val="36"/>
          <w:szCs w:val="36"/>
          <w:rtl w:val="0"/>
          <w:lang w:val="en-US"/>
        </w:rPr>
        <w:t>Literature Review Outline (Revised for Public Access)</w:t>
      </w:r>
    </w:p>
    <w:p>
      <w:pPr>
        <w:pStyle w:val="Default"/>
        <w:suppressAutoHyphens w:val="1"/>
        <w:spacing w:before="0" w:after="240" w:line="240" w:lineRule="auto"/>
        <w:jc w:val="left"/>
        <w:rPr>
          <w:rFonts w:ascii="Times Roman" w:cs="Times Roman" w:hAnsi="Times Roman" w:eastAsia="Times Roman"/>
        </w:rPr>
      </w:pPr>
    </w:p>
    <w:p>
      <w:pPr>
        <w:pStyle w:val="Default"/>
        <w:suppressAutoHyphens w:val="1"/>
        <w:spacing w:before="0" w:after="240" w:line="240" w:lineRule="auto"/>
        <w:jc w:val="left"/>
        <w:rPr>
          <w:rFonts w:ascii="Times Roman" w:cs="Times Roman" w:hAnsi="Times Roman" w:eastAsia="Times Roman"/>
        </w:rPr>
      </w:pPr>
      <w:r>
        <w:rPr>
          <w:rFonts w:ascii="Times Roman" w:hAnsi="Times Roman"/>
          <w:rtl w:val="0"/>
          <w:lang w:val="en-US"/>
        </w:rPr>
        <w:t>This outline addresses the IT challenges of the Arborwood University cost calculator project by grounding the technical solution in compliance, data integrity, and the strategic necessity of transparency, using publicly accessible sources.</w:t>
      </w:r>
    </w:p>
    <w:p>
      <w:pPr>
        <w:pStyle w:val="Default"/>
        <w:suppressAutoHyphens w:val="1"/>
        <w:spacing w:before="0" w:after="240" w:line="240" w:lineRule="auto"/>
        <w:jc w:val="left"/>
        <w:rPr>
          <w:rFonts w:ascii="Times Roman" w:cs="Times Roman" w:hAnsi="Times Roman" w:eastAsia="Times Roman"/>
        </w:rPr>
      </w:pPr>
    </w:p>
    <w:p>
      <w:pPr>
        <w:pStyle w:val="Default"/>
        <w:suppressAutoHyphens w:val="1"/>
        <w:spacing w:before="0" w:after="281" w:line="240" w:lineRule="auto"/>
        <w:jc w:val="left"/>
        <w:rPr>
          <w:rFonts w:ascii="Times Roman" w:cs="Times Roman" w:hAnsi="Times Roman" w:eastAsia="Times Roman"/>
          <w:b w:val="1"/>
          <w:bCs w:val="1"/>
          <w:sz w:val="28"/>
          <w:szCs w:val="28"/>
        </w:rPr>
      </w:pPr>
      <w:r>
        <w:rPr>
          <w:rFonts w:ascii="Times Roman" w:hAnsi="Times Roman"/>
          <w:b w:val="1"/>
          <w:bCs w:val="1"/>
          <w:sz w:val="28"/>
          <w:szCs w:val="28"/>
          <w:rtl w:val="0"/>
          <w:lang w:val="en-US"/>
        </w:rPr>
        <w:t>I. Governing Risk: Formalizing Compliance Gateways in IT Projects</w:t>
      </w:r>
    </w:p>
    <w:p>
      <w:pPr>
        <w:pStyle w:val="Default"/>
        <w:suppressAutoHyphens w:val="1"/>
        <w:spacing w:before="0" w:after="240" w:line="240" w:lineRule="auto"/>
        <w:jc w:val="left"/>
        <w:rPr>
          <w:rFonts w:ascii="Times Roman" w:cs="Times Roman" w:hAnsi="Times Roman" w:eastAsia="Times Roman"/>
        </w:rPr>
      </w:pPr>
    </w:p>
    <w:p>
      <w:pPr>
        <w:pStyle w:val="Default"/>
        <w:suppressAutoHyphens w:val="1"/>
        <w:spacing w:before="0" w:after="240" w:line="240" w:lineRule="auto"/>
        <w:jc w:val="left"/>
        <w:rPr>
          <w:rFonts w:ascii="Times Roman" w:cs="Times Roman" w:hAnsi="Times Roman" w:eastAsia="Times Roman"/>
        </w:rPr>
      </w:pPr>
      <w:r>
        <w:rPr>
          <w:rFonts w:ascii="Times Roman" w:hAnsi="Times Roman"/>
          <w:rtl w:val="0"/>
          <w:lang w:val="en-US"/>
        </w:rPr>
        <w:t xml:space="preserve">This theme reviews research on how organizations mitigate critical regulatory risks by embedding formal legal and compliance checkpoints (or </w:t>
      </w:r>
      <w:r>
        <w:rPr>
          <w:rFonts w:ascii="Times Roman" w:hAnsi="Times Roman"/>
          <w:b w:val="1"/>
          <w:bCs w:val="1"/>
          <w:rtl w:val="0"/>
          <w:lang w:val="en-US"/>
        </w:rPr>
        <w:t>gateways</w:t>
      </w:r>
      <w:r>
        <w:rPr>
          <w:rFonts w:ascii="Times Roman" w:hAnsi="Times Roman"/>
          <w:rtl w:val="0"/>
          <w:lang w:val="en-US"/>
        </w:rPr>
        <w:t>) directly into the technology development and governance lifecycle.</w:t>
      </w:r>
    </w:p>
    <w:p>
      <w:pPr>
        <w:pStyle w:val="Default"/>
        <w:suppressAutoHyphens w:val="1"/>
        <w:spacing w:before="0" w:after="240" w:line="240" w:lineRule="auto"/>
        <w:jc w:val="left"/>
        <w:rPr>
          <w:rFonts w:ascii="Times Roman" w:cs="Times Roman" w:hAnsi="Times Roman" w:eastAsia="Times Roman"/>
          <w:b w:val="0"/>
          <w:bCs w:val="0"/>
        </w:rPr>
      </w:pPr>
      <w:r>
        <w:rPr>
          <w:rFonts w:ascii="Times Roman" w:hAnsi="Times Roman"/>
          <w:b w:val="1"/>
          <w:bCs w:val="1"/>
          <w:rtl w:val="0"/>
          <w:lang w:val="en-US"/>
        </w:rPr>
        <w:t>1. Example Resource: The Strategic Role of Governance</w:t>
      </w:r>
    </w:p>
    <w:p>
      <w:pPr>
        <w:pStyle w:val="Default"/>
        <w:suppressAutoHyphens w:val="1"/>
        <w:spacing w:before="0" w:after="240" w:line="240" w:lineRule="auto"/>
        <w:jc w:val="left"/>
        <w:rPr>
          <w:rStyle w:val="None"/>
          <w:rFonts w:ascii="Times Roman" w:cs="Times Roman" w:hAnsi="Times Roman" w:eastAsia="Times Roman"/>
          <w:i w:val="0"/>
          <w:iCs w:val="0"/>
        </w:rPr>
      </w:pPr>
      <w:r>
        <w:rPr>
          <w:rFonts w:ascii="Times Roman" w:hAnsi="Times Roman"/>
          <w:b w:val="1"/>
          <w:bCs w:val="1"/>
          <w:i w:val="0"/>
          <w:iCs w:val="0"/>
          <w:rtl w:val="0"/>
          <w:lang w:val="en-US"/>
        </w:rPr>
        <w:t>Citation:</w:t>
      </w:r>
      <w:r>
        <w:rPr>
          <w:rFonts w:ascii="Times Roman" w:hAnsi="Times Roman"/>
          <w:i w:val="0"/>
          <w:iCs w:val="0"/>
          <w:rtl w:val="0"/>
          <w:lang w:val="en-US"/>
        </w:rPr>
        <w:t xml:space="preserve"> Benabderrahmane, R., Benouaret, Z. N., &amp; Mounir, B. H. (2010). </w:t>
      </w:r>
      <w:r>
        <w:rPr>
          <w:rFonts w:ascii="Times Roman" w:hAnsi="Times Roman"/>
          <w:i w:val="1"/>
          <w:iCs w:val="1"/>
          <w:rtl w:val="0"/>
          <w:lang w:val="en-US"/>
        </w:rPr>
        <w:t>ICOMPLY: An incremental and dynamic compliance checking framework for evolving software.</w:t>
      </w:r>
      <w:r>
        <w:rPr>
          <w:rFonts w:ascii="Times Roman" w:hAnsi="Times Roman"/>
          <w:i w:val="0"/>
          <w:iCs w:val="0"/>
          <w:rtl w:val="0"/>
          <w:lang w:val="en-US"/>
        </w:rPr>
        <w:t xml:space="preserve"> Retrieved from </w:t>
      </w:r>
      <w:r>
        <w:rPr>
          <w:rStyle w:val="Hyperlink.0"/>
          <w:rFonts w:ascii="Times Roman" w:cs="Times Roman" w:hAnsi="Times Roman" w:eastAsia="Times Roman"/>
          <w:i w:val="0"/>
          <w:iCs w:val="0"/>
          <w:outline w:val="0"/>
          <w:color w:val="0000ee"/>
          <w:u w:val="single"/>
          <w14:textFill>
            <w14:solidFill>
              <w14:srgbClr w14:val="0000EE"/>
            </w14:solidFill>
          </w14:textFill>
        </w:rPr>
        <w:fldChar w:fldCharType="begin" w:fldLock="0"/>
      </w:r>
      <w:r>
        <w:rPr>
          <w:rStyle w:val="Hyperlink.0"/>
          <w:rFonts w:ascii="Times Roman" w:cs="Times Roman" w:hAnsi="Times Roman" w:eastAsia="Times Roman"/>
          <w:i w:val="0"/>
          <w:iCs w:val="0"/>
          <w:outline w:val="0"/>
          <w:color w:val="0000ee"/>
          <w:u w:val="single"/>
          <w14:textFill>
            <w14:solidFill>
              <w14:srgbClr w14:val="0000EE"/>
            </w14:solidFill>
          </w14:textFill>
        </w:rPr>
        <w:instrText xml:space="preserve"> HYPERLINK "https://users.encs.concordia.ca/home/a/abdelw/papers/ICOMPLY10.pdf"</w:instrText>
      </w:r>
      <w:r>
        <w:rPr>
          <w:rStyle w:val="Hyperlink.0"/>
          <w:rFonts w:ascii="Times Roman" w:cs="Times Roman" w:hAnsi="Times Roman" w:eastAsia="Times Roman"/>
          <w:i w:val="0"/>
          <w:iCs w:val="0"/>
          <w:outline w:val="0"/>
          <w:color w:val="0000ee"/>
          <w:u w:val="single"/>
          <w14:textFill>
            <w14:solidFill>
              <w14:srgbClr w14:val="0000EE"/>
            </w14:solidFill>
          </w14:textFill>
        </w:rPr>
        <w:fldChar w:fldCharType="separate" w:fldLock="0"/>
      </w:r>
      <w:r>
        <w:rPr>
          <w:rStyle w:val="Hyperlink.0"/>
          <w:rFonts w:ascii="Times Roman" w:hAnsi="Times Roman"/>
          <w:i w:val="0"/>
          <w:iCs w:val="0"/>
          <w:outline w:val="0"/>
          <w:color w:val="0000ee"/>
          <w:u w:val="single"/>
          <w:rtl w:val="0"/>
          <w:lang w:val="en-US"/>
          <w14:textFill>
            <w14:solidFill>
              <w14:srgbClr w14:val="0000EE"/>
            </w14:solidFill>
          </w14:textFill>
        </w:rPr>
        <w:t>https://users.encs.concordia.ca/home/a/abdelw/papers/ICOMPLY10.pdf</w:t>
      </w:r>
      <w:r>
        <w:rPr>
          <w:rFonts w:ascii="Times Roman" w:cs="Times Roman" w:hAnsi="Times Roman" w:eastAsia="Times Roman"/>
          <w:i w:val="1"/>
          <w:iCs w:val="1"/>
        </w:rPr>
        <w:fldChar w:fldCharType="end" w:fldLock="0"/>
      </w:r>
      <w:r>
        <w:rPr>
          <w:rStyle w:val="None"/>
          <w:rFonts w:ascii="Times Roman" w:cs="Times Roman" w:hAnsi="Times Roman" w:eastAsia="Times Roman"/>
          <w:i w:val="0"/>
          <w:iCs w:val="0"/>
        </w:rPr>
        <w:br w:type="textWrapping"/>
      </w:r>
    </w:p>
    <w:p>
      <w:pPr>
        <w:pStyle w:val="Default"/>
        <w:suppressAutoHyphens w:val="1"/>
        <w:spacing w:before="0" w:after="240" w:line="240" w:lineRule="auto"/>
        <w:jc w:val="left"/>
        <w:rPr>
          <w:rFonts w:ascii="Times Roman" w:cs="Times Roman" w:hAnsi="Times Roman" w:eastAsia="Times Roman"/>
        </w:rPr>
      </w:pPr>
      <w:r>
        <w:rPr>
          <w:rStyle w:val="None"/>
          <w:rFonts w:ascii="Times Roman" w:hAnsi="Times Roman"/>
          <w:b w:val="1"/>
          <w:bCs w:val="1"/>
          <w:rtl w:val="0"/>
          <w:lang w:val="en-US"/>
        </w:rPr>
        <w:t>Description:</w:t>
      </w:r>
      <w:r>
        <w:rPr>
          <w:rFonts w:ascii="Times Roman" w:hAnsi="Times Roman"/>
          <w:rtl w:val="0"/>
          <w:lang w:val="en-US"/>
        </w:rPr>
        <w:t xml:space="preserve"> The ICOMPLY framework presents a strong academic and technical justification for the Legal/Compliance Gateway Sign-Off milestone in </w:t>
      </w:r>
      <w:r>
        <w:rPr>
          <w:rFonts w:ascii="Times Roman" w:hAnsi="Times Roman"/>
          <w:rtl w:val="0"/>
          <w:lang w:val="en-US"/>
        </w:rPr>
        <w:t>the</w:t>
      </w:r>
      <w:r>
        <w:rPr>
          <w:rFonts w:ascii="Times Roman" w:hAnsi="Times Roman"/>
          <w:rtl w:val="0"/>
          <w:lang w:val="en-US"/>
        </w:rPr>
        <w:t xml:space="preserve"> Arborwood Cost Calculator project. This framework proposes that compliance checking must be an incremental and dynamic process, rather than a single, late-stage gate</w:t>
      </w:r>
      <w:r>
        <w:rPr>
          <w:rFonts w:ascii="Times Roman" w:hAnsi="Times Roman"/>
          <w:rtl w:val="0"/>
          <w:lang w:val="en-US"/>
        </w:rPr>
        <w:t>.</w:t>
      </w:r>
      <w:r>
        <w:rPr>
          <w:rFonts w:ascii="Times Roman" w:hAnsi="Times Roman"/>
          <w:rtl w:val="0"/>
          <w:lang w:val="en-US"/>
        </w:rPr>
        <w:t xml:space="preserve"> By mandating a formal compliance review </w:t>
      </w:r>
      <w:r>
        <w:rPr>
          <w:rFonts w:ascii="Times Roman" w:hAnsi="Times Roman"/>
          <w:rtl w:val="0"/>
          <w:lang w:val="en-US"/>
        </w:rPr>
        <w:t>following completion of UI/UX design, use case development and requirements finalization</w:t>
      </w:r>
      <w:r>
        <w:rPr>
          <w:rFonts w:ascii="Times Roman" w:hAnsi="Times Roman"/>
          <w:rtl w:val="0"/>
          <w:lang w:val="en-US"/>
        </w:rPr>
        <w:t xml:space="preserve">, the ICOMPLY methodology ensures that the calculator's critical use cases, financial logic, and required disclaimers are vetted against regulatory requirements before </w:t>
      </w:r>
      <w:r>
        <w:rPr>
          <w:rFonts w:ascii="Times Roman" w:hAnsi="Times Roman"/>
          <w:rtl w:val="0"/>
          <w:lang w:val="en-US"/>
        </w:rPr>
        <w:t>development</w:t>
      </w:r>
      <w:r>
        <w:rPr>
          <w:rFonts w:ascii="Times Roman" w:hAnsi="Times Roman"/>
          <w:rtl w:val="0"/>
          <w:lang w:val="en-US"/>
        </w:rPr>
        <w:t xml:space="preserve"> begins. This strategy directly addresses </w:t>
      </w:r>
      <w:r>
        <w:rPr>
          <w:rFonts w:ascii="Times Roman" w:hAnsi="Times Roman"/>
          <w:rtl w:val="0"/>
          <w:lang w:val="en-US"/>
        </w:rPr>
        <w:t>the</w:t>
      </w:r>
      <w:r>
        <w:rPr>
          <w:rFonts w:ascii="Times Roman" w:hAnsi="Times Roman"/>
          <w:rtl w:val="0"/>
          <w:lang w:val="en-US"/>
        </w:rPr>
        <w:t xml:space="preserve"> core project risk by converting the critical threat of regulatory rejection into a managed, </w:t>
      </w:r>
      <w:r>
        <w:rPr>
          <w:rFonts w:ascii="Times Roman" w:hAnsi="Times Roman"/>
          <w:rtl w:val="0"/>
          <w:lang w:val="en-US"/>
        </w:rPr>
        <w:t>preemptive</w:t>
      </w:r>
      <w:r>
        <w:rPr>
          <w:rFonts w:ascii="Times Roman" w:hAnsi="Times Roman"/>
          <w:rtl w:val="0"/>
          <w:lang w:val="en-US"/>
        </w:rPr>
        <w:t xml:space="preserve"> milestone, thereby guaranteeing that compliance is built into</w:t>
      </w:r>
      <w:r>
        <w:rPr>
          <w:rFonts w:ascii="Times Roman" w:hAnsi="Times Roman"/>
          <w:rtl w:val="0"/>
          <w:lang w:val="en-US"/>
        </w:rPr>
        <w:t xml:space="preserve"> </w:t>
      </w:r>
      <w:r>
        <w:rPr>
          <w:rFonts w:ascii="Times Roman" w:hAnsi="Times Roman"/>
          <w:rtl w:val="0"/>
          <w:lang w:val="en-US"/>
        </w:rPr>
        <w:t>the solution rather than merely appended to it.</w:t>
      </w:r>
    </w:p>
    <w:p>
      <w:pPr>
        <w:pStyle w:val="Default"/>
        <w:suppressAutoHyphens w:val="1"/>
        <w:spacing w:before="0" w:after="240" w:line="240" w:lineRule="auto"/>
        <w:jc w:val="left"/>
        <w:rPr>
          <w:rStyle w:val="None"/>
          <w:rFonts w:ascii="Times Roman" w:cs="Times Roman" w:hAnsi="Times Roman" w:eastAsia="Times Roman"/>
          <w:b w:val="0"/>
          <w:bCs w:val="0"/>
        </w:rPr>
      </w:pPr>
      <w:r>
        <w:rPr>
          <w:rFonts w:ascii="Times Roman" w:hAnsi="Times Roman"/>
          <w:b w:val="1"/>
          <w:bCs w:val="1"/>
          <w:rtl w:val="0"/>
          <w:lang w:val="en-US"/>
        </w:rPr>
        <w:t>2. Example Resource: Empirical Study on COBIT and Compliance</w:t>
      </w:r>
    </w:p>
    <w:p>
      <w:pPr>
        <w:pStyle w:val="Default"/>
        <w:suppressAutoHyphens w:val="1"/>
        <w:spacing w:before="0" w:after="240" w:line="240" w:lineRule="auto"/>
        <w:jc w:val="left"/>
        <w:rPr>
          <w:rStyle w:val="None"/>
          <w:rFonts w:ascii="Times Roman" w:cs="Times Roman" w:hAnsi="Times Roman" w:eastAsia="Times Roman"/>
          <w:i w:val="0"/>
          <w:iCs w:val="0"/>
        </w:rPr>
      </w:pPr>
      <w:r>
        <w:rPr>
          <w:rStyle w:val="None"/>
          <w:rFonts w:ascii="Times Roman" w:hAnsi="Times Roman"/>
          <w:b w:val="1"/>
          <w:bCs w:val="1"/>
          <w:i w:val="0"/>
          <w:iCs w:val="0"/>
          <w:rtl w:val="0"/>
          <w:lang w:val="en-US"/>
        </w:rPr>
        <w:t>Citation:</w:t>
      </w:r>
      <w:r>
        <w:rPr>
          <w:rStyle w:val="None"/>
          <w:rFonts w:ascii="Times Roman" w:hAnsi="Times Roman"/>
          <w:i w:val="0"/>
          <w:iCs w:val="0"/>
          <w:rtl w:val="0"/>
          <w:lang w:val="en-US"/>
        </w:rPr>
        <w:t xml:space="preserve"> Huygh, T., De Smedt, J., &amp; D'Haen, J. (2021). </w:t>
      </w:r>
      <w:r>
        <w:rPr>
          <w:rFonts w:ascii="Times Roman" w:hAnsi="Times Roman"/>
          <w:i w:val="1"/>
          <w:iCs w:val="1"/>
          <w:rtl w:val="0"/>
          <w:lang w:val="en-US"/>
        </w:rPr>
        <w:t>The role of compliance requirements in IT governance implementation: An empirical study based on COBIT 2019.</w:t>
      </w:r>
      <w:r>
        <w:rPr>
          <w:rStyle w:val="None"/>
          <w:rFonts w:ascii="Times Roman" w:hAnsi="Times Roman"/>
          <w:i w:val="0"/>
          <w:iCs w:val="0"/>
          <w:rtl w:val="0"/>
          <w:lang w:val="en-US"/>
        </w:rPr>
        <w:t xml:space="preserve"> ResearchGate. Retrieved from https://www.researchgate.net/profile/Tim-Huygh/publication/354718657_The_Role_of_Compliance_Requirements_in_IT_Governance_Implementation_An_Empirical_Study_Based_on_COBIT_2019/links/61498d9e519a1a381f71b992/The-Role-of-Compliance-Requirements-in-IT-Governance-Implementation-An-Empirical-Study-Based-on-COBIT-2019.pdf</w:t>
      </w:r>
    </w:p>
    <w:p>
      <w:pPr>
        <w:pStyle w:val="Default"/>
        <w:suppressAutoHyphens w:val="1"/>
        <w:spacing w:before="0" w:after="240" w:line="240" w:lineRule="auto"/>
        <w:jc w:val="left"/>
        <w:rPr>
          <w:rFonts w:ascii="Times Roman" w:cs="Times Roman" w:hAnsi="Times Roman" w:eastAsia="Times Roman"/>
        </w:rPr>
      </w:pPr>
      <w:r>
        <w:rPr>
          <w:rStyle w:val="None"/>
          <w:rFonts w:ascii="Times Roman" w:hAnsi="Times Roman"/>
          <w:b w:val="1"/>
          <w:bCs w:val="1"/>
          <w:rtl w:val="0"/>
          <w:lang w:val="en-US"/>
        </w:rPr>
        <w:t>Description:</w:t>
      </w:r>
      <w:r>
        <w:rPr>
          <w:rFonts w:ascii="Times Roman" w:hAnsi="Times Roman"/>
          <w:rtl w:val="0"/>
          <w:lang w:val="en-US"/>
        </w:rPr>
        <w:t xml:space="preserve"> The empirical study on COBIT 2019 demonstrates that compliance requirements act as a primary catalyst and critical success factor for successfully implementing robust IT governance frameworks within an organization. By analyzing real-world data, the research validates the project's strategy of using the extreme regulatory threat in higher education as the core business driver for IT change. Specifically, the findings support the mandatory inclusion of a formal, auditable Legal/Compliance Gateway milestone, which transforms regulatory risk from an external blocker into an internal, managed governance checkpoint, thereby ensuring the technology solution is aligned with non-negotiable legal requirements from the outset.</w:t>
      </w:r>
    </w:p>
    <w:p>
      <w:pPr>
        <w:pStyle w:val="Default"/>
        <w:suppressAutoHyphens w:val="1"/>
        <w:spacing w:before="0" w:after="240" w:line="240" w:lineRule="auto"/>
        <w:jc w:val="left"/>
        <w:rPr>
          <w:rFonts w:ascii="Times Roman" w:cs="Times Roman" w:hAnsi="Times Roman" w:eastAsia="Times Roman"/>
        </w:rPr>
      </w:pPr>
    </w:p>
    <w:p>
      <w:pPr>
        <w:pStyle w:val="Default"/>
        <w:suppressAutoHyphens w:val="1"/>
        <w:spacing w:before="0" w:after="240" w:line="240" w:lineRule="auto"/>
        <w:jc w:val="left"/>
        <w:rPr>
          <w:rStyle w:val="None"/>
          <w:rFonts w:ascii="Times Roman" w:cs="Times Roman" w:hAnsi="Times Roman" w:eastAsia="Times Roman"/>
          <w:b w:val="0"/>
          <w:bCs w:val="0"/>
        </w:rPr>
      </w:pPr>
      <w:r>
        <w:rPr>
          <w:rFonts w:ascii="Times Roman" w:hAnsi="Times Roman"/>
          <w:b w:val="1"/>
          <w:bCs w:val="1"/>
          <w:rtl w:val="0"/>
          <w:lang w:val="en-US"/>
        </w:rPr>
        <w:t xml:space="preserve">3. Example Resource: Aligning Compliance </w:t>
      </w:r>
      <w:r>
        <w:rPr>
          <w:rFonts w:ascii="Times Roman" w:hAnsi="Times Roman"/>
          <w:b w:val="1"/>
          <w:bCs w:val="1"/>
          <w:rtl w:val="0"/>
          <w:lang w:val="en-US"/>
        </w:rPr>
        <w:t>in Software</w:t>
      </w:r>
      <w:r>
        <w:rPr>
          <w:rFonts w:ascii="Times Roman" w:hAnsi="Times Roman"/>
          <w:b w:val="1"/>
          <w:bCs w:val="1"/>
          <w:rtl w:val="0"/>
          <w:lang w:val="en-US"/>
        </w:rPr>
        <w:t xml:space="preserve"> Project Management</w:t>
      </w:r>
    </w:p>
    <w:p>
      <w:pPr>
        <w:pStyle w:val="Default"/>
        <w:suppressAutoHyphens w:val="1"/>
        <w:spacing w:before="0" w:after="240" w:line="240" w:lineRule="auto"/>
        <w:jc w:val="left"/>
        <w:rPr>
          <w:rStyle w:val="None"/>
          <w:rFonts w:ascii="Times Roman" w:cs="Times Roman" w:hAnsi="Times Roman" w:eastAsia="Times Roman"/>
          <w:i w:val="0"/>
          <w:iCs w:val="0"/>
        </w:rPr>
      </w:pPr>
      <w:r>
        <w:rPr>
          <w:rStyle w:val="None"/>
          <w:rFonts w:ascii="Times Roman" w:hAnsi="Times Roman"/>
          <w:b w:val="1"/>
          <w:bCs w:val="1"/>
          <w:i w:val="0"/>
          <w:iCs w:val="0"/>
          <w:rtl w:val="0"/>
          <w:lang w:val="en-US"/>
        </w:rPr>
        <w:t>Citation:</w:t>
      </w:r>
      <w:r>
        <w:rPr>
          <w:rStyle w:val="None"/>
          <w:rFonts w:ascii="Times Roman" w:hAnsi="Times Roman"/>
          <w:i w:val="0"/>
          <w:iCs w:val="0"/>
          <w:rtl w:val="0"/>
          <w:lang w:val="en-US"/>
        </w:rPr>
        <w:t xml:space="preserve"> </w:t>
      </w:r>
      <w:r>
        <w:rPr>
          <w:rFonts w:ascii="Times Roman" w:hAnsi="Times Roman"/>
          <w:i w:val="1"/>
          <w:iCs w:val="1"/>
          <w:rtl w:val="0"/>
          <w:lang w:val="en-US"/>
        </w:rPr>
        <w:t xml:space="preserve">Arvidsson, A. (2023). Process-oriented risk and issue management for IT projects [Master's thesis, University of Gothenburg]. Retrieved from </w:t>
      </w:r>
      <w:r>
        <w:rPr>
          <w:rStyle w:val="Hyperlink.1"/>
          <w:rFonts w:ascii="Times Roman" w:cs="Times Roman" w:hAnsi="Times Roman" w:eastAsia="Times Roman"/>
          <w:i w:val="1"/>
          <w:iCs w:val="1"/>
        </w:rPr>
        <w:fldChar w:fldCharType="begin" w:fldLock="0"/>
      </w:r>
      <w:r>
        <w:rPr>
          <w:rStyle w:val="Hyperlink.1"/>
          <w:rFonts w:ascii="Times Roman" w:cs="Times Roman" w:hAnsi="Times Roman" w:eastAsia="Times Roman"/>
          <w:i w:val="1"/>
          <w:iCs w:val="1"/>
        </w:rPr>
        <w:instrText xml:space="preserve"> HYPERLINK "https://gupea.ub.gu.se/handle/2077/88228"</w:instrText>
      </w:r>
      <w:r>
        <w:rPr>
          <w:rStyle w:val="Hyperlink.1"/>
          <w:rFonts w:ascii="Times Roman" w:cs="Times Roman" w:hAnsi="Times Roman" w:eastAsia="Times Roman"/>
          <w:i w:val="1"/>
          <w:iCs w:val="1"/>
        </w:rPr>
        <w:fldChar w:fldCharType="separate" w:fldLock="0"/>
      </w:r>
      <w:r>
        <w:rPr>
          <w:rStyle w:val="Hyperlink.1"/>
          <w:rFonts w:ascii="Times Roman" w:hAnsi="Times Roman"/>
          <w:i w:val="1"/>
          <w:iCs w:val="1"/>
          <w:rtl w:val="0"/>
          <w:lang w:val="en-US"/>
        </w:rPr>
        <w:t>https://gupea.ub.gu.se/handle/2077/88228</w:t>
      </w:r>
      <w:r>
        <w:rPr>
          <w:rFonts w:ascii="Times Roman" w:cs="Times Roman" w:hAnsi="Times Roman" w:eastAsia="Times Roman"/>
          <w:i w:val="1"/>
          <w:iCs w:val="1"/>
        </w:rPr>
        <w:fldChar w:fldCharType="end" w:fldLock="0"/>
      </w:r>
    </w:p>
    <w:p>
      <w:pPr>
        <w:pStyle w:val="Default"/>
        <w:suppressAutoHyphens w:val="1"/>
        <w:spacing w:before="0" w:after="240" w:line="240" w:lineRule="auto"/>
        <w:jc w:val="left"/>
        <w:rPr>
          <w:rFonts w:ascii="Times Roman" w:cs="Times Roman" w:hAnsi="Times Roman" w:eastAsia="Times Roman"/>
        </w:rPr>
      </w:pPr>
      <w:r>
        <w:rPr>
          <w:rStyle w:val="None"/>
          <w:rFonts w:ascii="Times Roman" w:hAnsi="Times Roman"/>
          <w:b w:val="1"/>
          <w:bCs w:val="1"/>
          <w:rtl w:val="0"/>
          <w:lang w:val="en-US"/>
        </w:rPr>
        <w:t>Description:</w:t>
      </w:r>
      <w:r>
        <w:rPr>
          <w:rFonts w:ascii="Times Roman" w:hAnsi="Times Roman"/>
          <w:rtl w:val="0"/>
          <w:lang w:val="en-US"/>
        </w:rPr>
        <w:t xml:space="preserve"> The Master's thesis, "</w:t>
      </w:r>
      <w:r>
        <w:rPr>
          <w:rStyle w:val="None"/>
          <w:rFonts w:ascii="Times Roman" w:hAnsi="Times Roman"/>
          <w:i w:val="1"/>
          <w:iCs w:val="1"/>
          <w:rtl w:val="0"/>
          <w:lang w:val="en-US"/>
        </w:rPr>
        <w:t>Process-oriented risk and issue management for IT projects</w:t>
      </w:r>
      <w:r>
        <w:rPr>
          <w:rFonts w:ascii="Times Roman" w:hAnsi="Times Roman"/>
          <w:rtl w:val="0"/>
          <w:lang w:val="en-US"/>
        </w:rPr>
        <w:t>," significantly reinforces the project's governance strategy by moving beyond general risk identification to advocate for a structured, process-based risk methodology. The research provides a framework for transforming major threats</w:t>
      </w:r>
      <w:r>
        <w:rPr>
          <w:rFonts w:ascii="Times Roman" w:hAnsi="Times Roman" w:hint="default"/>
          <w:rtl w:val="0"/>
          <w:lang w:val="en-US"/>
        </w:rPr>
        <w:t>—</w:t>
      </w:r>
      <w:r>
        <w:rPr>
          <w:rFonts w:ascii="Times Roman" w:hAnsi="Times Roman"/>
          <w:rtl w:val="0"/>
          <w:lang w:val="en-US"/>
        </w:rPr>
        <w:t>such as the regulatory veto that previously shelved the cost calculator</w:t>
      </w:r>
      <w:r>
        <w:rPr>
          <w:rFonts w:ascii="Times Roman" w:hAnsi="Times Roman" w:hint="default"/>
          <w:rtl w:val="0"/>
          <w:lang w:val="en-US"/>
        </w:rPr>
        <w:t>—</w:t>
      </w:r>
      <w:r>
        <w:rPr>
          <w:rFonts w:ascii="Times Roman" w:hAnsi="Times Roman"/>
          <w:rtl w:val="0"/>
          <w:lang w:val="en-US"/>
        </w:rPr>
        <w:t>into mandatory, predefined project activities. This academically justifies the decision to establish the Legal/Compliance Gateway Sign-Off as a formal and non-negotiable checkpoint, ensuring that the critical regulatory risk is managed proactively and structurally addressed through a defined governance process before significant development resources are invested in the technical build.</w:t>
      </w:r>
    </w:p>
    <w:p>
      <w:pPr>
        <w:pStyle w:val="Default"/>
        <w:suppressAutoHyphens w:val="1"/>
        <w:spacing w:before="0" w:line="240" w:lineRule="auto"/>
        <w:jc w:val="left"/>
        <w:rPr>
          <w:rFonts w:ascii="Times Roman" w:cs="Times Roman" w:hAnsi="Times Roman" w:eastAsia="Times Roman"/>
          <w:outline w:val="0"/>
          <w:color w:val="808080"/>
          <w14:textFill>
            <w14:solidFill>
              <w14:srgbClr w14:val="808080"/>
            </w14:solidFill>
          </w14:textFill>
        </w:rPr>
      </w:pPr>
    </w:p>
    <w:p>
      <w:pPr>
        <w:pStyle w:val="Default"/>
        <w:suppressAutoHyphens w:val="1"/>
        <w:spacing w:before="0" w:after="240" w:line="240" w:lineRule="auto"/>
        <w:jc w:val="left"/>
        <w:rPr>
          <w:rFonts w:ascii="Times Roman" w:cs="Times Roman" w:hAnsi="Times Roman" w:eastAsia="Times Roman"/>
        </w:rPr>
      </w:pPr>
    </w:p>
    <w:p>
      <w:pPr>
        <w:pStyle w:val="Default"/>
        <w:suppressAutoHyphens w:val="1"/>
        <w:spacing w:before="0" w:after="281" w:line="240" w:lineRule="auto"/>
        <w:jc w:val="left"/>
        <w:rPr>
          <w:rFonts w:ascii="Times Roman" w:cs="Times Roman" w:hAnsi="Times Roman" w:eastAsia="Times Roman"/>
          <w:b w:val="1"/>
          <w:bCs w:val="1"/>
          <w:sz w:val="28"/>
          <w:szCs w:val="28"/>
        </w:rPr>
      </w:pPr>
      <w:r>
        <w:rPr>
          <w:rFonts w:ascii="Times Roman" w:hAnsi="Times Roman"/>
          <w:b w:val="1"/>
          <w:bCs w:val="1"/>
          <w:sz w:val="28"/>
          <w:szCs w:val="28"/>
          <w:rtl w:val="0"/>
          <w:lang w:val="en-US"/>
        </w:rPr>
        <w:t>II. Ensuring Accuracy: API-Driven Data Integration Best Practices</w:t>
      </w:r>
    </w:p>
    <w:p>
      <w:pPr>
        <w:pStyle w:val="Default"/>
        <w:suppressAutoHyphens w:val="1"/>
        <w:spacing w:before="0" w:after="240" w:line="240" w:lineRule="auto"/>
        <w:jc w:val="left"/>
        <w:rPr>
          <w:rFonts w:ascii="Times Roman" w:cs="Times Roman" w:hAnsi="Times Roman" w:eastAsia="Times Roman"/>
        </w:rPr>
      </w:pPr>
      <w:r>
        <w:rPr>
          <w:rFonts w:ascii="Times Roman" w:hAnsi="Times Roman"/>
          <w:rtl w:val="0"/>
          <w:lang w:val="en-US"/>
        </w:rPr>
        <w:t>This theme explores industry white papers and public-facing technical guides on implementing Application Programming Interfaces (APIs) to ensure the accuracy and real-time reliability of financial data, thereby mitigating the risk associated with manual data entry.</w:t>
      </w:r>
    </w:p>
    <w:p>
      <w:pPr>
        <w:pStyle w:val="Default"/>
        <w:suppressAutoHyphens w:val="1"/>
        <w:spacing w:before="0" w:after="240" w:line="240" w:lineRule="auto"/>
        <w:jc w:val="left"/>
        <w:rPr>
          <w:rStyle w:val="None"/>
          <w:rFonts w:ascii="Times Roman" w:cs="Times Roman" w:hAnsi="Times Roman" w:eastAsia="Times Roman"/>
          <w:b w:val="0"/>
          <w:bCs w:val="0"/>
        </w:rPr>
      </w:pPr>
      <w:r>
        <w:rPr>
          <w:rFonts w:ascii="Times Roman" w:hAnsi="Times Roman"/>
          <w:b w:val="1"/>
          <w:bCs w:val="1"/>
          <w:rtl w:val="0"/>
          <w:lang w:val="en-US"/>
        </w:rPr>
        <w:t>4. Example Resource: The Case for Real-Time Data</w:t>
      </w:r>
    </w:p>
    <w:p>
      <w:pPr>
        <w:pStyle w:val="Default"/>
        <w:suppressAutoHyphens w:val="1"/>
        <w:spacing w:before="0" w:after="240" w:line="240" w:lineRule="auto"/>
        <w:jc w:val="left"/>
        <w:rPr>
          <w:rStyle w:val="None"/>
          <w:rFonts w:ascii="Times Roman" w:cs="Times Roman" w:hAnsi="Times Roman" w:eastAsia="Times Roman"/>
          <w:i w:val="0"/>
          <w:iCs w:val="0"/>
        </w:rPr>
      </w:pPr>
      <w:r>
        <w:rPr>
          <w:rStyle w:val="None"/>
          <w:rFonts w:ascii="Times Roman" w:hAnsi="Times Roman"/>
          <w:b w:val="1"/>
          <w:bCs w:val="1"/>
          <w:i w:val="0"/>
          <w:iCs w:val="0"/>
          <w:rtl w:val="0"/>
          <w:lang w:val="en-US"/>
        </w:rPr>
        <w:t>Citation:</w:t>
      </w:r>
      <w:r>
        <w:rPr>
          <w:rStyle w:val="None"/>
          <w:rFonts w:ascii="Times Roman" w:hAnsi="Times Roman"/>
          <w:i w:val="0"/>
          <w:iCs w:val="0"/>
          <w:rtl w:val="0"/>
          <w:lang w:val="en-US"/>
        </w:rPr>
        <w:t xml:space="preserve"> </w:t>
      </w:r>
      <w:r>
        <w:rPr>
          <w:rFonts w:ascii="Times Roman" w:hAnsi="Times Roman"/>
          <w:i w:val="1"/>
          <w:iCs w:val="1"/>
          <w:rtl w:val="0"/>
          <w:lang w:val="en-US"/>
        </w:rPr>
        <w:t>Acharige, B., Wijesundara, L., &amp; Herath, V. (2017). Real-time data processing architecture and framework for business intelligence. In Proceedings of the International Conference on Computing and Engineering (ICCE 2017). Retrieved from</w:t>
      </w:r>
      <w:r>
        <w:rPr>
          <w:rFonts w:ascii="Times Roman" w:hAnsi="Times Roman"/>
          <w:i w:val="1"/>
          <w:iCs w:val="1"/>
          <w:rtl w:val="0"/>
          <w:lang w:val="en-US"/>
        </w:rPr>
        <w:t xml:space="preserve"> </w:t>
      </w:r>
      <w:r>
        <w:rPr>
          <w:rStyle w:val="Hyperlink.2"/>
          <w:rFonts w:ascii="Times Roman" w:cs="Times Roman" w:hAnsi="Times Roman" w:eastAsia="Times Roman"/>
          <w:i w:val="1"/>
          <w:iCs w:val="1"/>
        </w:rPr>
        <w:fldChar w:fldCharType="begin" w:fldLock="0"/>
      </w:r>
      <w:r>
        <w:rPr>
          <w:rStyle w:val="Hyperlink.2"/>
          <w:rFonts w:ascii="Times Roman" w:cs="Times Roman" w:hAnsi="Times Roman" w:eastAsia="Times Roman"/>
          <w:i w:val="1"/>
          <w:iCs w:val="1"/>
        </w:rPr>
        <w:instrText xml:space="preserve"> HYPERLINK "https://ieeexplore.ieee.org/abstract/document/10220070"</w:instrText>
      </w:r>
      <w:r>
        <w:rPr>
          <w:rStyle w:val="Hyperlink.2"/>
          <w:rFonts w:ascii="Times Roman" w:cs="Times Roman" w:hAnsi="Times Roman" w:eastAsia="Times Roman"/>
          <w:i w:val="1"/>
          <w:iCs w:val="1"/>
        </w:rPr>
        <w:fldChar w:fldCharType="separate" w:fldLock="0"/>
      </w:r>
      <w:r>
        <w:rPr>
          <w:rStyle w:val="Hyperlink.2"/>
          <w:rFonts w:ascii="Times Roman" w:hAnsi="Times Roman"/>
          <w:i w:val="1"/>
          <w:iCs w:val="1"/>
          <w:rtl w:val="0"/>
          <w:lang w:val="en-US"/>
        </w:rPr>
        <w:t>https://ieeexplore.ieee.org/abstract/document/10220070</w:t>
      </w:r>
      <w:r>
        <w:rPr>
          <w:rFonts w:ascii="Times Roman" w:cs="Times Roman" w:hAnsi="Times Roman" w:eastAsia="Times Roman"/>
          <w:i w:val="1"/>
          <w:iCs w:val="1"/>
        </w:rPr>
        <w:fldChar w:fldCharType="end" w:fldLock="0"/>
      </w:r>
    </w:p>
    <w:p>
      <w:pPr>
        <w:pStyle w:val="Default"/>
        <w:suppressAutoHyphens w:val="1"/>
        <w:spacing w:before="0" w:after="240" w:line="240" w:lineRule="auto"/>
        <w:jc w:val="left"/>
        <w:rPr>
          <w:rFonts w:ascii="Times Roman" w:cs="Times Roman" w:hAnsi="Times Roman" w:eastAsia="Times Roman"/>
        </w:rPr>
      </w:pPr>
      <w:r>
        <w:rPr>
          <w:rStyle w:val="None"/>
          <w:rFonts w:ascii="Times Roman" w:hAnsi="Times Roman"/>
          <w:b w:val="1"/>
          <w:bCs w:val="1"/>
          <w:rtl w:val="0"/>
          <w:lang w:val="en-US"/>
        </w:rPr>
        <w:t>Description:</w:t>
      </w:r>
      <w:r>
        <w:rPr>
          <w:rFonts w:ascii="Times Roman" w:hAnsi="Times Roman"/>
          <w:rtl w:val="0"/>
          <w:lang w:val="en-US"/>
        </w:rPr>
        <w:t xml:space="preserve"> The academic paper, "</w:t>
      </w:r>
      <w:r>
        <w:rPr>
          <w:rStyle w:val="None"/>
          <w:rFonts w:ascii="Times Roman" w:hAnsi="Times Roman"/>
          <w:i w:val="1"/>
          <w:iCs w:val="1"/>
          <w:rtl w:val="0"/>
          <w:lang w:val="en-US"/>
        </w:rPr>
        <w:t>Real-time data processing architecture and framework for business intelligence,</w:t>
      </w:r>
      <w:r>
        <w:rPr>
          <w:rFonts w:ascii="Times Roman" w:hAnsi="Times Roman"/>
          <w:rtl w:val="0"/>
          <w:lang w:val="en-US"/>
        </w:rPr>
        <w:t>" provides the necessary technical and architectural justification for the project's strategy regarding data integration. Specifically, the research details the rigorous frameworks required to achieve real-time data fidelity in applications, underscoring that accurate, up-to-the-second data cannot be reliably achieved through manual or simple cached data retrieval. This directly validates the decision to include the API/Data Integration Build Completion milestone, proving that the technical complexity of creating a dedicated, real-time integration layer is not merely a preference but a compliance necessity for any financial calculator that must mitigate the severe risk of displaying inaccurate or outdated cost information.</w:t>
      </w:r>
    </w:p>
    <w:p>
      <w:pPr>
        <w:pStyle w:val="Default"/>
        <w:suppressAutoHyphens w:val="1"/>
        <w:spacing w:before="0" w:after="240" w:line="240" w:lineRule="auto"/>
        <w:jc w:val="left"/>
        <w:rPr>
          <w:rStyle w:val="None"/>
          <w:rFonts w:ascii="Times Roman" w:cs="Times Roman" w:hAnsi="Times Roman" w:eastAsia="Times Roman"/>
          <w:b w:val="0"/>
          <w:bCs w:val="0"/>
        </w:rPr>
      </w:pPr>
      <w:r>
        <w:rPr>
          <w:rFonts w:ascii="Times Roman" w:hAnsi="Times Roman"/>
          <w:b w:val="1"/>
          <w:bCs w:val="1"/>
          <w:rtl w:val="0"/>
          <w:lang w:val="en-US"/>
        </w:rPr>
        <w:t>5. Example Resource: Microservices and Integration Patterns</w:t>
      </w:r>
    </w:p>
    <w:p>
      <w:pPr>
        <w:pStyle w:val="Default"/>
        <w:suppressAutoHyphens w:val="1"/>
        <w:spacing w:before="0" w:after="240" w:line="240" w:lineRule="auto"/>
        <w:jc w:val="left"/>
        <w:rPr>
          <w:rFonts w:ascii="Times Roman" w:cs="Times Roman" w:hAnsi="Times Roman" w:eastAsia="Times Roman"/>
        </w:rPr>
      </w:pPr>
      <w:r>
        <w:rPr>
          <w:rStyle w:val="None"/>
          <w:rFonts w:ascii="Times Roman" w:hAnsi="Times Roman"/>
          <w:b w:val="1"/>
          <w:bCs w:val="1"/>
          <w:rtl w:val="0"/>
          <w:lang w:val="en-US"/>
        </w:rPr>
        <w:t>Citation:</w:t>
      </w:r>
      <w:r>
        <w:rPr>
          <w:rFonts w:ascii="Times Roman" w:hAnsi="Times Roman"/>
          <w:rtl w:val="0"/>
          <w:lang w:val="en-US"/>
        </w:rPr>
        <w:t xml:space="preserve"> Parikh, P., &amp; Haddad, K. (2019). Architecting a microservice based solution: Challenges and considerations. </w:t>
      </w:r>
      <w:r>
        <w:rPr>
          <w:rStyle w:val="None"/>
          <w:rFonts w:ascii="Times Roman" w:hAnsi="Times Roman"/>
          <w:i w:val="1"/>
          <w:iCs w:val="1"/>
          <w:rtl w:val="0"/>
          <w:lang w:val="en-US"/>
        </w:rPr>
        <w:t>Journal of Financial Service Technology</w:t>
      </w:r>
      <w:r>
        <w:rPr>
          <w:rFonts w:ascii="Times Roman" w:hAnsi="Times Roman"/>
          <w:rtl w:val="0"/>
          <w:lang w:val="en-US"/>
        </w:rPr>
        <w:t xml:space="preserve">, </w:t>
      </w:r>
      <w:r>
        <w:rPr>
          <w:rStyle w:val="None"/>
          <w:rFonts w:ascii="Times Roman" w:hAnsi="Times Roman"/>
          <w:i w:val="1"/>
          <w:iCs w:val="1"/>
          <w:rtl w:val="0"/>
          <w:lang w:val="en-US"/>
        </w:rPr>
        <w:t>3</w:t>
      </w:r>
      <w:r>
        <w:rPr>
          <w:rFonts w:ascii="Times Roman" w:hAnsi="Times Roman"/>
          <w:rtl w:val="0"/>
          <w:lang w:val="en-US"/>
        </w:rPr>
        <w:t>(1), 77</w:t>
      </w:r>
      <w:r>
        <w:rPr>
          <w:rFonts w:ascii="Times Roman" w:hAnsi="Times Roman" w:hint="default"/>
          <w:rtl w:val="0"/>
          <w:lang w:val="en-US"/>
        </w:rPr>
        <w:t>–</w:t>
      </w:r>
      <w:r>
        <w:rPr>
          <w:rFonts w:ascii="Times Roman" w:hAnsi="Times Roman"/>
          <w:rtl w:val="0"/>
          <w:lang w:val="en-US"/>
        </w:rPr>
        <w:t xml:space="preserve">86. Retrieved from </w:t>
      </w:r>
      <w:r>
        <w:rPr>
          <w:rStyle w:val="Hyperlink.1"/>
          <w:rFonts w:ascii="Times Roman" w:cs="Times Roman" w:hAnsi="Times Roman" w:eastAsia="Times Roman"/>
        </w:rPr>
        <w:fldChar w:fldCharType="begin" w:fldLock="0"/>
      </w:r>
      <w:r>
        <w:rPr>
          <w:rStyle w:val="Hyperlink.1"/>
          <w:rFonts w:ascii="Times Roman" w:cs="Times Roman" w:hAnsi="Times Roman" w:eastAsia="Times Roman"/>
        </w:rPr>
        <w:instrText xml:space="preserve"> HYPERLINK "https://rainmaker-s3-media.s3.amazonaws.com/prod/media/library/CPD/PDFs/Journals/Financial%20Services%20Technology/Volume%203/Number%201/JFST-v3n01_ParikhHaddad_09.pdf"</w:instrText>
      </w:r>
      <w:r>
        <w:rPr>
          <w:rStyle w:val="Hyperlink.1"/>
          <w:rFonts w:ascii="Times Roman" w:cs="Times Roman" w:hAnsi="Times Roman" w:eastAsia="Times Roman"/>
        </w:rPr>
        <w:fldChar w:fldCharType="separate" w:fldLock="0"/>
      </w:r>
      <w:r>
        <w:rPr>
          <w:rStyle w:val="Hyperlink.1"/>
          <w:rFonts w:ascii="Times Roman" w:hAnsi="Times Roman"/>
          <w:rtl w:val="0"/>
          <w:lang w:val="en-US"/>
        </w:rPr>
        <w:t>https://rainmaker-s3-media.s3.amazonaws.com/prod/media/library/CPD/PDFs/Journals/Financial%20Services%20Technology/Volume%203/Number%201/JFST-v3n01_ParikhHaddad_09.pdf</w:t>
      </w:r>
      <w:r>
        <w:rPr>
          <w:rFonts w:ascii="Times Roman" w:cs="Times Roman" w:hAnsi="Times Roman" w:eastAsia="Times Roman"/>
        </w:rPr>
        <w:fldChar w:fldCharType="end" w:fldLock="0"/>
      </w:r>
    </w:p>
    <w:p>
      <w:pPr>
        <w:pStyle w:val="Default"/>
        <w:suppressAutoHyphens w:val="1"/>
        <w:spacing w:before="0" w:after="240" w:line="240" w:lineRule="auto"/>
        <w:jc w:val="left"/>
        <w:rPr>
          <w:rFonts w:ascii="Times Roman" w:cs="Times Roman" w:hAnsi="Times Roman" w:eastAsia="Times Roman"/>
        </w:rPr>
      </w:pPr>
      <w:r>
        <w:rPr>
          <w:rStyle w:val="None"/>
          <w:rFonts w:ascii="Times Roman" w:hAnsi="Times Roman"/>
          <w:b w:val="1"/>
          <w:bCs w:val="1"/>
          <w:rtl w:val="0"/>
          <w:lang w:val="en-US"/>
        </w:rPr>
        <w:t>Description:</w:t>
      </w:r>
      <w:r>
        <w:rPr>
          <w:rFonts w:ascii="Times Roman" w:hAnsi="Times Roman"/>
          <w:rtl w:val="0"/>
          <w:lang w:val="en-US"/>
        </w:rPr>
        <w:t xml:space="preserve"> The article, "Architecting a Microservice Based Solution: Challenges and Considerations," provides crucial academic support for the technical scope of the Arborwood project by addressing the necessary complexity of the API/Data Integration Build Completion milestone. This research moves beyond the theoretical justification of using microservices to detail the real-world architectural challenges</w:t>
      </w:r>
      <w:r>
        <w:rPr>
          <w:rFonts w:ascii="Times Roman" w:hAnsi="Times Roman" w:hint="default"/>
          <w:rtl w:val="0"/>
          <w:lang w:val="en-US"/>
        </w:rPr>
        <w:t>—</w:t>
      </w:r>
      <w:r>
        <w:rPr>
          <w:rFonts w:ascii="Times Roman" w:hAnsi="Times Roman"/>
          <w:rtl w:val="0"/>
          <w:lang w:val="en-US"/>
        </w:rPr>
        <w:t>including managing security risks, ensuring data consistency across distributed services, and handling the added complexity of latency</w:t>
      </w:r>
      <w:r>
        <w:rPr>
          <w:rFonts w:ascii="Times Roman" w:hAnsi="Times Roman" w:hint="default"/>
          <w:rtl w:val="0"/>
          <w:lang w:val="en-US"/>
        </w:rPr>
        <w:t>—</w:t>
      </w:r>
      <w:r>
        <w:rPr>
          <w:rFonts w:ascii="Times Roman" w:hAnsi="Times Roman"/>
          <w:rtl w:val="0"/>
          <w:lang w:val="en-US"/>
        </w:rPr>
        <w:t>that the IT team will inevitably face. By explicitly documenting these complex technical considerations, the paper validates that the project's requirement to build a dedicated API layer to pull real-time data from the legacy student administration system is a sophisticated engineering effort essential for mitigating the regulatory compliance risk associated with inaccurate financial data.</w:t>
      </w:r>
    </w:p>
    <w:p>
      <w:pPr>
        <w:pStyle w:val="Default"/>
        <w:suppressAutoHyphens w:val="1"/>
        <w:spacing w:before="0" w:after="240" w:line="240" w:lineRule="auto"/>
        <w:jc w:val="left"/>
        <w:rPr>
          <w:rStyle w:val="None"/>
          <w:rFonts w:ascii="Times Roman" w:cs="Times Roman" w:hAnsi="Times Roman" w:eastAsia="Times Roman"/>
          <w:b w:val="0"/>
          <w:bCs w:val="0"/>
        </w:rPr>
      </w:pPr>
      <w:r>
        <w:rPr>
          <w:rFonts w:ascii="Times Roman" w:hAnsi="Times Roman"/>
          <w:b w:val="1"/>
          <w:bCs w:val="1"/>
          <w:rtl w:val="0"/>
          <w:lang w:val="en-US"/>
        </w:rPr>
        <w:t xml:space="preserve">6. Example Resource: </w:t>
      </w:r>
      <w:r>
        <w:rPr>
          <w:rFonts w:ascii="Times Roman" w:hAnsi="Times Roman"/>
          <w:b w:val="1"/>
          <w:bCs w:val="1"/>
          <w:rtl w:val="0"/>
          <w:lang w:val="en-US"/>
        </w:rPr>
        <w:t>The Value of API Development in Higher Education</w:t>
      </w:r>
    </w:p>
    <w:p>
      <w:pPr>
        <w:pStyle w:val="Default"/>
        <w:suppressAutoHyphens w:val="1"/>
        <w:spacing w:before="0" w:after="240" w:line="240" w:lineRule="auto"/>
        <w:jc w:val="left"/>
        <w:rPr>
          <w:rFonts w:ascii="Times Roman" w:cs="Times Roman" w:hAnsi="Times Roman" w:eastAsia="Times Roman"/>
        </w:rPr>
      </w:pPr>
      <w:r>
        <w:rPr>
          <w:rStyle w:val="None"/>
          <w:rFonts w:ascii="Times Roman" w:hAnsi="Times Roman"/>
          <w:b w:val="1"/>
          <w:bCs w:val="1"/>
          <w:rtl w:val="0"/>
          <w:lang w:val="en-US"/>
        </w:rPr>
        <w:t>Citation:</w:t>
      </w:r>
      <w:r>
        <w:rPr>
          <w:rFonts w:ascii="Times Roman" w:hAnsi="Times Roman"/>
          <w:rtl w:val="0"/>
          <w:lang w:val="en-US"/>
        </w:rPr>
        <w:t xml:space="preserve"> Vossen, J., &amp; Meijer, M. (2014). </w:t>
      </w:r>
      <w:r>
        <w:rPr>
          <w:rStyle w:val="None"/>
          <w:rFonts w:ascii="Times Roman" w:hAnsi="Times Roman"/>
          <w:i w:val="1"/>
          <w:iCs w:val="1"/>
          <w:rtl w:val="0"/>
          <w:lang w:val="en-US"/>
        </w:rPr>
        <w:t>IT governance and enterprise architecture: A new approach for application integration and data access in higher education.</w:t>
      </w:r>
      <w:r>
        <w:rPr>
          <w:rFonts w:ascii="Times Roman" w:hAnsi="Times Roman"/>
          <w:rtl w:val="0"/>
          <w:lang w:val="en-US"/>
        </w:rPr>
        <w:t xml:space="preserve"> Proceedings of the 20th Annual Conference of the European University Information Systems Organisation (EUNIS 2014). Retrieved from </w:t>
      </w:r>
      <w:r>
        <w:rPr>
          <w:rStyle w:val="Hyperlink.1"/>
          <w:rFonts w:ascii="Times Roman" w:cs="Times Roman" w:hAnsi="Times Roman" w:eastAsia="Times Roman"/>
        </w:rPr>
        <w:fldChar w:fldCharType="begin" w:fldLock="0"/>
      </w:r>
      <w:r>
        <w:rPr>
          <w:rStyle w:val="Hyperlink.1"/>
          <w:rFonts w:ascii="Times Roman" w:cs="Times Roman" w:hAnsi="Times Roman" w:eastAsia="Times Roman"/>
        </w:rPr>
        <w:instrText xml:space="preserve"> HYPERLINK "https://eunis.org/download/2014/papers/eunis2014_submission_71.pdf"</w:instrText>
      </w:r>
      <w:r>
        <w:rPr>
          <w:rStyle w:val="Hyperlink.1"/>
          <w:rFonts w:ascii="Times Roman" w:cs="Times Roman" w:hAnsi="Times Roman" w:eastAsia="Times Roman"/>
        </w:rPr>
        <w:fldChar w:fldCharType="separate" w:fldLock="0"/>
      </w:r>
      <w:r>
        <w:rPr>
          <w:rStyle w:val="Hyperlink.1"/>
          <w:rFonts w:ascii="Times Roman" w:hAnsi="Times Roman"/>
          <w:rtl w:val="0"/>
          <w:lang w:val="en-US"/>
        </w:rPr>
        <w:t>https://eunis.org/download/2014/papers/eunis2014_submission_71.pdf</w:t>
      </w:r>
      <w:r>
        <w:rPr>
          <w:rFonts w:ascii="Times Roman" w:cs="Times Roman" w:hAnsi="Times Roman" w:eastAsia="Times Roman"/>
        </w:rPr>
        <w:fldChar w:fldCharType="end" w:fldLock="0"/>
      </w:r>
    </w:p>
    <w:p>
      <w:pPr>
        <w:pStyle w:val="Default"/>
        <w:suppressAutoHyphens w:val="1"/>
        <w:spacing w:before="0" w:after="240" w:line="240" w:lineRule="auto"/>
        <w:jc w:val="left"/>
        <w:rPr>
          <w:rFonts w:ascii="Times Roman" w:cs="Times Roman" w:hAnsi="Times Roman" w:eastAsia="Times Roman"/>
        </w:rPr>
      </w:pPr>
      <w:r>
        <w:rPr>
          <w:rStyle w:val="None"/>
          <w:rFonts w:ascii="Times Roman" w:hAnsi="Times Roman"/>
          <w:b w:val="1"/>
          <w:bCs w:val="1"/>
          <w:rtl w:val="0"/>
          <w:lang w:val="en-US"/>
        </w:rPr>
        <w:t>Description:</w:t>
      </w:r>
      <w:r>
        <w:rPr>
          <w:rFonts w:ascii="Times Roman" w:hAnsi="Times Roman"/>
          <w:rtl w:val="0"/>
          <w:lang w:val="en-US"/>
        </w:rPr>
        <w:t xml:space="preserve"> The academic paper, "IT Governance and Enterprise Architecture: A New Approach for Application Integration and Data Access in Higher Education," provides highly specific industry validation for the Arborwood project's technical foundation. By analyzing the challenges faced by higher education institutions, the research demonstrates that leveraging formal Enterprise Architecture and structured API development is the </w:t>
      </w:r>
      <w:r>
        <w:rPr>
          <w:rStyle w:val="None"/>
          <w:rFonts w:ascii="Times Roman" w:hAnsi="Times Roman"/>
          <w:i w:val="1"/>
          <w:iCs w:val="1"/>
          <w:rtl w:val="0"/>
          <w:lang w:val="en-US"/>
        </w:rPr>
        <w:t>de facto</w:t>
      </w:r>
      <w:r>
        <w:rPr>
          <w:rFonts w:ascii="Times Roman" w:hAnsi="Times Roman"/>
          <w:rtl w:val="0"/>
          <w:lang w:val="en-US"/>
        </w:rPr>
        <w:t xml:space="preserve"> best practice for breaking down the legacy data silos that currently prevent access to accurate, real-time information. This directly supports the project's API/Data Integration Build Completion milestone, framing the creation of the new API layer not merely as a technical necessity for the calculator, but as a strategic, value-adding investment that promotes institutional data agilityand enables the rapid, reliable deployment of future public-facing applications.</w:t>
      </w:r>
    </w:p>
    <w:p>
      <w:pPr>
        <w:pStyle w:val="Default"/>
        <w:suppressAutoHyphens w:val="1"/>
        <w:spacing w:before="0" w:line="240" w:lineRule="auto"/>
        <w:jc w:val="left"/>
        <w:rPr>
          <w:rFonts w:ascii="Times Roman" w:cs="Times Roman" w:hAnsi="Times Roman" w:eastAsia="Times Roman"/>
          <w:outline w:val="0"/>
          <w:color w:val="808080"/>
          <w14:textFill>
            <w14:solidFill>
              <w14:srgbClr w14:val="808080"/>
            </w14:solidFill>
          </w14:textFill>
        </w:rPr>
      </w:pPr>
    </w:p>
    <w:p>
      <w:pPr>
        <w:pStyle w:val="Default"/>
        <w:suppressAutoHyphens w:val="1"/>
        <w:spacing w:before="0" w:after="240" w:line="240" w:lineRule="auto"/>
        <w:jc w:val="left"/>
        <w:rPr>
          <w:rFonts w:ascii="Times Roman" w:cs="Times Roman" w:hAnsi="Times Roman" w:eastAsia="Times Roman"/>
        </w:rPr>
      </w:pPr>
    </w:p>
    <w:p>
      <w:pPr>
        <w:pStyle w:val="Default"/>
        <w:suppressAutoHyphens w:val="1"/>
        <w:spacing w:before="0" w:after="281" w:line="240" w:lineRule="auto"/>
        <w:jc w:val="left"/>
        <w:rPr>
          <w:rFonts w:ascii="Times Roman" w:cs="Times Roman" w:hAnsi="Times Roman" w:eastAsia="Times Roman"/>
          <w:b w:val="1"/>
          <w:bCs w:val="1"/>
          <w:sz w:val="28"/>
          <w:szCs w:val="28"/>
        </w:rPr>
      </w:pPr>
      <w:r>
        <w:rPr>
          <w:rFonts w:ascii="Times Roman" w:hAnsi="Times Roman"/>
          <w:b w:val="1"/>
          <w:bCs w:val="1"/>
          <w:sz w:val="28"/>
          <w:szCs w:val="28"/>
          <w:rtl w:val="0"/>
          <w:lang w:val="en-US"/>
        </w:rPr>
        <w:t>III. Mitigating Litigation Risk: Transparency and the Regulatory Environment</w:t>
      </w:r>
    </w:p>
    <w:p>
      <w:pPr>
        <w:pStyle w:val="Default"/>
        <w:suppressAutoHyphens w:val="1"/>
        <w:spacing w:before="0" w:after="240" w:line="240" w:lineRule="auto"/>
        <w:jc w:val="left"/>
        <w:rPr>
          <w:rFonts w:ascii="Times Roman" w:cs="Times Roman" w:hAnsi="Times Roman" w:eastAsia="Times Roman"/>
        </w:rPr>
      </w:pPr>
    </w:p>
    <w:p>
      <w:pPr>
        <w:pStyle w:val="Default"/>
        <w:suppressAutoHyphens w:val="1"/>
        <w:spacing w:before="0" w:after="240" w:line="240" w:lineRule="auto"/>
        <w:jc w:val="left"/>
        <w:rPr>
          <w:rFonts w:ascii="Times Roman" w:cs="Times Roman" w:hAnsi="Times Roman" w:eastAsia="Times Roman"/>
        </w:rPr>
      </w:pPr>
      <w:r>
        <w:rPr>
          <w:rFonts w:ascii="Times Roman" w:hAnsi="Times Roman"/>
          <w:rtl w:val="0"/>
          <w:lang w:val="en-US"/>
        </w:rPr>
        <w:t>This theme directly addresses the legal environment of higher education, focusing on government mandates and public documentation that reinforce the necessity of accurate, non-misleading financial transparency tools.</w:t>
      </w:r>
    </w:p>
    <w:p>
      <w:pPr>
        <w:pStyle w:val="Default"/>
        <w:suppressAutoHyphens w:val="1"/>
        <w:spacing w:before="0" w:after="240" w:line="240" w:lineRule="auto"/>
        <w:jc w:val="left"/>
        <w:rPr>
          <w:rStyle w:val="None"/>
          <w:rFonts w:ascii="Times Roman" w:cs="Times Roman" w:hAnsi="Times Roman" w:eastAsia="Times Roman"/>
          <w:b w:val="0"/>
          <w:bCs w:val="0"/>
        </w:rPr>
      </w:pPr>
      <w:r>
        <w:rPr>
          <w:rFonts w:ascii="Times Roman" w:hAnsi="Times Roman"/>
          <w:b w:val="1"/>
          <w:bCs w:val="1"/>
          <w:rtl w:val="0"/>
          <w:lang w:val="en-US"/>
        </w:rPr>
        <w:t>7. Example Resource: Federal Disclosure Requirements in Higher Education</w:t>
      </w:r>
    </w:p>
    <w:p>
      <w:pPr>
        <w:pStyle w:val="Default"/>
        <w:suppressAutoHyphens w:val="1"/>
        <w:spacing w:before="0" w:after="240" w:line="240" w:lineRule="auto"/>
        <w:jc w:val="left"/>
        <w:rPr>
          <w:rFonts w:ascii="Times Roman" w:cs="Times Roman" w:hAnsi="Times Roman" w:eastAsia="Times Roman"/>
        </w:rPr>
      </w:pPr>
      <w:r>
        <w:rPr>
          <w:rStyle w:val="None"/>
          <w:rFonts w:ascii="Times Roman" w:hAnsi="Times Roman"/>
          <w:b w:val="1"/>
          <w:bCs w:val="1"/>
          <w:rtl w:val="0"/>
          <w:lang w:val="en-US"/>
        </w:rPr>
        <w:t>Citation:</w:t>
      </w:r>
      <w:r>
        <w:rPr>
          <w:rFonts w:ascii="Times Roman" w:hAnsi="Times Roman"/>
          <w:rtl w:val="0"/>
          <w:lang w:val="en-US"/>
        </w:rPr>
        <w:t xml:space="preserve"> Higher Education Act of 1965, 20 U.S.C. </w:t>
      </w:r>
      <w:r>
        <w:rPr>
          <w:rFonts w:ascii="Times Roman" w:hAnsi="Times Roman" w:hint="default"/>
          <w:rtl w:val="0"/>
          <w:lang w:val="en-US"/>
        </w:rPr>
        <w:t xml:space="preserve">§ </w:t>
      </w:r>
      <w:r>
        <w:rPr>
          <w:rFonts w:ascii="Times Roman" w:hAnsi="Times Roman"/>
          <w:rtl w:val="0"/>
          <w:lang w:val="en-US"/>
        </w:rPr>
        <w:t>1094 et seq. (2020). Retrieved from https://www.law.cornell.edu/uscode/text/20/1094</w:t>
      </w:r>
    </w:p>
    <w:p>
      <w:pPr>
        <w:pStyle w:val="Default"/>
        <w:suppressAutoHyphens w:val="1"/>
        <w:spacing w:before="0" w:after="240" w:line="240" w:lineRule="auto"/>
        <w:jc w:val="left"/>
        <w:rPr>
          <w:rFonts w:ascii="Times Roman" w:cs="Times Roman" w:hAnsi="Times Roman" w:eastAsia="Times Roman"/>
        </w:rPr>
      </w:pPr>
      <w:r>
        <w:rPr>
          <w:rStyle w:val="None"/>
          <w:rFonts w:ascii="Times Roman" w:hAnsi="Times Roman"/>
          <w:b w:val="1"/>
          <w:bCs w:val="1"/>
          <w:rtl w:val="0"/>
          <w:lang w:val="en-US"/>
        </w:rPr>
        <w:t>Description:</w:t>
      </w:r>
      <w:r>
        <w:rPr>
          <w:rFonts w:ascii="Times Roman" w:hAnsi="Times Roman"/>
          <w:rtl w:val="0"/>
          <w:lang w:val="en-US"/>
        </w:rPr>
        <w:t xml:space="preserve"> This foundational federal legislation dictates required financial disclosures under Title IV of the HEA, specifically mandating institutional transparency regarding costs, financial aid, and outcomes as a condition of participation. Referencing the correct U.S. Code (U.S.C.) section establishes the non-negotiable legal basis for why cost transparency is mandatory, and why any online tool providing cost estimates must be scrupulously accurate to avoid statutory violations that triggered the previous project's failure.</w:t>
      </w:r>
    </w:p>
    <w:p>
      <w:pPr>
        <w:pStyle w:val="Default"/>
        <w:suppressAutoHyphens w:val="1"/>
        <w:spacing w:before="0" w:after="240" w:line="240" w:lineRule="auto"/>
        <w:jc w:val="left"/>
        <w:rPr>
          <w:rFonts w:ascii="Times Roman" w:cs="Times Roman" w:hAnsi="Times Roman" w:eastAsia="Times Roman"/>
        </w:rPr>
      </w:pPr>
    </w:p>
    <w:p>
      <w:pPr>
        <w:pStyle w:val="Default"/>
        <w:suppressAutoHyphens w:val="1"/>
        <w:spacing w:before="0" w:after="240" w:line="240" w:lineRule="auto"/>
        <w:jc w:val="left"/>
        <w:rPr>
          <w:rStyle w:val="None"/>
          <w:rFonts w:ascii="Times Roman" w:cs="Times Roman" w:hAnsi="Times Roman" w:eastAsia="Times Roman"/>
          <w:b w:val="0"/>
          <w:bCs w:val="0"/>
        </w:rPr>
      </w:pPr>
      <w:r>
        <w:rPr>
          <w:rFonts w:ascii="Times Roman" w:hAnsi="Times Roman"/>
          <w:b w:val="1"/>
          <w:bCs w:val="1"/>
          <w:rtl w:val="0"/>
          <w:lang w:val="en-US"/>
        </w:rPr>
        <w:t xml:space="preserve">8. Example Resource: </w:t>
      </w:r>
      <w:r>
        <w:rPr>
          <w:rFonts w:ascii="Times Roman" w:hAnsi="Times Roman"/>
          <w:b w:val="1"/>
          <w:bCs w:val="1"/>
          <w:rtl w:val="0"/>
          <w:lang w:val="en-US"/>
        </w:rPr>
        <w:t>Cost Transparency as a Market Driver in Higher Education</w:t>
      </w:r>
    </w:p>
    <w:p>
      <w:pPr>
        <w:pStyle w:val="Default"/>
        <w:suppressAutoHyphens w:val="1"/>
        <w:spacing w:before="0" w:after="240" w:line="240" w:lineRule="auto"/>
        <w:jc w:val="left"/>
        <w:rPr>
          <w:rStyle w:val="None"/>
          <w:rFonts w:ascii="Times Roman" w:cs="Times Roman" w:hAnsi="Times Roman" w:eastAsia="Times Roman"/>
          <w:i w:val="0"/>
          <w:iCs w:val="0"/>
        </w:rPr>
      </w:pPr>
      <w:r>
        <w:rPr>
          <w:rStyle w:val="None"/>
          <w:rFonts w:ascii="Times Roman" w:hAnsi="Times Roman"/>
          <w:b w:val="1"/>
          <w:bCs w:val="1"/>
          <w:i w:val="0"/>
          <w:iCs w:val="0"/>
          <w:rtl w:val="0"/>
          <w:lang w:val="en-US"/>
        </w:rPr>
        <w:t>Citation:</w:t>
      </w:r>
      <w:r>
        <w:rPr>
          <w:rStyle w:val="None"/>
          <w:rFonts w:ascii="Times Roman" w:hAnsi="Times Roman"/>
          <w:i w:val="0"/>
          <w:iCs w:val="0"/>
          <w:rtl w:val="0"/>
          <w:lang w:val="en-US"/>
        </w:rPr>
        <w:t xml:space="preserve"> </w:t>
      </w:r>
      <w:r>
        <w:rPr>
          <w:rFonts w:ascii="Times Roman" w:hAnsi="Times Roman"/>
          <w:i w:val="1"/>
          <w:iCs w:val="1"/>
          <w:rtl w:val="0"/>
          <w:lang w:val="en-US"/>
        </w:rPr>
        <w:t>Snead</w:t>
      </w:r>
      <w:r>
        <w:rPr>
          <w:rFonts w:ascii="Times Roman" w:hAnsi="Times Roman"/>
          <w:i w:val="1"/>
          <w:iCs w:val="1"/>
          <w:rtl w:val="0"/>
          <w:lang w:val="en-US"/>
        </w:rPr>
        <w:t>, M.</w:t>
      </w:r>
      <w:r>
        <w:rPr>
          <w:rFonts w:ascii="Times Roman" w:hAnsi="Times Roman"/>
          <w:i w:val="1"/>
          <w:iCs w:val="1"/>
          <w:rtl w:val="0"/>
          <w:lang w:val="en-US"/>
        </w:rPr>
        <w:t xml:space="preserve"> B</w:t>
      </w:r>
      <w:r>
        <w:rPr>
          <w:rFonts w:ascii="Times Roman" w:hAnsi="Times Roman"/>
          <w:i w:val="1"/>
          <w:iCs w:val="1"/>
          <w:rtl w:val="0"/>
          <w:lang w:val="en-US"/>
        </w:rPr>
        <w:t>. (20</w:t>
      </w:r>
      <w:r>
        <w:rPr>
          <w:rFonts w:ascii="Times Roman" w:hAnsi="Times Roman"/>
          <w:i w:val="1"/>
          <w:iCs w:val="1"/>
          <w:rtl w:val="0"/>
          <w:lang w:val="en-US"/>
        </w:rPr>
        <w:t>25</w:t>
      </w:r>
      <w:r>
        <w:rPr>
          <w:rFonts w:ascii="Times Roman" w:hAnsi="Times Roman"/>
          <w:i w:val="1"/>
          <w:iCs w:val="1"/>
          <w:rtl w:val="0"/>
          <w:lang w:val="en-US"/>
        </w:rPr>
        <w:t>). The effects of cost transparency on students' college enrollment decisions [</w:t>
      </w:r>
      <w:r>
        <w:rPr>
          <w:rFonts w:ascii="Times Roman" w:hAnsi="Times Roman"/>
          <w:i w:val="1"/>
          <w:iCs w:val="1"/>
          <w:rtl w:val="0"/>
          <w:lang w:val="en-US"/>
        </w:rPr>
        <w:t>Masters</w:t>
      </w:r>
      <w:r>
        <w:rPr>
          <w:rFonts w:ascii="Times Roman" w:hAnsi="Times Roman"/>
          <w:i w:val="1"/>
          <w:iCs w:val="1"/>
          <w:rtl w:val="0"/>
          <w:lang w:val="en-US"/>
        </w:rPr>
        <w:t xml:space="preserve"> </w:t>
      </w:r>
      <w:r>
        <w:rPr>
          <w:rFonts w:ascii="Times Roman" w:hAnsi="Times Roman"/>
          <w:i w:val="1"/>
          <w:iCs w:val="1"/>
          <w:rtl w:val="0"/>
          <w:lang w:val="en-US"/>
        </w:rPr>
        <w:t>thesis</w:t>
      </w:r>
      <w:r>
        <w:rPr>
          <w:rFonts w:ascii="Times Roman" w:hAnsi="Times Roman"/>
          <w:i w:val="1"/>
          <w:iCs w:val="1"/>
          <w:rtl w:val="0"/>
          <w:lang w:val="en-US"/>
        </w:rPr>
        <w:t xml:space="preserve">, </w:t>
      </w:r>
      <w:r>
        <w:rPr>
          <w:rFonts w:ascii="Times Roman" w:hAnsi="Times Roman"/>
          <w:i w:val="1"/>
          <w:iCs w:val="1"/>
          <w:rtl w:val="0"/>
          <w:lang w:val="en-US"/>
        </w:rPr>
        <w:t>California State University, Fresno</w:t>
      </w:r>
      <w:r>
        <w:rPr>
          <w:rFonts w:ascii="Times Roman" w:hAnsi="Times Roman"/>
          <w:i w:val="1"/>
          <w:iCs w:val="1"/>
          <w:rtl w:val="0"/>
          <w:lang w:val="en-US"/>
        </w:rPr>
        <w:t>]. ProQuest Dissertations Publishing.</w:t>
      </w:r>
    </w:p>
    <w:p>
      <w:pPr>
        <w:pStyle w:val="Default"/>
        <w:suppressAutoHyphens w:val="1"/>
        <w:spacing w:before="0" w:after="240" w:line="240" w:lineRule="auto"/>
        <w:jc w:val="left"/>
        <w:rPr>
          <w:rFonts w:ascii="Times Roman" w:cs="Times Roman" w:hAnsi="Times Roman" w:eastAsia="Times Roman"/>
        </w:rPr>
      </w:pPr>
      <w:r>
        <w:rPr>
          <w:rStyle w:val="None"/>
          <w:rFonts w:ascii="Times Roman" w:hAnsi="Times Roman"/>
          <w:b w:val="1"/>
          <w:bCs w:val="1"/>
          <w:rtl w:val="0"/>
          <w:lang w:val="en-US"/>
        </w:rPr>
        <w:t>Description:</w:t>
      </w:r>
      <w:r>
        <w:rPr>
          <w:rFonts w:ascii="Times Roman" w:hAnsi="Times Roman"/>
          <w:rtl w:val="0"/>
          <w:lang w:val="en-US"/>
        </w:rPr>
        <w:t xml:space="preserve"> The </w:t>
      </w:r>
      <w:r>
        <w:rPr>
          <w:rFonts w:ascii="Times Roman" w:hAnsi="Times Roman"/>
          <w:rtl w:val="0"/>
          <w:lang w:val="en-US"/>
        </w:rPr>
        <w:t>masters</w:t>
      </w:r>
      <w:r>
        <w:rPr>
          <w:rFonts w:ascii="Times Roman" w:hAnsi="Times Roman"/>
          <w:rtl w:val="0"/>
          <w:lang w:val="en-US"/>
        </w:rPr>
        <w:t xml:space="preserve"> thesis, "The Effects of Cost Transparency on Students' College Enrollment Decisions," provides critical empirical evidence directly supporting the business case for the Arborwood project's new cost calculator. This academic research empirically validates the fundamental assumption that financial clarity is a major factor driving student behavior, establishing that a student's ability to easily and accurately calculate their educational costs significantly affects their final enrollment decisions. By quantifying the value of transparency and linking it to market outcomes, the thesis justifies the significant technical and governance investment required, reframing the project as a strategic necessity for mitigating student attrition and improving conversion rates, rather than simply an exercise in regulatory compliance.</w:t>
      </w:r>
    </w:p>
    <w:p>
      <w:pPr>
        <w:pStyle w:val="Default"/>
        <w:suppressAutoHyphens w:val="1"/>
        <w:spacing w:before="0" w:after="240" w:line="240" w:lineRule="auto"/>
        <w:jc w:val="left"/>
        <w:rPr>
          <w:rStyle w:val="None"/>
          <w:rFonts w:ascii="Times Roman" w:cs="Times Roman" w:hAnsi="Times Roman" w:eastAsia="Times Roman"/>
          <w:b w:val="0"/>
          <w:bCs w:val="0"/>
        </w:rPr>
      </w:pPr>
      <w:r>
        <w:rPr>
          <w:rFonts w:ascii="Times Roman" w:hAnsi="Times Roman"/>
          <w:b w:val="1"/>
          <w:bCs w:val="1"/>
          <w:rtl w:val="0"/>
          <w:lang w:val="en-US"/>
        </w:rPr>
        <w:t xml:space="preserve">9. Example Resource: </w:t>
      </w:r>
      <w:r>
        <w:rPr>
          <w:rFonts w:ascii="Times Roman" w:hAnsi="Times Roman"/>
          <w:b w:val="1"/>
          <w:bCs w:val="1"/>
          <w:rtl w:val="0"/>
          <w:lang w:val="en-US"/>
        </w:rPr>
        <w:t>Policy Rationale for Cost Transparency</w:t>
      </w:r>
    </w:p>
    <w:p>
      <w:pPr>
        <w:pStyle w:val="Default"/>
        <w:suppressAutoHyphens w:val="1"/>
        <w:spacing w:before="0" w:after="240" w:line="240" w:lineRule="auto"/>
        <w:jc w:val="left"/>
        <w:rPr>
          <w:rStyle w:val="None"/>
          <w:rFonts w:ascii="Times Roman" w:cs="Times Roman" w:hAnsi="Times Roman" w:eastAsia="Times Roman"/>
          <w:i w:val="0"/>
          <w:iCs w:val="0"/>
        </w:rPr>
      </w:pPr>
      <w:r>
        <w:rPr>
          <w:rStyle w:val="None"/>
          <w:rFonts w:ascii="Times Roman" w:hAnsi="Times Roman"/>
          <w:b w:val="1"/>
          <w:bCs w:val="1"/>
          <w:i w:val="0"/>
          <w:iCs w:val="0"/>
          <w:rtl w:val="0"/>
          <w:lang w:val="en-US"/>
        </w:rPr>
        <w:t>Citation:</w:t>
      </w:r>
      <w:r>
        <w:rPr>
          <w:rStyle w:val="None"/>
          <w:rFonts w:ascii="Times Roman" w:hAnsi="Times Roman"/>
          <w:i w:val="0"/>
          <w:iCs w:val="0"/>
          <w:rtl w:val="0"/>
          <w:lang w:val="en-US"/>
        </w:rPr>
        <w:t xml:space="preserve"> </w:t>
      </w:r>
      <w:r>
        <w:rPr>
          <w:rFonts w:ascii="Times Roman" w:hAnsi="Times Roman"/>
          <w:i w:val="1"/>
          <w:iCs w:val="1"/>
          <w:rtl w:val="0"/>
          <w:lang w:val="en-US"/>
        </w:rPr>
        <w:t xml:space="preserve">Goldrick-Rab, S., &amp; Cook, M. (2021). Financial aid communication: A guide for institutions. The Institute for Research on Higher Education (IRHE). Retrieved from </w:t>
      </w:r>
      <w:r>
        <w:rPr>
          <w:rStyle w:val="Hyperlink.1"/>
          <w:rFonts w:ascii="Times Roman" w:cs="Times Roman" w:hAnsi="Times Roman" w:eastAsia="Times Roman"/>
          <w:i w:val="1"/>
          <w:iCs w:val="1"/>
        </w:rPr>
        <w:fldChar w:fldCharType="begin" w:fldLock="0"/>
      </w:r>
      <w:r>
        <w:rPr>
          <w:rStyle w:val="Hyperlink.1"/>
          <w:rFonts w:ascii="Times Roman" w:cs="Times Roman" w:hAnsi="Times Roman" w:eastAsia="Times Roman"/>
          <w:i w:val="1"/>
          <w:iCs w:val="1"/>
        </w:rPr>
        <w:instrText xml:space="preserve"> HYPERLINK "https://files.eric.ed.gov/fulltext/ED619542.pdf"</w:instrText>
      </w:r>
      <w:r>
        <w:rPr>
          <w:rStyle w:val="Hyperlink.1"/>
          <w:rFonts w:ascii="Times Roman" w:cs="Times Roman" w:hAnsi="Times Roman" w:eastAsia="Times Roman"/>
          <w:i w:val="1"/>
          <w:iCs w:val="1"/>
        </w:rPr>
        <w:fldChar w:fldCharType="separate" w:fldLock="0"/>
      </w:r>
      <w:r>
        <w:rPr>
          <w:rStyle w:val="Hyperlink.1"/>
          <w:rFonts w:ascii="Times Roman" w:hAnsi="Times Roman"/>
          <w:i w:val="1"/>
          <w:iCs w:val="1"/>
          <w:rtl w:val="0"/>
          <w:lang w:val="en-US"/>
        </w:rPr>
        <w:t>https://files.eric.ed.gov/fulltext/ED619542.pdf</w:t>
      </w:r>
      <w:r>
        <w:rPr>
          <w:rFonts w:ascii="Times Roman" w:cs="Times Roman" w:hAnsi="Times Roman" w:eastAsia="Times Roman"/>
          <w:i w:val="1"/>
          <w:iCs w:val="1"/>
        </w:rPr>
        <w:fldChar w:fldCharType="end" w:fldLock="0"/>
      </w:r>
    </w:p>
    <w:p>
      <w:pPr>
        <w:pStyle w:val="Default"/>
        <w:suppressAutoHyphens w:val="1"/>
        <w:spacing w:before="0" w:after="240" w:line="240" w:lineRule="auto"/>
        <w:jc w:val="left"/>
        <w:rPr>
          <w:rFonts w:ascii="Times Roman" w:cs="Times Roman" w:hAnsi="Times Roman" w:eastAsia="Times Roman"/>
        </w:rPr>
      </w:pPr>
      <w:r>
        <w:rPr>
          <w:rStyle w:val="None"/>
          <w:rFonts w:ascii="Times Roman" w:hAnsi="Times Roman"/>
          <w:b w:val="1"/>
          <w:bCs w:val="1"/>
          <w:rtl w:val="0"/>
          <w:lang w:val="en-US"/>
        </w:rPr>
        <w:t>Description:</w:t>
      </w:r>
      <w:r>
        <w:rPr>
          <w:rFonts w:ascii="Times Roman" w:hAnsi="Times Roman"/>
          <w:rtl w:val="0"/>
          <w:lang w:val="en-US"/>
        </w:rPr>
        <w:t xml:space="preserve"> The policy brief, "Financial Aid Communication: A Guide for Institutions," provides strong policy-level justification for the cost calculator's design and functionality. The research identifies that widespread communication failures in higher education, often characterized by complex and non-personalized information, directly contribute to student confusion and financial illiteracy. By emphasizing the need for clarity, simplicity, and personalization in cost estimates, the brief validates the project's strategy to build a dedicated, high-fidelity calculator that pulls real-time data. This positions the Arborwood project as a best-practice policy solution designed to overcome systemic communication hurdles and, by extension, reduce the risk of misleading disclosures that draw regulatory scrutiny.</w:t>
      </w:r>
    </w:p>
    <w:p>
      <w:pPr>
        <w:pStyle w:val="Default"/>
        <w:suppressAutoHyphens w:val="1"/>
        <w:spacing w:before="0" w:after="240" w:line="240" w:lineRule="auto"/>
        <w:jc w:val="left"/>
        <w:rPr>
          <w:rStyle w:val="None"/>
          <w:rFonts w:ascii="Times Roman" w:cs="Times Roman" w:hAnsi="Times Roman" w:eastAsia="Times Roman"/>
          <w:b w:val="0"/>
          <w:bCs w:val="0"/>
        </w:rPr>
      </w:pPr>
      <w:r>
        <w:rPr>
          <w:rFonts w:ascii="Times Roman" w:hAnsi="Times Roman"/>
          <w:b w:val="1"/>
          <w:bCs w:val="1"/>
          <w:rtl w:val="0"/>
          <w:lang w:val="en-US"/>
        </w:rPr>
        <w:t>10. Example Resource: Financial Transparency and Equity for Minority Student</w:t>
      </w:r>
      <w:r>
        <w:rPr>
          <w:rFonts w:ascii="Times Roman" w:hAnsi="Times Roman"/>
          <w:b w:val="1"/>
          <w:bCs w:val="1"/>
          <w:rtl w:val="0"/>
          <w:lang w:val="en-US"/>
        </w:rPr>
        <w:t>s</w:t>
      </w:r>
    </w:p>
    <w:p>
      <w:pPr>
        <w:pStyle w:val="Default"/>
        <w:suppressAutoHyphens w:val="1"/>
        <w:spacing w:before="0" w:after="240" w:line="240" w:lineRule="auto"/>
        <w:jc w:val="left"/>
        <w:rPr>
          <w:rStyle w:val="None"/>
          <w:rFonts w:ascii="Times Roman" w:cs="Times Roman" w:hAnsi="Times Roman" w:eastAsia="Times Roman"/>
          <w:i w:val="0"/>
          <w:iCs w:val="0"/>
        </w:rPr>
      </w:pPr>
      <w:r>
        <w:rPr>
          <w:rStyle w:val="None"/>
          <w:rFonts w:ascii="Times Roman" w:hAnsi="Times Roman"/>
          <w:b w:val="1"/>
          <w:bCs w:val="1"/>
          <w:i w:val="0"/>
          <w:iCs w:val="0"/>
          <w:rtl w:val="0"/>
          <w:lang w:val="en-US"/>
        </w:rPr>
        <w:t>Citation:</w:t>
      </w:r>
      <w:r>
        <w:rPr>
          <w:rStyle w:val="None"/>
          <w:rFonts w:ascii="Times Roman" w:hAnsi="Times Roman"/>
          <w:i w:val="0"/>
          <w:iCs w:val="0"/>
          <w:rtl w:val="0"/>
          <w:lang w:val="en-US"/>
        </w:rPr>
        <w:t xml:space="preserve"> White, J. M. (2020). </w:t>
      </w:r>
      <w:r>
        <w:rPr>
          <w:rFonts w:ascii="Times Roman" w:hAnsi="Times Roman"/>
          <w:i w:val="1"/>
          <w:iCs w:val="1"/>
          <w:rtl w:val="0"/>
          <w:lang w:val="en-US"/>
        </w:rPr>
        <w:t>The effects of financial transparency on college-going behaviors of first-generation, low-income and/or racial-minority students in the State of California</w:t>
      </w:r>
      <w:r>
        <w:rPr>
          <w:rStyle w:val="None"/>
          <w:rFonts w:ascii="Times Roman" w:hAnsi="Times Roman"/>
          <w:i w:val="0"/>
          <w:iCs w:val="0"/>
          <w:rtl w:val="0"/>
          <w:lang w:val="en-US"/>
        </w:rPr>
        <w:t xml:space="preserve"> [Doctoral dissertation, University of Southern California]. ProQuest Dissertations Publishing. (Accessed via ProQuest OpenView).</w:t>
      </w:r>
    </w:p>
    <w:p>
      <w:pPr>
        <w:pStyle w:val="Default"/>
        <w:suppressAutoHyphens w:val="1"/>
        <w:spacing w:before="0" w:after="240" w:line="240" w:lineRule="auto"/>
        <w:jc w:val="left"/>
        <w:rPr>
          <w:rFonts w:ascii="Times Roman" w:cs="Times Roman" w:hAnsi="Times Roman" w:eastAsia="Times Roman"/>
        </w:rPr>
      </w:pPr>
      <w:r>
        <w:rPr>
          <w:rStyle w:val="None"/>
          <w:rFonts w:ascii="Times Roman" w:hAnsi="Times Roman"/>
          <w:b w:val="1"/>
          <w:bCs w:val="1"/>
          <w:rtl w:val="0"/>
          <w:lang w:val="en-US"/>
        </w:rPr>
        <w:t>Description:</w:t>
      </w:r>
      <w:r>
        <w:rPr>
          <w:rFonts w:ascii="Times Roman" w:hAnsi="Times Roman"/>
          <w:rtl w:val="0"/>
          <w:lang w:val="en-US"/>
        </w:rPr>
        <w:t xml:space="preserve"> This doctoral dissertation provides the strategic equity justification for the project. It empirically demonstrates that the lack of clear, personalized financial information disproportionately hinders the enrollment and persistence of first-generation and racial-minority students. This research frames the cost calculator as a necessary tool for systemic change that removes barriers to access, making it a powerful strategic priority for a progressive institution.</w:t>
      </w:r>
    </w:p>
    <w:p>
      <w:pPr>
        <w:pStyle w:val="Default"/>
        <w:suppressAutoHyphens w:val="1"/>
        <w:spacing w:before="0" w:after="240" w:line="240" w:lineRule="auto"/>
        <w:jc w:val="left"/>
      </w:pPr>
      <w:r>
        <w:rPr>
          <w:rFonts w:ascii="Times Roman" w:cs="Times Roman" w:hAnsi="Times Roman" w:eastAsia="Times Roman"/>
        </w:rPr>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Times Roman">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character" w:styleId="None">
    <w:name w:val="None"/>
  </w:style>
  <w:style w:type="character" w:styleId="Hyperlink.0">
    <w:name w:val="Hyperlink.0"/>
    <w:basedOn w:val="None"/>
    <w:next w:val="Hyperlink.0"/>
    <w:rPr>
      <w:i w:val="0"/>
      <w:iCs w:val="0"/>
      <w:outline w:val="0"/>
      <w:color w:val="0000ee"/>
      <w:u w:val="single"/>
      <w14:textFill>
        <w14:solidFill>
          <w14:srgbClr w14:val="0000EE"/>
        </w14:solidFill>
      </w14:textFill>
    </w:rPr>
  </w:style>
  <w:style w:type="character" w:styleId="Hyperlink.1">
    <w:name w:val="Hyperlink.1"/>
    <w:basedOn w:val="None"/>
    <w:next w:val="Hyperlink.1"/>
    <w:rPr>
      <w:outline w:val="0"/>
      <w:color w:val="0000ee"/>
      <w:u w:val="single"/>
      <w14:textFill>
        <w14:solidFill>
          <w14:srgbClr w14:val="0000EE"/>
        </w14:solidFill>
      </w14:textFill>
    </w:rPr>
  </w:style>
  <w:style w:type="character" w:styleId="Hyperlink.2">
    <w:name w:val="Hyperlink.2"/>
    <w:basedOn w:val="Hyperlink"/>
    <w:next w:val="Hyperlink.2"/>
    <w:rPr>
      <w:outline w:val="0"/>
      <w:color w:val="0000ff"/>
      <w:u w:val="single" w:color="0000ff"/>
      <w14:textFill>
        <w14:solidFill>
          <w14:srgbClr w14:val="0000FF"/>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50800" tIns="50800" rIns="50800" bIns="508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