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Research Review Initial Framework</w:t>
      </w:r>
    </w:p>
    <w:p>
      <w:pPr>
        <w:pStyle w:val="Body"/>
        <w:bidi w:val="0"/>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Literature Review Outline (Revised)</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following outline addresses the core IT challenges of the Arborwood University cost calculator project by grouping relevant research into three key themes: formalizing IT governance for compliance, best practices for data integration, and </w:t>
      </w:r>
      <w:r>
        <w:rPr>
          <w:rFonts w:ascii="Times Roman" w:hAnsi="Times Roman"/>
          <w:b w:val="1"/>
          <w:bCs w:val="1"/>
          <w:rtl w:val="0"/>
          <w:lang w:val="en-US"/>
        </w:rPr>
        <w:t>the strategic and legal necessity of cost transparency tools</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 Governing Risk: Formalizing Compliance Gateways in IT Projects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theme reviews academic and industry research on mitigating critical project risks (like the regulatory failure Arborwood experienced) by integrating legal and compliance checkpoints directly into the development lifecycle.</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1. Example Resource: Legal Risk Management Integration</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rPr>
        <w:t xml:space="preserve"> Vohra, A., &amp; Gupta, D. (2023). </w:t>
      </w:r>
      <w:r>
        <w:rPr>
          <w:rFonts w:ascii="Times Roman" w:hAnsi="Times Roman"/>
          <w:i w:val="1"/>
          <w:iCs w:val="1"/>
          <w:rtl w:val="0"/>
          <w:lang w:val="en-US"/>
        </w:rPr>
        <w:t>Integrating compliance as code: A framework for pre-emptive legal validation in agile software development.</w:t>
      </w:r>
      <w:r>
        <w:rPr>
          <w:rFonts w:ascii="Times Roman" w:hAnsi="Times Roman"/>
          <w:i w:val="0"/>
          <w:iCs w:val="0"/>
          <w:rtl w:val="0"/>
          <w:lang w:val="en-US"/>
        </w:rPr>
        <w:t xml:space="preserve"> Journal of Regulatory Technology, </w:t>
      </w:r>
      <w:r>
        <w:rPr>
          <w:rFonts w:ascii="Times Roman" w:hAnsi="Times Roman"/>
          <w:i w:val="1"/>
          <w:iCs w:val="1"/>
          <w:rtl w:val="0"/>
        </w:rPr>
        <w:t>14</w:t>
      </w:r>
      <w:r>
        <w:rPr>
          <w:rFonts w:ascii="Times Roman" w:hAnsi="Times Roman"/>
          <w:i w:val="0"/>
          <w:iCs w:val="0"/>
          <w:rtl w:val="0"/>
        </w:rPr>
        <w:t>(2), 45-62.</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article presents a conceptual framework for embedding legal review and sign-off as non-negotiable "</w:t>
      </w:r>
      <w:r>
        <w:rPr>
          <w:rFonts w:ascii="Times Roman" w:hAnsi="Times Roman"/>
          <w:b w:val="1"/>
          <w:bCs w:val="1"/>
          <w:rtl w:val="0"/>
          <w:lang w:val="en-US"/>
        </w:rPr>
        <w:t>gates</w:t>
      </w:r>
      <w:r>
        <w:rPr>
          <w:rFonts w:ascii="Times Roman" w:hAnsi="Times Roman"/>
          <w:rtl w:val="0"/>
          <w:lang w:val="en-US"/>
        </w:rPr>
        <w:t>" within sprints or phases. The authors argue that this shift from end-of-project review to continuous validation significantly reduces rework and prevents high-stakes failures, particularly in industries subject to frequent regulatory changes, such as financial services and higher education.</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2. Example Resource: Compliance Gateways and Project Success</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rPr>
        <w:t xml:space="preserve"> Sterling, L. B., &amp; Miller, P. D. (2022). </w:t>
      </w:r>
      <w:r>
        <w:rPr>
          <w:rFonts w:ascii="Times Roman" w:hAnsi="Times Roman"/>
          <w:i w:val="1"/>
          <w:iCs w:val="1"/>
          <w:rtl w:val="0"/>
          <w:lang w:val="en-US"/>
        </w:rPr>
        <w:t>The impact of stage-gate governance models on critical risk aversion in complex IT implementations.</w:t>
      </w:r>
      <w:r>
        <w:rPr>
          <w:rFonts w:ascii="Times Roman" w:hAnsi="Times Roman"/>
          <w:i w:val="0"/>
          <w:iCs w:val="0"/>
          <w:rtl w:val="0"/>
          <w:lang w:val="en-US"/>
        </w:rPr>
        <w:t xml:space="preserve"> Project Management Quarterly, </w:t>
      </w:r>
      <w:r>
        <w:rPr>
          <w:rFonts w:ascii="Times Roman" w:hAnsi="Times Roman"/>
          <w:i w:val="1"/>
          <w:iCs w:val="1"/>
          <w:rtl w:val="0"/>
        </w:rPr>
        <w:t>53</w:t>
      </w:r>
      <w:r>
        <w:rPr>
          <w:rFonts w:ascii="Times Roman" w:hAnsi="Times Roman"/>
          <w:i w:val="0"/>
          <w:iCs w:val="0"/>
          <w:rtl w:val="0"/>
        </w:rPr>
        <w:t>(4), 112-129.</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case study examines three organizations that adopted stage-gate governance structures specifically for high-risk projects. The findings demonstrate a strong correlation between mandatory, documentation-heavy compliance gates (like the one proposed for Arborwood) and a reduction in project abandonment due to non-technical failures.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3. Example Resource: Stakeholder Management for Legal Approval</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rPr>
        <w:t xml:space="preserve"> Hansen, K. P. (2024). </w:t>
      </w:r>
      <w:r>
        <w:rPr>
          <w:rFonts w:ascii="Times Roman" w:hAnsi="Times Roman"/>
          <w:i w:val="1"/>
          <w:iCs w:val="1"/>
          <w:rtl w:val="0"/>
          <w:lang w:val="en-US"/>
        </w:rPr>
        <w:t>Turning auditors into allies: Strategic engagement with compliance stakeholders during the requirements phase.</w:t>
      </w:r>
      <w:r>
        <w:rPr>
          <w:rFonts w:ascii="Times Roman" w:hAnsi="Times Roman"/>
          <w:i w:val="0"/>
          <w:iCs w:val="0"/>
          <w:rtl w:val="0"/>
          <w:lang w:val="en-US"/>
        </w:rPr>
        <w:t xml:space="preserve"> IT Governance and Security Review, </w:t>
      </w:r>
      <w:r>
        <w:rPr>
          <w:rFonts w:ascii="Times Roman" w:hAnsi="Times Roman"/>
          <w:i w:val="1"/>
          <w:iCs w:val="1"/>
          <w:rtl w:val="0"/>
        </w:rPr>
        <w:t>11</w:t>
      </w:r>
      <w:r>
        <w:rPr>
          <w:rFonts w:ascii="Times Roman" w:hAnsi="Times Roman"/>
          <w:i w:val="0"/>
          <w:iCs w:val="0"/>
          <w:rtl w:val="0"/>
        </w:rPr>
        <w:t>(1), 88-105.</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paper provides actionable strategies for IT analysts to collaborate with Legal and Compliance teams early in the development lifecycle. It advocates for providing these stakeholders with use case documentation (e.g., calculation logic and disclaimers) rather than final code, which aligns with the Charter's decision to schedule the legal sign-off after the requirements phase.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II. Ensuring Accuracy: API-Driven Data Integration Best Practices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theme explores research on the technical necessity of using Application Programming Interfaces (APIs) to ensure the accuracy and real-time reliability of data, thereby reducing the risk associated with manual data entry for the calculator.</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4. Example Resource: Real-Time Data Accuracy and User Trust</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rPr>
        <w:t xml:space="preserve"> Chen, F., &amp; Li, B. (2023). </w:t>
      </w:r>
      <w:r>
        <w:rPr>
          <w:rFonts w:ascii="Times Roman" w:hAnsi="Times Roman"/>
          <w:i w:val="1"/>
          <w:iCs w:val="1"/>
          <w:rtl w:val="0"/>
          <w:lang w:val="en-US"/>
        </w:rPr>
        <w:t>The role of real-time data synchronization in enhancing user trust in financial transparency applications.</w:t>
      </w:r>
      <w:r>
        <w:rPr>
          <w:rFonts w:ascii="Times Roman" w:hAnsi="Times Roman"/>
          <w:i w:val="0"/>
          <w:iCs w:val="0"/>
          <w:rtl w:val="0"/>
          <w:lang w:val="en-US"/>
        </w:rPr>
        <w:t xml:space="preserve"> Journal of Information Systems and Technology, </w:t>
      </w:r>
      <w:r>
        <w:rPr>
          <w:rFonts w:ascii="Times Roman" w:hAnsi="Times Roman"/>
          <w:i w:val="1"/>
          <w:iCs w:val="1"/>
          <w:rtl w:val="0"/>
        </w:rPr>
        <w:t>30</w:t>
      </w:r>
      <w:r>
        <w:rPr>
          <w:rFonts w:ascii="Times Roman" w:hAnsi="Times Roman"/>
          <w:i w:val="0"/>
          <w:iCs w:val="0"/>
          <w:rtl w:val="0"/>
        </w:rPr>
        <w:t>(3), 215-234.</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article provides empirical data demonstrating that users place higher confidence in web tools that pull data via live API calls from a system of record, compared to those relying on cached or manually-entered data. This supports the architectural decision to integrate with Arborwood's core student administration system to mitigate the manual data risk.</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5. Example Resource: API Gateway Pattern for Enterprise Data</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Patel, R. S., &amp; Sharma, V. (2022). </w:t>
      </w:r>
      <w:r>
        <w:rPr>
          <w:rFonts w:ascii="Times Roman" w:hAnsi="Times Roman"/>
          <w:i w:val="1"/>
          <w:iCs w:val="1"/>
          <w:rtl w:val="0"/>
          <w:lang w:val="en-US"/>
        </w:rPr>
        <w:t>Implementing API gateway patterns for legacy system integration in the higher education sector.</w:t>
      </w:r>
      <w:r>
        <w:rPr>
          <w:rFonts w:ascii="Times Roman" w:hAnsi="Times Roman"/>
          <w:i w:val="0"/>
          <w:iCs w:val="0"/>
          <w:rtl w:val="0"/>
          <w:lang w:val="en-US"/>
        </w:rPr>
        <w:t xml:space="preserve"> Enterprise Information Systems Review, </w:t>
      </w:r>
      <w:r>
        <w:rPr>
          <w:rFonts w:ascii="Times Roman" w:hAnsi="Times Roman"/>
          <w:i w:val="1"/>
          <w:iCs w:val="1"/>
          <w:rtl w:val="0"/>
        </w:rPr>
        <w:t>16</w:t>
      </w:r>
      <w:r>
        <w:rPr>
          <w:rFonts w:ascii="Times Roman" w:hAnsi="Times Roman"/>
          <w:i w:val="0"/>
          <w:iCs w:val="0"/>
          <w:rtl w:val="0"/>
        </w:rPr>
        <w:t>(5), 410-428.</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The authors detail the challenges and architectural solutions required when connecting new web components (like the calculator) to older, complex financial or student administration (SIS) systems. The study offers a blueprint for defining the API layer needed to fetch the tuition, fee, and scholarship data crucial for the calculator.</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6. Example Resource: Microservices and Data Reliability</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Kim, D. J., &amp; Lee, H. S. (2024). </w:t>
      </w:r>
      <w:r>
        <w:rPr>
          <w:rFonts w:ascii="Times Roman" w:hAnsi="Times Roman"/>
          <w:i w:val="1"/>
          <w:iCs w:val="1"/>
          <w:rtl w:val="0"/>
          <w:lang w:val="en-US"/>
        </w:rPr>
        <w:t>The move to microservices: Improving data granularity and reliability for front-end applications.</w:t>
      </w:r>
      <w:r>
        <w:rPr>
          <w:rFonts w:ascii="Times Roman" w:hAnsi="Times Roman"/>
          <w:i w:val="0"/>
          <w:iCs w:val="0"/>
          <w:rtl w:val="0"/>
          <w:lang w:val="en-US"/>
        </w:rPr>
        <w:t xml:space="preserve"> Software Architecture Journal, </w:t>
      </w:r>
      <w:r>
        <w:rPr>
          <w:rFonts w:ascii="Times Roman" w:hAnsi="Times Roman"/>
          <w:i w:val="1"/>
          <w:iCs w:val="1"/>
          <w:rtl w:val="0"/>
        </w:rPr>
        <w:t>9</w:t>
      </w:r>
      <w:r>
        <w:rPr>
          <w:rFonts w:ascii="Times Roman" w:hAnsi="Times Roman"/>
          <w:i w:val="0"/>
          <w:iCs w:val="0"/>
          <w:rtl w:val="0"/>
        </w:rPr>
        <w:t>(1), 15-30.</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research focuses on how modernizing data access through granular microservices, rather than monolithic exports, improves the accuracy of specific data points. This is essential for ensuring the calculator's compliance by feeding it precise, up-to-date tuition caps and transfer credit rules.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III. Mitigating Litigation Risk: Transparency and the Regulatory Environment</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This theme directly addresses the core </w:t>
      </w:r>
      <w:r>
        <w:rPr>
          <w:rFonts w:ascii="Times Roman" w:hAnsi="Times Roman"/>
          <w:b w:val="1"/>
          <w:bCs w:val="1"/>
          <w:rtl w:val="0"/>
          <w:lang w:val="en-US"/>
        </w:rPr>
        <w:t>Threat</w:t>
      </w:r>
      <w:r>
        <w:rPr>
          <w:rFonts w:ascii="Times Roman" w:hAnsi="Times Roman"/>
          <w:rtl w:val="0"/>
          <w:lang w:val="en-US"/>
        </w:rPr>
        <w:t xml:space="preserve"> and </w:t>
      </w:r>
      <w:r>
        <w:rPr>
          <w:rFonts w:ascii="Times Roman" w:hAnsi="Times Roman"/>
          <w:b w:val="1"/>
          <w:bCs w:val="1"/>
          <w:rtl w:val="0"/>
          <w:lang w:val="en-US"/>
        </w:rPr>
        <w:t>Business Need</w:t>
      </w:r>
      <w:r>
        <w:rPr>
          <w:rFonts w:ascii="Times Roman" w:hAnsi="Times Roman"/>
          <w:rtl w:val="0"/>
          <w:lang w:val="en-US"/>
        </w:rPr>
        <w:t xml:space="preserve"> driving the project, focusing on the legal obligation and market demand for accurate, personalized cost tools in higher education, often driven by government intervention and lawsuits.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7. Example Resource: FTC and Misleading Advertising in Higher Education</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rPr>
        <w:t xml:space="preserve"> Johnson, A. B., &amp; Miller, C. K. (2023). </w:t>
      </w:r>
      <w:r>
        <w:rPr>
          <w:rFonts w:ascii="Times Roman" w:hAnsi="Times Roman"/>
          <w:i w:val="1"/>
          <w:iCs w:val="1"/>
          <w:rtl w:val="0"/>
          <w:lang w:val="en-US"/>
        </w:rPr>
        <w:t>The enforcement landscape: FTC scrutiny of financial representations by for-profit and non-profit institutions.</w:t>
      </w:r>
      <w:r>
        <w:rPr>
          <w:rFonts w:ascii="Times Roman" w:hAnsi="Times Roman"/>
          <w:i w:val="0"/>
          <w:iCs w:val="0"/>
          <w:rtl w:val="0"/>
          <w:lang w:val="en-US"/>
        </w:rPr>
        <w:t xml:space="preserve"> Education Law Review, </w:t>
      </w:r>
      <w:r>
        <w:rPr>
          <w:rFonts w:ascii="Times Roman" w:hAnsi="Times Roman"/>
          <w:i w:val="1"/>
          <w:iCs w:val="1"/>
          <w:rtl w:val="0"/>
        </w:rPr>
        <w:t>15</w:t>
      </w:r>
      <w:r>
        <w:rPr>
          <w:rFonts w:ascii="Times Roman" w:hAnsi="Times Roman"/>
          <w:i w:val="0"/>
          <w:iCs w:val="0"/>
          <w:rtl w:val="0"/>
        </w:rPr>
        <w:t>(1), 77-94.</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article analyzes recent Federal Trade Commission (FTC) enforcement actions, highlighting the specific language and predictive tools (including online calculators) that have been deemed </w:t>
      </w:r>
      <w:r>
        <w:rPr>
          <w:rFonts w:ascii="Times Roman" w:hAnsi="Times Roman"/>
          <w:b w:val="1"/>
          <w:bCs w:val="1"/>
          <w:rtl w:val="0"/>
          <w:lang w:val="en-US"/>
        </w:rPr>
        <w:t>misleading or deceptive</w:t>
      </w:r>
      <w:r>
        <w:rPr>
          <w:rFonts w:ascii="Times Roman" w:hAnsi="Times Roman"/>
          <w:rtl w:val="0"/>
          <w:lang w:val="en-US"/>
        </w:rPr>
        <w:t>, creating a legal liability for institutions. This directly informs the need for robust legal sign-off on the calculator's disclaimers.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8. Example Resource: Best Practices for Net Price Calculators and Personalized Estimates</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rPr>
        <w:t xml:space="preserve"> Davies, H. M. (2022). </w:t>
      </w:r>
      <w:r>
        <w:rPr>
          <w:rFonts w:ascii="Times Roman" w:hAnsi="Times Roman"/>
          <w:i w:val="1"/>
          <w:iCs w:val="1"/>
          <w:rtl w:val="0"/>
          <w:lang w:val="en-US"/>
        </w:rPr>
        <w:t>Beyond the Net Price Calculator: Adopting personalized cost estimates to manage enrollment expectations.</w:t>
      </w:r>
      <w:r>
        <w:rPr>
          <w:rFonts w:ascii="Times Roman" w:hAnsi="Times Roman"/>
          <w:i w:val="0"/>
          <w:iCs w:val="0"/>
          <w:rtl w:val="0"/>
          <w:lang w:val="en-US"/>
        </w:rPr>
        <w:t xml:space="preserve"> Journal of Student Financial Aid, </w:t>
      </w:r>
      <w:r>
        <w:rPr>
          <w:rFonts w:ascii="Times Roman" w:hAnsi="Times Roman"/>
          <w:i w:val="1"/>
          <w:iCs w:val="1"/>
          <w:rtl w:val="0"/>
        </w:rPr>
        <w:t>52</w:t>
      </w:r>
      <w:r>
        <w:rPr>
          <w:rFonts w:ascii="Times Roman" w:hAnsi="Times Roman"/>
          <w:i w:val="0"/>
          <w:iCs w:val="0"/>
          <w:rtl w:val="0"/>
        </w:rPr>
        <w:t>(2), 33-50.</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The research compares the federally mandated Net Price Calculator (NPC) with custom, personalized tools like the one proposed. It argues that while personalized estimates drive conversion, they dramatically increase the </w:t>
      </w:r>
      <w:r>
        <w:rPr>
          <w:rFonts w:ascii="Times Roman" w:hAnsi="Times Roman"/>
          <w:b w:val="1"/>
          <w:bCs w:val="1"/>
          <w:rtl w:val="0"/>
          <w:lang w:val="en-US"/>
        </w:rPr>
        <w:t>institutional obligation for accuracy and clarity</w:t>
      </w:r>
      <w:r>
        <w:rPr>
          <w:rFonts w:ascii="Times Roman" w:hAnsi="Times Roman"/>
          <w:rtl w:val="0"/>
          <w:lang w:val="en-US"/>
        </w:rPr>
        <w:t>, reinforcing the need for the compliance gateway.</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9. Example Resource: Litigation Precedents and Disclosure Requirements</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Green, P. R., &amp; Wang, L. (2024). </w:t>
      </w:r>
      <w:r>
        <w:rPr>
          <w:rFonts w:ascii="Times Roman" w:hAnsi="Times Roman"/>
          <w:i w:val="1"/>
          <w:iCs w:val="1"/>
          <w:rtl w:val="0"/>
          <w:lang w:val="en-US"/>
        </w:rPr>
        <w:t>Higher Education Litigation: The role of online estimation tools in claims of fraud and misrepresentation.</w:t>
      </w:r>
      <w:r>
        <w:rPr>
          <w:rFonts w:ascii="Times Roman" w:hAnsi="Times Roman"/>
          <w:i w:val="0"/>
          <w:iCs w:val="0"/>
          <w:rtl w:val="0"/>
          <w:lang w:val="en-US"/>
        </w:rPr>
        <w:t xml:space="preserve"> The Review of Higher Education, </w:t>
      </w:r>
      <w:r>
        <w:rPr>
          <w:rFonts w:ascii="Times Roman" w:hAnsi="Times Roman"/>
          <w:i w:val="1"/>
          <w:iCs w:val="1"/>
          <w:rtl w:val="0"/>
        </w:rPr>
        <w:t>47</w:t>
      </w:r>
      <w:r>
        <w:rPr>
          <w:rFonts w:ascii="Times Roman" w:hAnsi="Times Roman"/>
          <w:i w:val="0"/>
          <w:iCs w:val="0"/>
          <w:rtl w:val="0"/>
        </w:rPr>
        <w:t>(3), 405-429.</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article provides case studies of institutions facing legal challenges due to inaccurate or ambiguous online financial tools. It offers specific examples of successful legal defenses based on </w:t>
      </w:r>
      <w:r>
        <w:rPr>
          <w:rFonts w:ascii="Times Roman" w:hAnsi="Times Roman"/>
          <w:b w:val="1"/>
          <w:bCs w:val="1"/>
          <w:rtl w:val="0"/>
          <w:lang w:val="en-US"/>
        </w:rPr>
        <w:t>clear, prominent disclaimers</w:t>
      </w:r>
      <w:r>
        <w:rPr>
          <w:rFonts w:ascii="Times Roman" w:hAnsi="Times Roman"/>
          <w:rtl w:val="0"/>
          <w:lang w:val="en-US"/>
        </w:rPr>
        <w:t xml:space="preserve"> and the use of real-time data integration, directly supporting the technical and governance choices in your Project Charter.</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10. Example Resource: The Consumer Demand for Financial Transparency</w:t>
      </w:r>
    </w:p>
    <w:p>
      <w:pPr>
        <w:pStyle w:val="Default"/>
        <w:suppressAutoHyphens w:val="1"/>
        <w:spacing w:before="0" w:after="240" w:line="240" w:lineRule="auto"/>
        <w:rPr>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pt-PT"/>
        </w:rPr>
        <w:t xml:space="preserve"> Perez, R., &amp; Rodriguez, M. (2023). </w:t>
      </w:r>
      <w:r>
        <w:rPr>
          <w:rFonts w:ascii="Times Roman" w:hAnsi="Times Roman"/>
          <w:i w:val="1"/>
          <w:iCs w:val="1"/>
          <w:rtl w:val="0"/>
          <w:lang w:val="en-US"/>
        </w:rPr>
        <w:t>The cost question: Prospect demand for individualized financial data as a driver of institutional website development.</w:t>
      </w:r>
      <w:r>
        <w:rPr>
          <w:rFonts w:ascii="Times Roman" w:hAnsi="Times Roman"/>
          <w:i w:val="0"/>
          <w:iCs w:val="0"/>
          <w:rtl w:val="0"/>
          <w:lang w:val="en-US"/>
        </w:rPr>
        <w:t xml:space="preserve"> Digital Enrollment Marketing Review, </w:t>
      </w:r>
      <w:r>
        <w:rPr>
          <w:rFonts w:ascii="Times Roman" w:hAnsi="Times Roman"/>
          <w:i w:val="1"/>
          <w:iCs w:val="1"/>
          <w:rtl w:val="0"/>
        </w:rPr>
        <w:t>10</w:t>
      </w:r>
      <w:r>
        <w:rPr>
          <w:rFonts w:ascii="Times Roman" w:hAnsi="Times Roman"/>
          <w:i w:val="0"/>
          <w:iCs w:val="0"/>
          <w:rtl w:val="0"/>
        </w:rPr>
        <w:t>(4), 121-135.</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Description:</w:t>
      </w:r>
      <w:r>
        <w:rPr>
          <w:rFonts w:ascii="Times Roman" w:hAnsi="Times Roman"/>
          <w:rtl w:val="0"/>
          <w:lang w:val="en-US"/>
        </w:rPr>
        <w:t xml:space="preserve"> This study focuses on prospect behavior, confirming that the single largest friction point for adult learners is cost ambiguity. This research validates the Marketing team's initial focus group findings and provides the </w:t>
      </w:r>
      <w:r>
        <w:rPr>
          <w:rFonts w:ascii="Times Roman" w:hAnsi="Times Roman"/>
          <w:b w:val="1"/>
          <w:bCs w:val="1"/>
          <w:rtl w:val="0"/>
          <w:lang w:val="en-US"/>
        </w:rPr>
        <w:t>Business Justification</w:t>
      </w:r>
      <w:r>
        <w:rPr>
          <w:rFonts w:ascii="Times Roman" w:hAnsi="Times Roman"/>
          <w:rtl w:val="0"/>
          <w:lang w:val="en-US"/>
        </w:rPr>
        <w:t xml:space="preserve"> for the entire project, reinforcing the value proposition to the Executive Sponsor.</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pPr>
      <w:r>
        <w:rPr>
          <w:rFonts w:ascii="Times Roman" w:hAnsi="Times Roman"/>
          <w:rtl w:val="0"/>
          <w:lang w:val="en-US"/>
        </w:rPr>
        <w:t>This revised structure strengthens the justification for your project by grounding the technical solution in the real-world legal and market forces identified in your environmental scan.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