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Solutions Analysis (Narrative Format)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analysis formally proposes the integrated solution for the Arborwood Cost Calculator project ("The Gateway" initiative), connecting organizational needs to technical architecture and addressing critical risks, legal mandates, and ethical responsibilities.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 Proposed Solutions and Architecture (Competencies 1, 2)</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solution to Arborwood</w:t>
      </w:r>
      <w:r>
        <w:rPr>
          <w:rFonts w:ascii="Arial Unicode MS" w:hAnsi="Arial Unicode MS" w:hint="default"/>
          <w:rtl w:val="0"/>
          <w:lang w:val="en-US"/>
        </w:rPr>
        <w:t>’</w:t>
      </w:r>
      <w:r>
        <w:rPr>
          <w:rFonts w:ascii="Times Roman" w:hAnsi="Times Roman"/>
          <w:rtl w:val="0"/>
          <w:lang w:val="en-US"/>
        </w:rPr>
        <w:t xml:space="preserve">s problem is two-fold, recognizing that the challenge is equally one of </w:t>
      </w:r>
      <w:r>
        <w:rPr>
          <w:rFonts w:ascii="Times Roman" w:hAnsi="Times Roman"/>
          <w:b w:val="1"/>
          <w:bCs w:val="1"/>
          <w:rtl w:val="0"/>
          <w:lang w:val="en-US"/>
        </w:rPr>
        <w:t>technical execution</w:t>
      </w:r>
      <w:r>
        <w:rPr>
          <w:rFonts w:ascii="Times Roman" w:hAnsi="Times Roman"/>
          <w:rtl w:val="0"/>
          <w:lang w:val="en-US"/>
        </w:rPr>
        <w:t xml:space="preserve">and </w:t>
      </w:r>
      <w:r>
        <w:rPr>
          <w:rFonts w:ascii="Times Roman" w:hAnsi="Times Roman"/>
          <w:b w:val="1"/>
          <w:bCs w:val="1"/>
          <w:rtl w:val="0"/>
          <w:lang w:val="en-US"/>
        </w:rPr>
        <w:t>governance risk</w:t>
      </w:r>
      <w:r>
        <w:rPr>
          <w:rFonts w:ascii="Times Roman" w:hAnsi="Times Roman"/>
          <w:rtl w:val="0"/>
          <w:lang w:val="en-US"/>
        </w:rPr>
        <w:t xml:space="preserve">. The first component is the </w:t>
      </w:r>
      <w:r>
        <w:rPr>
          <w:rFonts w:ascii="Times Roman" w:hAnsi="Times Roman"/>
          <w:b w:val="1"/>
          <w:bCs w:val="1"/>
          <w:rtl w:val="0"/>
          <w:lang w:val="en-US"/>
        </w:rPr>
        <w:t>Compliance Gateway</w:t>
      </w:r>
      <w:r>
        <w:rPr>
          <w:rFonts w:ascii="Times Roman" w:hAnsi="Times Roman"/>
          <w:rtl w:val="0"/>
          <w:lang w:val="en-US"/>
        </w:rPr>
        <w:t xml:space="preserve">, a mandatory, non-technical checkpoint requiring formal legal and compliance sign-off after requirements are defined but before development begins, which directly mitigates the risk of statutory violations. The second component is the </w:t>
      </w:r>
      <w:r>
        <w:rPr>
          <w:rFonts w:ascii="Times Roman" w:hAnsi="Times Roman"/>
          <w:b w:val="1"/>
          <w:bCs w:val="1"/>
          <w:rtl w:val="0"/>
          <w:lang w:val="en-US"/>
        </w:rPr>
        <w:t>Real-Time API Integration</w:t>
      </w:r>
      <w:r>
        <w:rPr>
          <w:rFonts w:ascii="Times Roman" w:hAnsi="Times Roman"/>
          <w:rtl w:val="0"/>
          <w:lang w:val="en-US"/>
        </w:rPr>
        <w:t xml:space="preserve">, which replaces manual data entry with a direct, automated, and secure </w:t>
      </w:r>
      <w:r>
        <w:rPr>
          <w:rFonts w:ascii="Times Roman" w:hAnsi="Times Roman"/>
          <w:b w:val="1"/>
          <w:bCs w:val="1"/>
          <w:rtl w:val="0"/>
          <w:lang w:val="en-US"/>
        </w:rPr>
        <w:t>RESTful API</w:t>
      </w:r>
      <w:r>
        <w:rPr>
          <w:rFonts w:ascii="Times Roman" w:hAnsi="Times Roman"/>
          <w:rtl w:val="0"/>
          <w:lang w:val="en-US"/>
        </w:rPr>
        <w:t xml:space="preserve"> call to the core Student Administration System (SAS).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Model and Architecture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proposed architectural model is a </w:t>
      </w:r>
      <w:r>
        <w:rPr>
          <w:rFonts w:ascii="Times Roman" w:hAnsi="Times Roman"/>
          <w:b w:val="1"/>
          <w:bCs w:val="1"/>
          <w:rtl w:val="0"/>
          <w:lang w:val="en-US"/>
        </w:rPr>
        <w:t>Microservice Architecture</w:t>
      </w:r>
      <w:r>
        <w:rPr>
          <w:rFonts w:ascii="Times Roman" w:hAnsi="Times Roman"/>
          <w:rtl w:val="0"/>
          <w:lang w:val="en-US"/>
        </w:rPr>
        <w:t xml:space="preserve"> centered around an </w:t>
      </w:r>
      <w:r>
        <w:rPr>
          <w:rFonts w:ascii="Times Roman" w:hAnsi="Times Roman"/>
          <w:b w:val="1"/>
          <w:bCs w:val="1"/>
          <w:rtl w:val="0"/>
          <w:lang w:val="en-US"/>
        </w:rPr>
        <w:t>API Gateway</w:t>
      </w:r>
      <w:r>
        <w:rPr>
          <w:rFonts w:ascii="Times Roman" w:hAnsi="Times Roman"/>
          <w:rtl w:val="0"/>
          <w:lang w:val="en-US"/>
        </w:rPr>
        <w:t xml:space="preserve"> pattern. This robust approach adheres to the </w:t>
      </w:r>
      <w:r>
        <w:rPr>
          <w:rFonts w:ascii="Times Roman" w:hAnsi="Times Roman"/>
          <w:b w:val="1"/>
          <w:bCs w:val="1"/>
          <w:rtl w:val="0"/>
          <w:lang w:val="en-US"/>
        </w:rPr>
        <w:t>Principle of Separation of Concerns</w:t>
      </w:r>
      <w:r>
        <w:rPr>
          <w:rFonts w:ascii="Times Roman" w:hAnsi="Times Roman"/>
          <w:rtl w:val="0"/>
          <w:lang w:val="en-US"/>
        </w:rPr>
        <w:t xml:space="preserve">, successfully isolating the user-facing front-end component from the sensitive, transaction-critical data sources held within the SAS. Specifically, the front-end will be a new component residing within the </w:t>
      </w:r>
      <w:r>
        <w:rPr>
          <w:rFonts w:ascii="Times Roman" w:hAnsi="Times Roman"/>
          <w:b w:val="1"/>
          <w:bCs w:val="1"/>
          <w:rtl w:val="0"/>
          <w:lang w:val="en-US"/>
        </w:rPr>
        <w:t>Adobe Experience Manager (AEM)</w:t>
      </w:r>
      <w:r>
        <w:rPr>
          <w:rFonts w:ascii="Times Roman" w:hAnsi="Times Roman"/>
          <w:rtl w:val="0"/>
          <w:lang w:val="en-US"/>
        </w:rPr>
        <w:t xml:space="preserve"> content management system, handling the user interface and calculation display logic. A custom-built, lightweight </w:t>
      </w:r>
      <w:r>
        <w:rPr>
          <w:rFonts w:ascii="Times Roman" w:hAnsi="Times Roman"/>
          <w:b w:val="1"/>
          <w:bCs w:val="1"/>
          <w:rtl w:val="0"/>
          <w:lang w:val="en-US"/>
        </w:rPr>
        <w:t>RESTful API</w:t>
      </w:r>
      <w:r>
        <w:rPr>
          <w:rFonts w:ascii="Times Roman" w:hAnsi="Times Roman"/>
          <w:rtl w:val="0"/>
          <w:lang w:val="en-US"/>
        </w:rPr>
        <w:t xml:space="preserve"> will act as the data conduit, retrieving real-time information from the SAS based on the user's inputs (such as program or credential level). This architecture ensures the </w:t>
      </w:r>
      <w:r>
        <w:rPr>
          <w:rFonts w:ascii="Times Roman" w:hAnsi="Times Roman"/>
          <w:b w:val="1"/>
          <w:bCs w:val="1"/>
          <w:rtl w:val="0"/>
          <w:lang w:val="en-US"/>
        </w:rPr>
        <w:t>Single Source of Truth (SSOT)</w:t>
      </w:r>
      <w:r>
        <w:rPr>
          <w:rFonts w:ascii="Times Roman" w:hAnsi="Times Roman"/>
          <w:rtl w:val="0"/>
          <w:lang w:val="en-US"/>
        </w:rPr>
        <w:t xml:space="preserve"> principle is maintained, guaranteeing the calculator always pulls the most current, official cost data directly from the SAS.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Technology Recommendation and Principles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recommendation is to develop the API layer using a modern, scalable framework such as Node.js or Python, hosting it within a secure, segmented cloud environment like AWS Lambda or Azure Functions to ensure high availability and isolation. This solution is supported by three specific IT principles. </w:t>
      </w:r>
      <w:r>
        <w:rPr>
          <w:rFonts w:ascii="Times Roman" w:hAnsi="Times Roman"/>
          <w:b w:val="1"/>
          <w:bCs w:val="1"/>
          <w:rtl w:val="0"/>
          <w:lang w:val="nl-NL"/>
        </w:rPr>
        <w:t>Data Integrity</w:t>
      </w:r>
      <w:r>
        <w:rPr>
          <w:rFonts w:ascii="Times Roman" w:hAnsi="Times Roman"/>
          <w:rtl w:val="0"/>
          <w:lang w:val="en-US"/>
        </w:rPr>
        <w:t xml:space="preserve"> is strictly enforced by the SSOT principle, which eliminates the potential for manual data entry errors. </w:t>
      </w:r>
      <w:r>
        <w:rPr>
          <w:rFonts w:ascii="Times Roman" w:hAnsi="Times Roman"/>
          <w:b w:val="1"/>
          <w:bCs w:val="1"/>
          <w:rtl w:val="0"/>
          <w:lang w:val="en-US"/>
        </w:rPr>
        <w:t>Security</w:t>
      </w:r>
      <w:r>
        <w:rPr>
          <w:rFonts w:ascii="Times Roman" w:hAnsi="Times Roman"/>
          <w:rtl w:val="0"/>
          <w:lang w:val="en-US"/>
        </w:rPr>
        <w:t xml:space="preserve"> is maintained through strict adherence to the </w:t>
      </w:r>
      <w:r>
        <w:rPr>
          <w:rFonts w:ascii="Times Roman" w:hAnsi="Times Roman"/>
          <w:b w:val="1"/>
          <w:bCs w:val="1"/>
          <w:rtl w:val="0"/>
          <w:lang w:val="en-US"/>
        </w:rPr>
        <w:t>Principle of Least Privilege</w:t>
      </w:r>
      <w:r>
        <w:rPr>
          <w:rFonts w:ascii="Times Roman" w:hAnsi="Times Roman"/>
          <w:rtl w:val="0"/>
          <w:lang w:val="en-US"/>
        </w:rPr>
        <w:t xml:space="preserve">, ensuring the API only has read-only access to the minimum necessary financial data fields in the SAS. Finally, </w:t>
      </w:r>
      <w:r>
        <w:rPr>
          <w:rFonts w:ascii="Times Roman" w:hAnsi="Times Roman"/>
          <w:b w:val="1"/>
          <w:bCs w:val="1"/>
          <w:rtl w:val="0"/>
          <w:lang w:val="en-US"/>
        </w:rPr>
        <w:t>Resilience</w:t>
      </w:r>
      <w:r>
        <w:rPr>
          <w:rFonts w:ascii="Times Roman" w:hAnsi="Times Roman"/>
          <w:rtl w:val="0"/>
          <w:lang w:val="en-US"/>
        </w:rPr>
        <w:t xml:space="preserve"> is achieved by utilizing the microservice pattern, which ensures the calculator</w:t>
      </w:r>
      <w:r>
        <w:rPr>
          <w:rFonts w:ascii="Arial Unicode MS" w:hAnsi="Arial Unicode MS" w:hint="default"/>
          <w:rtl w:val="0"/>
          <w:lang w:val="en-US"/>
        </w:rPr>
        <w:t>’</w:t>
      </w:r>
      <w:r>
        <w:rPr>
          <w:rFonts w:ascii="Times Roman" w:hAnsi="Times Roman"/>
          <w:rtl w:val="0"/>
          <w:lang w:val="en-US"/>
        </w:rPr>
        <w:t>s availability is decoupled and protected from instability in other monolithic systems.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 Needs, Industry Alignment, and Stakeholder Concerns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integrated solution directly addresses core organizational problems and key stakeholder anxieties while ensuring Arborwood maintains alignment with industry best practices.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Addressing Organizational Needs and Stakeholder Concerns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For </w:t>
      </w:r>
      <w:r>
        <w:rPr>
          <w:rFonts w:ascii="Times Roman" w:hAnsi="Times Roman"/>
          <w:b w:val="1"/>
          <w:bCs w:val="1"/>
          <w:rtl w:val="0"/>
          <w:lang w:val="en-US"/>
        </w:rPr>
        <w:t>Legal/Compliance</w:t>
      </w:r>
      <w:r>
        <w:rPr>
          <w:rFonts w:ascii="Times Roman" w:hAnsi="Times Roman"/>
          <w:rtl w:val="0"/>
          <w:lang w:val="en-US"/>
        </w:rPr>
        <w:t xml:space="preserve">, the most pressing concern is the high </w:t>
      </w:r>
      <w:r>
        <w:rPr>
          <w:rFonts w:ascii="Times Roman" w:hAnsi="Times Roman"/>
          <w:b w:val="1"/>
          <w:bCs w:val="1"/>
          <w:rtl w:val="0"/>
          <w:lang w:val="en-US"/>
        </w:rPr>
        <w:t>risk of statutory violation and regulatory penalty</w:t>
      </w:r>
      <w:r>
        <w:rPr>
          <w:rFonts w:ascii="Times Roman" w:hAnsi="Times Roman"/>
          <w:rtl w:val="0"/>
          <w:lang w:val="en-US"/>
        </w:rPr>
        <w:t xml:space="preserve"> under the Higher Education Act (HEA). This is addressed by the </w:t>
      </w:r>
      <w:r>
        <w:rPr>
          <w:rFonts w:ascii="Times Roman" w:hAnsi="Times Roman"/>
          <w:b w:val="1"/>
          <w:bCs w:val="1"/>
          <w:rtl w:val="0"/>
          <w:lang w:val="en-US"/>
        </w:rPr>
        <w:t>Compliance Gateway</w:t>
      </w:r>
      <w:r>
        <w:rPr>
          <w:rFonts w:ascii="Times Roman" w:hAnsi="Times Roman"/>
          <w:rtl w:val="0"/>
          <w:lang w:val="en-US"/>
        </w:rPr>
        <w:t xml:space="preserve">, which ensures formal, documented legal oversight occurs before significant capital is committed to development. </w:t>
      </w:r>
      <w:r>
        <w:rPr>
          <w:rFonts w:ascii="Times Roman" w:hAnsi="Times Roman"/>
          <w:b w:val="1"/>
          <w:bCs w:val="1"/>
          <w:rtl w:val="0"/>
          <w:lang w:val="en-US"/>
        </w:rPr>
        <w:t>Information Technology (IT)</w:t>
      </w:r>
      <w:r>
        <w:rPr>
          <w:rFonts w:ascii="Arial Unicode MS" w:hAnsi="Arial Unicode MS" w:hint="default"/>
          <w:rtl w:val="0"/>
          <w:lang w:val="en-US"/>
        </w:rPr>
        <w:t>’</w:t>
      </w:r>
      <w:r>
        <w:rPr>
          <w:rFonts w:ascii="Times Roman" w:hAnsi="Times Roman"/>
          <w:rtl w:val="0"/>
          <w:lang w:val="en-US"/>
        </w:rPr>
        <w:t>s concerns</w:t>
      </w:r>
      <w:r>
        <w:rPr>
          <w:rFonts w:ascii="Times Roman" w:hAnsi="Times Roman" w:hint="default"/>
          <w:rtl w:val="0"/>
          <w:lang w:val="en-US"/>
        </w:rPr>
        <w:t>—</w:t>
      </w:r>
      <w:r>
        <w:rPr>
          <w:rFonts w:ascii="Times Roman" w:hAnsi="Times Roman"/>
          <w:rtl w:val="0"/>
          <w:lang w:val="en-US"/>
        </w:rPr>
        <w:t xml:space="preserve">namely </w:t>
      </w:r>
      <w:r>
        <w:rPr>
          <w:rFonts w:ascii="Times Roman" w:hAnsi="Times Roman"/>
          <w:b w:val="1"/>
          <w:bCs w:val="1"/>
          <w:rtl w:val="0"/>
          <w:lang w:val="en-US"/>
        </w:rPr>
        <w:t>technical debt, manual data entry risk, and system fragility</w:t>
      </w:r>
      <w:r>
        <w:rPr>
          <w:rFonts w:ascii="Times Roman" w:hAnsi="Times Roman" w:hint="default"/>
          <w:rtl w:val="0"/>
          <w:lang w:val="en-US"/>
        </w:rPr>
        <w:t>—</w:t>
      </w:r>
      <w:r>
        <w:rPr>
          <w:rFonts w:ascii="Times Roman" w:hAnsi="Times Roman"/>
          <w:rtl w:val="0"/>
          <w:lang w:val="en-US"/>
        </w:rPr>
        <w:t xml:space="preserve">are mitigated by the </w:t>
      </w:r>
      <w:r>
        <w:rPr>
          <w:rFonts w:ascii="Times Roman" w:hAnsi="Times Roman"/>
          <w:b w:val="1"/>
          <w:bCs w:val="1"/>
          <w:rtl w:val="0"/>
          <w:lang w:val="en-US"/>
        </w:rPr>
        <w:t>API Integration</w:t>
      </w:r>
      <w:r>
        <w:rPr>
          <w:rFonts w:ascii="Times Roman" w:hAnsi="Times Roman"/>
          <w:rtl w:val="0"/>
          <w:lang w:val="en-US"/>
        </w:rPr>
        <w:t xml:space="preserve">, which replaces risky manual processes with a maintainable, secure, and resilient data service, ultimately reducing future maintenance overhead. Lastly, for </w:t>
      </w:r>
      <w:r>
        <w:rPr>
          <w:rFonts w:ascii="Times Roman" w:hAnsi="Times Roman"/>
          <w:b w:val="1"/>
          <w:bCs w:val="1"/>
          <w:rtl w:val="0"/>
          <w:lang w:val="en-US"/>
        </w:rPr>
        <w:t>Marketing/Enrollment</w:t>
      </w:r>
      <w:r>
        <w:rPr>
          <w:rFonts w:ascii="Times Roman" w:hAnsi="Times Roman"/>
          <w:rtl w:val="0"/>
          <w:lang w:val="en-US"/>
        </w:rPr>
        <w:t xml:space="preserve">, the solution resolves the </w:t>
      </w:r>
      <w:r>
        <w:rPr>
          <w:rFonts w:ascii="Times Roman" w:hAnsi="Times Roman"/>
          <w:b w:val="1"/>
          <w:bCs w:val="1"/>
          <w:rtl w:val="0"/>
          <w:lang w:val="en-US"/>
        </w:rPr>
        <w:t>high friction point in the enrollment funnel and lack of cost transparency</w:t>
      </w:r>
      <w:r>
        <w:rPr>
          <w:rFonts w:ascii="Times Roman" w:hAnsi="Times Roman"/>
          <w:rtl w:val="0"/>
          <w:lang w:val="en-US"/>
        </w:rPr>
        <w:t xml:space="preserve">. The provision of </w:t>
      </w:r>
      <w:r>
        <w:rPr>
          <w:rFonts w:ascii="Times Roman" w:hAnsi="Times Roman"/>
          <w:b w:val="1"/>
          <w:bCs w:val="1"/>
          <w:rtl w:val="0"/>
          <w:lang w:val="de-DE"/>
        </w:rPr>
        <w:t>Real-Time Data</w:t>
      </w:r>
      <w:r>
        <w:rPr>
          <w:rFonts w:ascii="Times Roman" w:hAnsi="Times Roman"/>
          <w:rtl w:val="0"/>
          <w:lang w:val="en-US"/>
        </w:rPr>
        <w:t xml:space="preserve"> gives prospects the accurate, personalized estimate they need, removing a major barrier to conversion.</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Connection to Global IT Trends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entire solution aligns Arborwood with the global IT trend of </w:t>
      </w:r>
      <w:r>
        <w:rPr>
          <w:rFonts w:ascii="Times Roman" w:hAnsi="Times Roman"/>
          <w:b w:val="1"/>
          <w:bCs w:val="1"/>
          <w:rtl w:val="0"/>
          <w:lang w:val="de-DE"/>
        </w:rPr>
        <w:t>Real-Time Data Ecosystems</w:t>
      </w:r>
      <w:r>
        <w:rPr>
          <w:rFonts w:ascii="Times Roman" w:hAnsi="Times Roman"/>
          <w:rtl w:val="0"/>
          <w:lang w:val="en-US"/>
        </w:rPr>
        <w:t xml:space="preserve">. The implementation of a dedicated API layer is a necessary step towards building a modern, integrated </w:t>
      </w:r>
      <w:r>
        <w:rPr>
          <w:rFonts w:ascii="Times Roman" w:hAnsi="Times Roman"/>
          <w:b w:val="1"/>
          <w:bCs w:val="1"/>
          <w:rtl w:val="0"/>
          <w:lang w:val="en-US"/>
        </w:rPr>
        <w:t>Enterprise Architecture</w:t>
      </w:r>
      <w:r>
        <w:rPr>
          <w:rFonts w:ascii="Times Roman" w:hAnsi="Times Roman"/>
          <w:rtl w:val="0"/>
          <w:lang w:val="en-US"/>
        </w:rPr>
        <w:t xml:space="preserve">. This strategic move away from outdated file transfers and manual processes towards secure, instantaneous data calls is mandatory for competing in the higher education industry, where prospective students expect the same instant, accurate data seen in the financial services or e-commerce sectors. This adoption of a </w:t>
      </w:r>
      <w:r>
        <w:rPr>
          <w:rFonts w:ascii="Times Roman" w:hAnsi="Times Roman"/>
          <w:b w:val="1"/>
          <w:bCs w:val="1"/>
          <w:rtl w:val="0"/>
          <w:lang w:val="en-US"/>
        </w:rPr>
        <w:t>Cloud-Native approach to data integration</w:t>
      </w:r>
      <w:r>
        <w:rPr>
          <w:rFonts w:ascii="Times Roman" w:hAnsi="Times Roman"/>
          <w:rtl w:val="0"/>
          <w:lang w:val="en-US"/>
        </w:rPr>
        <w:t xml:space="preserve"> [Insert Institutional Context Here: </w:t>
      </w:r>
      <w:r>
        <w:rPr>
          <w:rFonts w:ascii="Times Roman" w:hAnsi="Times Roman"/>
          <w:i w:val="1"/>
          <w:iCs w:val="1"/>
          <w:rtl w:val="0"/>
          <w:lang w:val="en-US"/>
        </w:rPr>
        <w:t>e.g., which aligns with Arborwood's broader cloud migration strategy.</w:t>
      </w:r>
      <w:r>
        <w:rPr>
          <w:rFonts w:ascii="Times Roman" w:hAnsi="Times Roman"/>
          <w:rtl w:val="0"/>
          <w:lang w:val="en-US"/>
        </w:rPr>
        <w:t>] positions Arborwood as a technological leader in its sector.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III. Legal, Ethical, and Policy Analysis (Competencies 4)</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Legal Issues and Resolution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primary legal issue is the mandated </w:t>
      </w:r>
      <w:r>
        <w:rPr>
          <w:rFonts w:ascii="Times Roman" w:hAnsi="Times Roman"/>
          <w:b w:val="1"/>
          <w:bCs w:val="1"/>
          <w:rtl w:val="0"/>
          <w:lang w:val="en-US"/>
        </w:rPr>
        <w:t xml:space="preserve">compliance with the Higher Education Act (HEA), 20 U.S.C. </w:t>
      </w:r>
      <w:r>
        <w:rPr>
          <w:rFonts w:ascii="Times Roman" w:hAnsi="Times Roman" w:hint="default"/>
          <w:b w:val="1"/>
          <w:bCs w:val="1"/>
          <w:rtl w:val="0"/>
          <w:lang w:val="en-US"/>
        </w:rPr>
        <w:t xml:space="preserve">§ </w:t>
      </w:r>
      <w:r>
        <w:rPr>
          <w:rFonts w:ascii="Times Roman" w:hAnsi="Times Roman"/>
          <w:b w:val="1"/>
          <w:bCs w:val="1"/>
          <w:rtl w:val="0"/>
          <w:lang w:val="en-US"/>
        </w:rPr>
        <w:t>1094</w:t>
      </w:r>
      <w:r>
        <w:rPr>
          <w:rFonts w:ascii="Times Roman" w:hAnsi="Times Roman"/>
          <w:rtl w:val="0"/>
          <w:lang w:val="en-US"/>
        </w:rPr>
        <w:t xml:space="preserve">, which requires accurate financial disclosures, such as the Net Price Calculator. Failure to maintain data accuracy exposes the institution to regulatory scrutiny and significant financial penalties. The core resolution strategy is the </w:t>
      </w:r>
      <w:r>
        <w:rPr>
          <w:rFonts w:ascii="Times Roman" w:hAnsi="Times Roman"/>
          <w:b w:val="1"/>
          <w:bCs w:val="1"/>
          <w:rtl w:val="0"/>
          <w:lang w:val="en-US"/>
        </w:rPr>
        <w:t>Legal/Compliance Gateway</w:t>
      </w:r>
      <w:r>
        <w:rPr>
          <w:rFonts w:ascii="Times Roman" w:hAnsi="Times Roman"/>
          <w:rtl w:val="0"/>
          <w:lang w:val="en-US"/>
        </w:rPr>
        <w:t xml:space="preserve">, which operationalizes legal compliance by requiring the legal team to certify the calculation methodology and required disclaimers </w:t>
      </w:r>
      <w:r>
        <w:rPr>
          <w:rFonts w:ascii="Times Roman" w:hAnsi="Times Roman"/>
          <w:i w:val="1"/>
          <w:iCs w:val="1"/>
          <w:rtl w:val="0"/>
          <w:lang w:val="en-US"/>
        </w:rPr>
        <w:t>before</w:t>
      </w:r>
      <w:r>
        <w:rPr>
          <w:rFonts w:ascii="Times Roman" w:hAnsi="Times Roman"/>
          <w:rtl w:val="0"/>
          <w:lang w:val="en-US"/>
        </w:rPr>
        <w:t xml:space="preserve"> the code is written, effectively embedding legal sign-off into the project lifecycle.</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Ethical Issues and Resolution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project is rooted in a clear ethical imperative of </w:t>
      </w:r>
      <w:r>
        <w:rPr>
          <w:rFonts w:ascii="Times Roman" w:hAnsi="Times Roman"/>
          <w:b w:val="1"/>
          <w:bCs w:val="1"/>
          <w:rtl w:val="0"/>
          <w:lang w:val="en-US"/>
        </w:rPr>
        <w:t>equity and transparency</w:t>
      </w:r>
      <w:r>
        <w:rPr>
          <w:rFonts w:ascii="Times Roman" w:hAnsi="Times Roman"/>
          <w:rtl w:val="0"/>
          <w:lang w:val="en-US"/>
        </w:rPr>
        <w:t xml:space="preserve">. Academic research clearly indicates that the current lack of clear financial information disproportionately hinders the enrollment of minority and low-income students. The solution, driven by the need for </w:t>
      </w:r>
      <w:r>
        <w:rPr>
          <w:rFonts w:ascii="Times Roman" w:hAnsi="Times Roman"/>
          <w:b w:val="1"/>
          <w:bCs w:val="1"/>
          <w:rtl w:val="0"/>
          <w:lang w:val="en-US"/>
        </w:rPr>
        <w:t>maximum transparency and personalization</w:t>
      </w:r>
      <w:r>
        <w:rPr>
          <w:rFonts w:ascii="Times Roman" w:hAnsi="Times Roman"/>
          <w:rtl w:val="0"/>
          <w:lang w:val="nl-NL"/>
        </w:rPr>
        <w:t>, addresses this ethical issue directly. The calculator acts as a tool for social equity, empowering at-risk populations with the precise information needed to make informed educational decisions. This alignment is central to Arborwood</w:t>
      </w:r>
      <w:r>
        <w:rPr>
          <w:rFonts w:ascii="Arial Unicode MS" w:hAnsi="Arial Unicode MS" w:hint="default"/>
          <w:rtl w:val="0"/>
          <w:lang w:val="en-US"/>
        </w:rPr>
        <w:t>’</w:t>
      </w:r>
      <w:r>
        <w:rPr>
          <w:rFonts w:ascii="Times Roman" w:hAnsi="Times Roman"/>
          <w:rtl w:val="0"/>
          <w:lang w:val="en-US"/>
        </w:rPr>
        <w:t xml:space="preserve">s mission to [Insert Institutional Context Here: </w:t>
      </w:r>
      <w:r>
        <w:rPr>
          <w:rFonts w:ascii="Times Roman" w:hAnsi="Times Roman"/>
          <w:i w:val="1"/>
          <w:iCs w:val="1"/>
          <w:rtl w:val="0"/>
          <w:lang w:val="en-US"/>
        </w:rPr>
        <w:t>e.g., improve financial and social mobility through its programs.</w:t>
      </w:r>
      <w:r>
        <w:rPr>
          <w:rFonts w:ascii="Times Roman" w:hAnsi="Times Roman"/>
          <w:rtl w:val="0"/>
          <w:lang w:val="pt-PT"/>
        </w:rPr>
        <w: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Policy Issues and Potential Conflict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most significant policy challenge is the potential conflict between the </w:t>
      </w:r>
      <w:r>
        <w:rPr>
          <w:rFonts w:ascii="Times Roman" w:hAnsi="Times Roman"/>
          <w:b w:val="1"/>
          <w:bCs w:val="1"/>
          <w:rtl w:val="0"/>
          <w:lang w:val="en-US"/>
        </w:rPr>
        <w:t>existing manual data maintenance policy</w:t>
      </w:r>
      <w:r>
        <w:rPr>
          <w:rFonts w:ascii="Times Roman" w:hAnsi="Times Roman"/>
          <w:rtl w:val="0"/>
          <w:lang w:val="en-US"/>
        </w:rPr>
        <w:t xml:space="preserve"> and the </w:t>
      </w:r>
      <w:r>
        <w:rPr>
          <w:rFonts w:ascii="Times Roman" w:hAnsi="Times Roman"/>
          <w:b w:val="1"/>
          <w:bCs w:val="1"/>
          <w:rtl w:val="0"/>
          <w:lang w:val="en-US"/>
        </w:rPr>
        <w:t>new automated data flow</w:t>
      </w:r>
      <w:r>
        <w:rPr>
          <w:rFonts w:ascii="Times Roman" w:hAnsi="Times Roman"/>
          <w:rtl w:val="0"/>
          <w:lang w:val="en-US"/>
        </w:rPr>
        <w:t xml:space="preserve"> via the API. The manual policy creates regulatory risk, and the automated solution renders the policy obsolete. To mitigate this, the project must result in the creation of a new </w:t>
      </w:r>
      <w:r>
        <w:rPr>
          <w:rFonts w:ascii="Times Roman" w:hAnsi="Times Roman"/>
          <w:b w:val="1"/>
          <w:bCs w:val="1"/>
          <w:rtl w:val="0"/>
          <w:lang w:val="en-US"/>
        </w:rPr>
        <w:t>Data Governance Policy</w:t>
      </w:r>
      <w:r>
        <w:rPr>
          <w:rFonts w:ascii="Times Roman" w:hAnsi="Times Roman"/>
          <w:rtl w:val="0"/>
          <w:lang w:val="en-US"/>
        </w:rPr>
        <w:t xml:space="preserve"> that formally designates the SAS as the SSOT for tuition rates and establishes clear ownership and validation processes for the new API endpoints. This proactive measure prevents a policy vacuum that could otherwise allow data errors to propagate and undermine the project's compliance goals.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IV. Risk Analysis and Minimization (Competencies 6)</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 while essential, carries specific implementation risks that must be systematically managed through proactive mitigation strategies.</w:t>
      </w:r>
    </w:p>
    <w:p>
      <w:pPr>
        <w:pStyle w:val="Default"/>
        <w:suppressAutoHyphens w:val="1"/>
        <w:spacing w:before="0" w:after="240" w:line="240" w:lineRule="auto"/>
        <w:rPr>
          <w:rFonts w:ascii="Times Roman" w:cs="Times Roman" w:hAnsi="Times Roman" w:eastAsia="Times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56"/>
        <w:gridCol w:w="3678"/>
        <w:gridCol w:w="802"/>
        <w:gridCol w:w="600"/>
        <w:gridCol w:w="600"/>
        <w:gridCol w:w="3324"/>
      </w:tblGrid>
      <w:tr>
        <w:tblPrEx>
          <w:shd w:val="clear" w:color="auto" w:fill="cadfff"/>
        </w:tblPrEx>
        <w:trPr>
          <w:trHeight w:val="58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Risk ID</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Risk Description</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Probability (P)</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Impact (I)</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Score (P x I)</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Mitigation Strategy</w:t>
            </w:r>
          </w:p>
        </w:tc>
      </w:tr>
      <w:tr>
        <w:tblPrEx>
          <w:shd w:val="clear" w:color="auto" w:fill="cadfff"/>
        </w:tblPrEx>
        <w:trPr>
          <w:trHeight w:val="114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R-01</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SME Resource Constraints.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Subject Matter Experts (SMEs) from the SAS team are unavailable or cannot dedicate time to define and validate API endpoints.</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 (9)</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Secure an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Executive Sponsorship Mandate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allocating protected, dedicated SME time (e.g., 20% for 8 weeks). Track availability weekly via the Steering Committee.</w:t>
            </w:r>
          </w:p>
        </w:tc>
      </w:tr>
      <w:tr>
        <w:tblPrEx>
          <w:shd w:val="clear" w:color="auto" w:fill="cadfff"/>
        </w:tblPrEx>
        <w:trPr>
          <w:trHeight w:val="142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R-02</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Data Integrity Failure.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The new API contains faulty logic or data mapping errors, leading to inaccurate cost disclosures.</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 (9)</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Enforce the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Compliance Gateway Sign-Off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(mandatory legal and IT validation of all calculation use cases before code freeze). Implement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100% automated unit and integration testing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of the API layer.</w:t>
            </w:r>
          </w:p>
        </w:tc>
      </w:tr>
      <w:tr>
        <w:tblPrEx>
          <w:shd w:val="clear" w:color="auto" w:fill="cadfff"/>
        </w:tblPrEx>
        <w:trPr>
          <w:trHeight w:val="170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R-03</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Legacy System Dependency.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Unplanned or extensive downtime of the legacy Student Administration System (SAS) makes the new Cost Calculator non-functional.</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 (4)</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Formalize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Contractual SLAs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(Service Level Agreements) with the SAS operations team to guarantee minimum API uptime (e.g., 99.9%). Architect the API with a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failover mechanism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to serve securely cached data during planned outages.</w:t>
            </w:r>
          </w:p>
        </w:tc>
      </w:tr>
      <w:tr>
        <w:tblPrEx>
          <w:shd w:val="clear" w:color="auto" w:fill="cadfff"/>
        </w:tblPrEx>
        <w:trPr>
          <w:trHeight w:val="114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R-04</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Organizational Change Resistance.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Legal/Marketing teams perceive the Compliance Gateway as a bureaucratic roadblock, leading to delays or passive non-compliance with the new process.</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High (6)</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Utilize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Executive Sponsorship</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to mandate the new process. Conduct joint, collaborative workshops to frame the Gateway as a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brand safeguard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rather than a development delay.</w:t>
            </w:r>
          </w:p>
        </w:tc>
      </w:tr>
      <w:tr>
        <w:tblPrEx>
          <w:shd w:val="clear" w:color="auto" w:fill="cadfff"/>
        </w:tblPrEx>
        <w:trPr>
          <w:trHeight w:val="1140" w:hRule="atLeast"/>
        </w:trPr>
        <w:tc>
          <w:tcPr>
            <w:tcW w:type="dxa" w:w="3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R-05</w:t>
            </w:r>
          </w:p>
        </w:tc>
        <w:tc>
          <w:tcPr>
            <w:tcW w:type="dxa" w:w="3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Policy Vacuum.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Failure to update the existing manual data entry policy to reflect the new automated API data flow, creating confusion over ownership of the 'Single Source of Truth' (SSOT).</w:t>
            </w:r>
          </w:p>
        </w:tc>
        <w:tc>
          <w:tcPr>
            <w:tcW w:type="dxa" w:w="8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w:t>
            </w:r>
          </w:p>
        </w:tc>
        <w:tc>
          <w:tcPr>
            <w:tcW w:type="dxa" w:w="5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Medium (4)</w:t>
            </w:r>
          </w:p>
        </w:tc>
        <w:tc>
          <w:tcPr>
            <w:tcW w:type="dxa" w:w="33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Proactively create and implement a new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Data Governance Policy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w="12700" w14:cap="flat">
                  <w14:noFill/>
                  <w14:miter w14:lim="400000"/>
                </w14:textOutline>
                <w14:textFill>
                  <w14:solidFill>
                    <w14:srgbClr w14:val="000000"/>
                  </w14:solidFill>
                </w14:textFill>
              </w:rPr>
              <w:t xml:space="preserve"> that formally designates the SAS as the SSOT and assigns clear, cross-functional ownership of the new API endpoints.</w:t>
            </w:r>
          </w:p>
        </w:tc>
      </w:tr>
    </w:tbl>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One critical risk is </w:t>
      </w:r>
      <w:r>
        <w:rPr>
          <w:rFonts w:ascii="Times Roman" w:hAnsi="Times Roman"/>
          <w:b w:val="1"/>
          <w:bCs w:val="1"/>
          <w:rtl w:val="0"/>
          <w:lang w:val="en-US"/>
        </w:rPr>
        <w:t>SME Resource Constraints</w:t>
      </w:r>
      <w:r>
        <w:rPr>
          <w:rFonts w:ascii="Times Roman" w:hAnsi="Times Roman"/>
          <w:rtl w:val="0"/>
          <w:lang w:val="en-US"/>
        </w:rPr>
        <w:t xml:space="preserve">, as the project is dependent on the time and availability of Subject Matter Experts (SMEs) from the Student Administration team for defining and validating the precise API endpoints. If these resources are denied, </w:t>
      </w:r>
      <w:r>
        <w:rPr>
          <w:rFonts w:ascii="Times Roman" w:hAnsi="Times Roman"/>
          <w:b w:val="1"/>
          <w:bCs w:val="1"/>
          <w:rtl w:val="0"/>
          <w:lang w:val="en-US"/>
        </w:rPr>
        <w:t>data integrity will be compromised</w:t>
      </w:r>
      <w:r>
        <w:rPr>
          <w:rFonts w:ascii="Times Roman" w:hAnsi="Times Roman"/>
          <w:rtl w:val="0"/>
          <w:lang w:val="en-US"/>
        </w:rPr>
        <w:t xml:space="preserve">. The strategy to minimize this involves </w:t>
      </w:r>
      <w:r>
        <w:rPr>
          <w:rFonts w:ascii="Times Roman" w:hAnsi="Times Roman"/>
          <w:b w:val="1"/>
          <w:bCs w:val="1"/>
          <w:rtl w:val="0"/>
          <w:lang w:val="en-US"/>
        </w:rPr>
        <w:t>Executive Sponsorship and Allocation</w:t>
      </w:r>
      <w:r>
        <w:rPr>
          <w:rFonts w:ascii="Times Roman" w:hAnsi="Times Roman"/>
          <w:rtl w:val="0"/>
          <w:lang w:val="en-US"/>
        </w:rPr>
        <w:t>, securing formal executive sign-off for dedicated SME bandwidth (e.g., 20% allocation for 8 weeks), with this risk being monitored weekly in the Project Steering Committee.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 second major risk is </w:t>
      </w:r>
      <w:r>
        <w:rPr>
          <w:rFonts w:ascii="Times Roman" w:hAnsi="Times Roman"/>
          <w:b w:val="1"/>
          <w:bCs w:val="1"/>
          <w:rtl w:val="0"/>
          <w:lang w:val="en-US"/>
        </w:rPr>
        <w:t>Data Integrity Failure</w:t>
      </w:r>
      <w:r>
        <w:rPr>
          <w:rFonts w:ascii="Times Roman" w:hAnsi="Times Roman"/>
          <w:rtl w:val="0"/>
          <w:lang w:val="en-US"/>
        </w:rPr>
        <w:t xml:space="preserve">, where the API is incorrectly coded, leading to inaccurate data, which would result in a regulatory violation. This is minimized through the </w:t>
      </w:r>
      <w:r>
        <w:rPr>
          <w:rFonts w:ascii="Times Roman" w:hAnsi="Times Roman"/>
          <w:b w:val="1"/>
          <w:bCs w:val="1"/>
          <w:rtl w:val="0"/>
          <w:lang w:val="en-US"/>
        </w:rPr>
        <w:t>Compliance Gateway Sign-Off</w:t>
      </w:r>
      <w:r>
        <w:rPr>
          <w:rFonts w:ascii="Times Roman" w:hAnsi="Times Roman"/>
          <w:rtl w:val="0"/>
          <w:lang w:val="en-US"/>
        </w:rPr>
        <w:t xml:space="preserve">, which mandates final legal and IT validation of all calculation use cases and data mappings </w:t>
      </w:r>
      <w:r>
        <w:rPr>
          <w:rFonts w:ascii="Times Roman" w:hAnsi="Times Roman"/>
          <w:i w:val="1"/>
          <w:iCs w:val="1"/>
          <w:rtl w:val="0"/>
          <w:lang w:val="en-US"/>
        </w:rPr>
        <w:t>before</w:t>
      </w:r>
      <w:r>
        <w:rPr>
          <w:rFonts w:ascii="Times Roman" w:hAnsi="Times Roman"/>
          <w:rtl w:val="0"/>
          <w:lang w:val="en-US"/>
        </w:rPr>
        <w:t xml:space="preserve"> the code freeze. Furthermore, automated unit and integration testing of the API will be implemented to ensure 100% data fidelity against source systems.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Finally, there is the risk of </w:t>
      </w:r>
      <w:r>
        <w:rPr>
          <w:rFonts w:ascii="Times Roman" w:hAnsi="Times Roman"/>
          <w:b w:val="1"/>
          <w:bCs w:val="1"/>
          <w:rtl w:val="0"/>
          <w:lang w:val="en-US"/>
        </w:rPr>
        <w:t>Legacy System Dependency</w:t>
      </w:r>
      <w:r>
        <w:rPr>
          <w:rFonts w:ascii="Times Roman" w:hAnsi="Times Roman"/>
          <w:rtl w:val="0"/>
          <w:lang w:val="en-US"/>
        </w:rPr>
        <w:t xml:space="preserve">, where the API's success relies on the stability and availability of the legacy SAS. This must be addressed by formalizing </w:t>
      </w:r>
      <w:r>
        <w:rPr>
          <w:rFonts w:ascii="Times Roman" w:hAnsi="Times Roman"/>
          <w:b w:val="1"/>
          <w:bCs w:val="1"/>
          <w:rtl w:val="0"/>
          <w:lang w:val="en-US"/>
        </w:rPr>
        <w:t>Contractual SLAs</w:t>
      </w:r>
      <w:r>
        <w:rPr>
          <w:rFonts w:ascii="Times Roman" w:hAnsi="Times Roman"/>
          <w:rtl w:val="0"/>
          <w:lang w:val="en-US"/>
        </w:rPr>
        <w:t xml:space="preserve"> (Service Level Agreements) with the SAS operations team to guarantee minimum API uptime (e.g., 99.9%). The API architecture will also implement failover mechanisms to serve securely cached data during unavoidable SAS downtime.</w:t>
      </w:r>
    </w:p>
    <w:p>
      <w:pPr>
        <w:pStyle w:val="Default"/>
        <w:suppressAutoHyphens w:val="1"/>
        <w:spacing w:before="0" w:after="240" w:line="240" w:lineRule="auto"/>
      </w:pPr>
      <w:r>
        <w:rPr>
          <w:rFonts w:ascii="Times Roman" w:hAnsi="Times Roman"/>
          <w:rtl w:val="0"/>
          <w:lang w:val="en-US"/>
        </w:rPr>
        <w:t>This systemic approach ensures that the project</w:t>
      </w:r>
      <w:r>
        <w:rPr>
          <w:rFonts w:ascii="Arial Unicode MS" w:hAnsi="Arial Unicode MS" w:hint="default"/>
          <w:rtl w:val="0"/>
          <w:lang w:val="en-US"/>
        </w:rPr>
        <w:t>’</w:t>
      </w:r>
      <w:r>
        <w:rPr>
          <w:rFonts w:ascii="Times Roman" w:hAnsi="Times Roman"/>
          <w:rtl w:val="0"/>
          <w:lang w:val="en-US"/>
        </w:rPr>
        <w:t>s high-level risk of regulatory non-compliance is broken down into manageable technical and governance risks, each addressed by a specific, proactive mitigation strategy.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