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64187" w14:textId="298E1775" w:rsidR="006667FF" w:rsidRPr="004E6451" w:rsidRDefault="00000000">
      <w:pPr>
        <w:pStyle w:val="Default"/>
        <w:suppressAutoHyphens/>
        <w:spacing w:before="0" w:after="299" w:line="240" w:lineRule="auto"/>
        <w:rPr>
          <w:rStyle w:val="SubtleReference"/>
          <w:sz w:val="32"/>
          <w:szCs w:val="32"/>
        </w:rPr>
      </w:pPr>
      <w:r w:rsidRPr="004E6451">
        <w:rPr>
          <w:rStyle w:val="SubtleReference"/>
          <w:sz w:val="32"/>
          <w:szCs w:val="32"/>
        </w:rPr>
        <w:t>Solutions Analysis</w:t>
      </w:r>
    </w:p>
    <w:p w14:paraId="2DECA991" w14:textId="1F07A14A" w:rsidR="006667FF" w:rsidRPr="009F6F92" w:rsidRDefault="00000000" w:rsidP="009F6F92">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This analysis formally proposes the integrated solution for the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Cost Calculator project (</w:t>
      </w:r>
      <w:r w:rsidR="009F6F92">
        <w:rPr>
          <w:rFonts w:ascii="Times New Roman" w:hAnsi="Times New Roman" w:cs="Times New Roman"/>
        </w:rPr>
        <w:t>t</w:t>
      </w:r>
      <w:r w:rsidRPr="009F6F92">
        <w:rPr>
          <w:rFonts w:ascii="Times New Roman" w:hAnsi="Times New Roman" w:cs="Times New Roman"/>
        </w:rPr>
        <w:t xml:space="preserve">he </w:t>
      </w:r>
      <w:r w:rsidR="009F6F92">
        <w:rPr>
          <w:rFonts w:ascii="Times New Roman" w:hAnsi="Times New Roman" w:cs="Times New Roman"/>
        </w:rPr>
        <w:t>“</w:t>
      </w:r>
      <w:r w:rsidRPr="009F6F92">
        <w:rPr>
          <w:rFonts w:ascii="Times New Roman" w:hAnsi="Times New Roman" w:cs="Times New Roman"/>
        </w:rPr>
        <w:t xml:space="preserve">Gateway" initiative), connecting organizational needs to technical architecture and addressing critical risks, legal </w:t>
      </w:r>
      <w:r w:rsidR="001B2A20">
        <w:rPr>
          <w:rFonts w:ascii="Times New Roman" w:hAnsi="Times New Roman" w:cs="Times New Roman"/>
        </w:rPr>
        <w:t>requirements</w:t>
      </w:r>
      <w:r w:rsidRPr="009F6F92">
        <w:rPr>
          <w:rFonts w:ascii="Times New Roman" w:hAnsi="Times New Roman" w:cs="Times New Roman"/>
        </w:rPr>
        <w:t xml:space="preserve">, and ethical </w:t>
      </w:r>
      <w:r w:rsidR="001B2A20">
        <w:rPr>
          <w:rFonts w:ascii="Times New Roman" w:hAnsi="Times New Roman" w:cs="Times New Roman"/>
        </w:rPr>
        <w:t>imperatives</w:t>
      </w:r>
      <w:r w:rsidRPr="009F6F92">
        <w:rPr>
          <w:rFonts w:ascii="Times New Roman" w:hAnsi="Times New Roman" w:cs="Times New Roman"/>
        </w:rPr>
        <w:t>.</w:t>
      </w:r>
    </w:p>
    <w:p w14:paraId="6B31EB20" w14:textId="2813F89F" w:rsidR="006667FF" w:rsidRPr="004E6451" w:rsidRDefault="00000000">
      <w:pPr>
        <w:pStyle w:val="Default"/>
        <w:suppressAutoHyphens/>
        <w:spacing w:before="0" w:after="281" w:line="240" w:lineRule="auto"/>
        <w:rPr>
          <w:rStyle w:val="SubtleReference"/>
        </w:rPr>
      </w:pPr>
      <w:r w:rsidRPr="004E6451">
        <w:rPr>
          <w:rStyle w:val="SubtleReference"/>
        </w:rPr>
        <w:t>Proposed Solutions and Architectur</w:t>
      </w:r>
      <w:r w:rsidR="009F6F92" w:rsidRPr="004E6451">
        <w:rPr>
          <w:rStyle w:val="SubtleReference"/>
        </w:rPr>
        <w:t>e</w:t>
      </w:r>
    </w:p>
    <w:p w14:paraId="75162774" w14:textId="0B5D3096" w:rsidR="006667FF" w:rsidRPr="009F6F92" w:rsidRDefault="00000000" w:rsidP="009F6F92">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solution to </w:t>
      </w:r>
      <w:proofErr w:type="spellStart"/>
      <w:r w:rsidRPr="009F6F92">
        <w:rPr>
          <w:rFonts w:ascii="Times New Roman" w:hAnsi="Times New Roman" w:cs="Times New Roman"/>
        </w:rPr>
        <w:t>Arborwood</w:t>
      </w:r>
      <w:proofErr w:type="spellEnd"/>
      <w:r w:rsidRPr="009F6F92">
        <w:rPr>
          <w:rFonts w:ascii="Times New Roman" w:hAnsi="Times New Roman" w:cs="Times New Roman"/>
          <w:rtl/>
        </w:rPr>
        <w:t>’</w:t>
      </w:r>
      <w:r w:rsidRPr="009F6F92">
        <w:rPr>
          <w:rFonts w:ascii="Times New Roman" w:hAnsi="Times New Roman" w:cs="Times New Roman"/>
        </w:rPr>
        <w:t xml:space="preserve">s problem </w:t>
      </w:r>
      <w:r w:rsidR="009F6F92">
        <w:rPr>
          <w:rFonts w:ascii="Times New Roman" w:hAnsi="Times New Roman" w:cs="Times New Roman"/>
        </w:rPr>
        <w:t>requires</w:t>
      </w:r>
      <w:r w:rsidRPr="009F6F92">
        <w:rPr>
          <w:rFonts w:ascii="Times New Roman" w:hAnsi="Times New Roman" w:cs="Times New Roman"/>
        </w:rPr>
        <w:t xml:space="preserve"> recogni</w:t>
      </w:r>
      <w:r w:rsidR="009F6F92">
        <w:rPr>
          <w:rFonts w:ascii="Times New Roman" w:hAnsi="Times New Roman" w:cs="Times New Roman"/>
        </w:rPr>
        <w:t>tion</w:t>
      </w:r>
      <w:r w:rsidRPr="009F6F92">
        <w:rPr>
          <w:rFonts w:ascii="Times New Roman" w:hAnsi="Times New Roman" w:cs="Times New Roman"/>
        </w:rPr>
        <w:t xml:space="preserve"> that the challenge is </w:t>
      </w:r>
      <w:r w:rsidR="009F6F92">
        <w:rPr>
          <w:rFonts w:ascii="Times New Roman" w:hAnsi="Times New Roman" w:cs="Times New Roman"/>
        </w:rPr>
        <w:t>both</w:t>
      </w:r>
      <w:r w:rsidRPr="009F6F92">
        <w:rPr>
          <w:rFonts w:ascii="Times New Roman" w:hAnsi="Times New Roman" w:cs="Times New Roman"/>
        </w:rPr>
        <w:t xml:space="preserve"> one of technical execution</w:t>
      </w:r>
      <w:r w:rsidR="009F6F92">
        <w:rPr>
          <w:rFonts w:ascii="Times New Roman" w:hAnsi="Times New Roman" w:cs="Times New Roman"/>
        </w:rPr>
        <w:t xml:space="preserve"> </w:t>
      </w:r>
      <w:r w:rsidRPr="009F6F92">
        <w:rPr>
          <w:rFonts w:ascii="Times New Roman" w:hAnsi="Times New Roman" w:cs="Times New Roman"/>
        </w:rPr>
        <w:t xml:space="preserve">and governance risk. The first component is the </w:t>
      </w:r>
      <w:r w:rsidR="009F6F92">
        <w:rPr>
          <w:rFonts w:ascii="Times New Roman" w:hAnsi="Times New Roman" w:cs="Times New Roman"/>
        </w:rPr>
        <w:t>inclusion of</w:t>
      </w:r>
      <w:r w:rsidRPr="009F6F92">
        <w:rPr>
          <w:rFonts w:ascii="Times New Roman" w:hAnsi="Times New Roman" w:cs="Times New Roman"/>
        </w:rPr>
        <w:t xml:space="preserve"> a mandatory, non-technical checkpoint requiring formal legal and compliance </w:t>
      </w:r>
      <w:r w:rsidR="009F6F92">
        <w:rPr>
          <w:rFonts w:ascii="Times New Roman" w:hAnsi="Times New Roman" w:cs="Times New Roman"/>
        </w:rPr>
        <w:t xml:space="preserve">approval </w:t>
      </w:r>
      <w:r w:rsidRPr="009F6F92">
        <w:rPr>
          <w:rFonts w:ascii="Times New Roman" w:hAnsi="Times New Roman" w:cs="Times New Roman"/>
        </w:rPr>
        <w:t>after requirements are defined but before development begins</w:t>
      </w:r>
      <w:r w:rsidR="001B2A20">
        <w:rPr>
          <w:rFonts w:ascii="Times New Roman" w:hAnsi="Times New Roman" w:cs="Times New Roman"/>
        </w:rPr>
        <w:t>. The inclusion of this gateway in the project</w:t>
      </w:r>
      <w:r w:rsidR="009F6F92">
        <w:rPr>
          <w:rFonts w:ascii="Times New Roman" w:hAnsi="Times New Roman" w:cs="Times New Roman"/>
        </w:rPr>
        <w:t xml:space="preserve"> serves to</w:t>
      </w:r>
      <w:r w:rsidRPr="009F6F92">
        <w:rPr>
          <w:rFonts w:ascii="Times New Roman" w:hAnsi="Times New Roman" w:cs="Times New Roman"/>
        </w:rPr>
        <w:t xml:space="preserve"> mitigate the risk of </w:t>
      </w:r>
      <w:r w:rsidR="009F6F92">
        <w:rPr>
          <w:rFonts w:ascii="Times New Roman" w:hAnsi="Times New Roman" w:cs="Times New Roman"/>
        </w:rPr>
        <w:t>regulatory</w:t>
      </w:r>
      <w:r w:rsidRPr="009F6F92">
        <w:rPr>
          <w:rFonts w:ascii="Times New Roman" w:hAnsi="Times New Roman" w:cs="Times New Roman"/>
        </w:rPr>
        <w:t xml:space="preserve"> violations</w:t>
      </w:r>
      <w:r w:rsidR="001B2A20">
        <w:rPr>
          <w:rFonts w:ascii="Times New Roman" w:hAnsi="Times New Roman" w:cs="Times New Roman"/>
        </w:rPr>
        <w:t xml:space="preserve"> by mandating a thorough legal review of the project deliverables and formally approving them</w:t>
      </w:r>
      <w:r w:rsidRPr="009F6F92">
        <w:rPr>
          <w:rFonts w:ascii="Times New Roman" w:hAnsi="Times New Roman" w:cs="Times New Roman"/>
        </w:rPr>
        <w:t xml:space="preserve">. The second component is the API </w:t>
      </w:r>
      <w:r w:rsidR="009F6F92">
        <w:rPr>
          <w:rFonts w:ascii="Times New Roman" w:hAnsi="Times New Roman" w:cs="Times New Roman"/>
        </w:rPr>
        <w:t>i</w:t>
      </w:r>
      <w:r w:rsidRPr="009F6F92">
        <w:rPr>
          <w:rFonts w:ascii="Times New Roman" w:hAnsi="Times New Roman" w:cs="Times New Roman"/>
        </w:rPr>
        <w:t>ntegration</w:t>
      </w:r>
      <w:r w:rsidR="001B2A20">
        <w:rPr>
          <w:rFonts w:ascii="Times New Roman" w:hAnsi="Times New Roman" w:cs="Times New Roman"/>
        </w:rPr>
        <w:t xml:space="preserve"> that</w:t>
      </w:r>
      <w:r w:rsidRPr="009F6F92">
        <w:rPr>
          <w:rFonts w:ascii="Times New Roman" w:hAnsi="Times New Roman" w:cs="Times New Roman"/>
        </w:rPr>
        <w:t xml:space="preserve"> replaces manual data entry with a direct, automated, and secure API call to the core </w:t>
      </w:r>
      <w:r w:rsidR="009F6F92">
        <w:rPr>
          <w:rFonts w:ascii="Times New Roman" w:hAnsi="Times New Roman" w:cs="Times New Roman"/>
        </w:rPr>
        <w:t>s</w:t>
      </w:r>
      <w:r w:rsidRPr="009F6F92">
        <w:rPr>
          <w:rFonts w:ascii="Times New Roman" w:hAnsi="Times New Roman" w:cs="Times New Roman"/>
        </w:rPr>
        <w:t xml:space="preserve">tudent </w:t>
      </w:r>
      <w:r w:rsidR="009F6F92">
        <w:rPr>
          <w:rFonts w:ascii="Times New Roman" w:hAnsi="Times New Roman" w:cs="Times New Roman"/>
        </w:rPr>
        <w:t>a</w:t>
      </w:r>
      <w:r w:rsidRPr="009F6F92">
        <w:rPr>
          <w:rFonts w:ascii="Times New Roman" w:hAnsi="Times New Roman" w:cs="Times New Roman"/>
        </w:rPr>
        <w:t xml:space="preserve">dministration </w:t>
      </w:r>
      <w:r w:rsidR="009F6F92">
        <w:rPr>
          <w:rFonts w:ascii="Times New Roman" w:hAnsi="Times New Roman" w:cs="Times New Roman"/>
        </w:rPr>
        <w:t>s</w:t>
      </w:r>
      <w:r w:rsidRPr="009F6F92">
        <w:rPr>
          <w:rFonts w:ascii="Times New Roman" w:hAnsi="Times New Roman" w:cs="Times New Roman"/>
        </w:rPr>
        <w:t>ystem</w:t>
      </w:r>
      <w:r w:rsidR="009F6F92">
        <w:rPr>
          <w:rFonts w:ascii="Times New Roman" w:hAnsi="Times New Roman" w:cs="Times New Roman"/>
        </w:rPr>
        <w:t>, which serves as the definitive source of truth</w:t>
      </w:r>
      <w:r w:rsidRPr="009F6F92">
        <w:rPr>
          <w:rFonts w:ascii="Times New Roman" w:hAnsi="Times New Roman" w:cs="Times New Roman"/>
        </w:rPr>
        <w:t>.</w:t>
      </w:r>
      <w:r w:rsidR="001B2A20">
        <w:rPr>
          <w:rFonts w:ascii="Times New Roman" w:hAnsi="Times New Roman" w:cs="Times New Roman"/>
        </w:rPr>
        <w:t xml:space="preserve"> </w:t>
      </w:r>
    </w:p>
    <w:p w14:paraId="6DF47EA8" w14:textId="77777777" w:rsidR="006667FF" w:rsidRPr="004E6451" w:rsidRDefault="00000000">
      <w:pPr>
        <w:pStyle w:val="Default"/>
        <w:suppressAutoHyphens/>
        <w:spacing w:before="0" w:after="319" w:line="240" w:lineRule="auto"/>
        <w:rPr>
          <w:rStyle w:val="SubtleReference"/>
        </w:rPr>
      </w:pPr>
      <w:r w:rsidRPr="004E6451">
        <w:rPr>
          <w:rStyle w:val="SubtleReference"/>
        </w:rPr>
        <w:t>Model and Architecture</w:t>
      </w:r>
    </w:p>
    <w:p w14:paraId="57ABD410" w14:textId="1A34478E" w:rsidR="006667FF" w:rsidRPr="009F6F92" w:rsidRDefault="00000000" w:rsidP="009F6F92">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proposed architectural model </w:t>
      </w:r>
      <w:r w:rsidR="009F6F92">
        <w:rPr>
          <w:rFonts w:ascii="Times New Roman" w:hAnsi="Times New Roman" w:cs="Times New Roman"/>
        </w:rPr>
        <w:t>employs a m</w:t>
      </w:r>
      <w:r w:rsidRPr="009F6F92">
        <w:rPr>
          <w:rFonts w:ascii="Times New Roman" w:hAnsi="Times New Roman" w:cs="Times New Roman"/>
        </w:rPr>
        <w:t xml:space="preserve">icroservice </w:t>
      </w:r>
      <w:r w:rsidR="009F6F92">
        <w:rPr>
          <w:rFonts w:ascii="Times New Roman" w:hAnsi="Times New Roman" w:cs="Times New Roman"/>
        </w:rPr>
        <w:t>a</w:t>
      </w:r>
      <w:r w:rsidRPr="009F6F92">
        <w:rPr>
          <w:rFonts w:ascii="Times New Roman" w:hAnsi="Times New Roman" w:cs="Times New Roman"/>
        </w:rPr>
        <w:t xml:space="preserve">rchitecture centered around an API </w:t>
      </w:r>
      <w:r w:rsidR="009F6F92">
        <w:rPr>
          <w:rFonts w:ascii="Times New Roman" w:hAnsi="Times New Roman" w:cs="Times New Roman"/>
        </w:rPr>
        <w:t>g</w:t>
      </w:r>
      <w:r w:rsidRPr="009F6F92">
        <w:rPr>
          <w:rFonts w:ascii="Times New Roman" w:hAnsi="Times New Roman" w:cs="Times New Roman"/>
        </w:rPr>
        <w:t xml:space="preserve">ateway pattern. This approach adheres to the </w:t>
      </w:r>
      <w:r w:rsidR="009F6F92">
        <w:rPr>
          <w:rFonts w:ascii="Times New Roman" w:hAnsi="Times New Roman" w:cs="Times New Roman"/>
        </w:rPr>
        <w:t>p</w:t>
      </w:r>
      <w:r w:rsidRPr="009F6F92">
        <w:rPr>
          <w:rFonts w:ascii="Times New Roman" w:hAnsi="Times New Roman" w:cs="Times New Roman"/>
        </w:rPr>
        <w:t xml:space="preserve">rinciple of Separation of Concerns, isolating the user-facing front-end component from the sensitive, transaction-critical data sources held within the </w:t>
      </w:r>
      <w:r w:rsidR="009F6F92">
        <w:rPr>
          <w:rFonts w:ascii="Times New Roman" w:hAnsi="Times New Roman" w:cs="Times New Roman"/>
        </w:rPr>
        <w:t>administrative system</w:t>
      </w:r>
      <w:r w:rsidRPr="009F6F92">
        <w:rPr>
          <w:rFonts w:ascii="Times New Roman" w:hAnsi="Times New Roman" w:cs="Times New Roman"/>
        </w:rPr>
        <w:t xml:space="preserve">. Specifically, the front-end will be a new component residing within the Adobe Experience Manager (AEM) content management system, handling the user interface and calculation display logic. A custom-built API will act as the data conduit, retrieving </w:t>
      </w:r>
      <w:r w:rsidR="009F6F92">
        <w:rPr>
          <w:rFonts w:ascii="Times New Roman" w:hAnsi="Times New Roman" w:cs="Times New Roman"/>
        </w:rPr>
        <w:t>current</w:t>
      </w:r>
      <w:r w:rsidRPr="009F6F92">
        <w:rPr>
          <w:rFonts w:ascii="Times New Roman" w:hAnsi="Times New Roman" w:cs="Times New Roman"/>
        </w:rPr>
        <w:t xml:space="preserve"> information from the </w:t>
      </w:r>
      <w:r w:rsidR="009F6F92">
        <w:rPr>
          <w:rFonts w:ascii="Times New Roman" w:hAnsi="Times New Roman" w:cs="Times New Roman"/>
        </w:rPr>
        <w:t>administrative system</w:t>
      </w:r>
      <w:r w:rsidRPr="009F6F92">
        <w:rPr>
          <w:rFonts w:ascii="Times New Roman" w:hAnsi="Times New Roman" w:cs="Times New Roman"/>
        </w:rPr>
        <w:t>. This architecture ensures the Single Source of Truth (SSOT) principle is maintained</w:t>
      </w:r>
      <w:r w:rsidR="004E6451">
        <w:rPr>
          <w:rFonts w:ascii="Times New Roman" w:hAnsi="Times New Roman" w:cs="Times New Roman"/>
        </w:rPr>
        <w:t xml:space="preserve"> and enables enforcement of the Principle of Least Privilege (PLP)</w:t>
      </w:r>
      <w:r w:rsidRPr="009F6F92">
        <w:rPr>
          <w:rFonts w:ascii="Times New Roman" w:hAnsi="Times New Roman" w:cs="Times New Roman"/>
        </w:rPr>
        <w:t>, guaranteeing the calculator always pulls the most current, official cost data directly from the</w:t>
      </w:r>
      <w:r w:rsidR="009F6F92">
        <w:rPr>
          <w:rFonts w:ascii="Times New Roman" w:hAnsi="Times New Roman" w:cs="Times New Roman"/>
        </w:rPr>
        <w:t xml:space="preserve"> organizational</w:t>
      </w:r>
      <w:r w:rsidRPr="009F6F92">
        <w:rPr>
          <w:rFonts w:ascii="Times New Roman" w:hAnsi="Times New Roman" w:cs="Times New Roman"/>
        </w:rPr>
        <w:t xml:space="preserve"> </w:t>
      </w:r>
      <w:r w:rsidR="009F6F92">
        <w:rPr>
          <w:rFonts w:ascii="Times New Roman" w:hAnsi="Times New Roman" w:cs="Times New Roman"/>
        </w:rPr>
        <w:t>source of truth</w:t>
      </w:r>
      <w:r w:rsidR="004E6451">
        <w:rPr>
          <w:rFonts w:ascii="Times New Roman" w:hAnsi="Times New Roman" w:cs="Times New Roman"/>
        </w:rPr>
        <w:t xml:space="preserve"> while constraining access to only required data</w:t>
      </w:r>
      <w:r w:rsidR="009F6F92">
        <w:rPr>
          <w:rFonts w:ascii="Times New Roman" w:hAnsi="Times New Roman" w:cs="Times New Roman"/>
        </w:rPr>
        <w:t>. Because the data in the source system is updated no more often than on a quarterly basis, the fetch will not be in real-time, but rather only when source system data changes</w:t>
      </w:r>
      <w:r w:rsidR="004E6451">
        <w:rPr>
          <w:rFonts w:ascii="Times New Roman" w:hAnsi="Times New Roman" w:cs="Times New Roman"/>
        </w:rPr>
        <w:t xml:space="preserve"> or when required on an ad hoc basis by business stakeholders</w:t>
      </w:r>
      <w:r w:rsidR="009F6F92">
        <w:rPr>
          <w:rFonts w:ascii="Times New Roman" w:hAnsi="Times New Roman" w:cs="Times New Roman"/>
        </w:rPr>
        <w:t>.</w:t>
      </w:r>
    </w:p>
    <w:p w14:paraId="75F34C57" w14:textId="77777777" w:rsidR="006667FF" w:rsidRPr="004E6451" w:rsidRDefault="00000000">
      <w:pPr>
        <w:pStyle w:val="Default"/>
        <w:suppressAutoHyphens/>
        <w:spacing w:before="0" w:after="319" w:line="240" w:lineRule="auto"/>
        <w:rPr>
          <w:rStyle w:val="SubtleReference"/>
        </w:rPr>
      </w:pPr>
      <w:r w:rsidRPr="004E6451">
        <w:rPr>
          <w:rStyle w:val="SubtleReference"/>
        </w:rPr>
        <w:t>Technology Recommendation and Principles</w:t>
      </w:r>
    </w:p>
    <w:p w14:paraId="250E4549" w14:textId="5C92AF61" w:rsidR="00A07C0B" w:rsidRDefault="00000000" w:rsidP="009F6F92">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recommendation is to develop the API layer using </w:t>
      </w:r>
      <w:r w:rsidR="00A07C0B">
        <w:rPr>
          <w:rFonts w:ascii="Times New Roman" w:hAnsi="Times New Roman" w:cs="Times New Roman"/>
        </w:rPr>
        <w:t xml:space="preserve">the University’s existing Node.js framework and </w:t>
      </w:r>
      <w:r w:rsidRPr="009F6F92">
        <w:rPr>
          <w:rFonts w:ascii="Times New Roman" w:hAnsi="Times New Roman" w:cs="Times New Roman"/>
        </w:rPr>
        <w:t xml:space="preserve">hosting it within </w:t>
      </w:r>
      <w:proofErr w:type="spellStart"/>
      <w:r w:rsidR="009F6F92">
        <w:rPr>
          <w:rFonts w:ascii="Times New Roman" w:hAnsi="Times New Roman" w:cs="Times New Roman"/>
        </w:rPr>
        <w:t>Arborwood’s</w:t>
      </w:r>
      <w:proofErr w:type="spellEnd"/>
      <w:r w:rsidR="009F6F92">
        <w:rPr>
          <w:rFonts w:ascii="Times New Roman" w:hAnsi="Times New Roman" w:cs="Times New Roman"/>
        </w:rPr>
        <w:t xml:space="preserve"> existing Google Cloud Platform (GCP)</w:t>
      </w:r>
      <w:r w:rsidRPr="009F6F92">
        <w:rPr>
          <w:rFonts w:ascii="Times New Roman" w:hAnsi="Times New Roman" w:cs="Times New Roman"/>
        </w:rPr>
        <w:t xml:space="preserve"> cloud environment</w:t>
      </w:r>
      <w:r w:rsidR="004E6451">
        <w:rPr>
          <w:rFonts w:ascii="Times New Roman" w:hAnsi="Times New Roman" w:cs="Times New Roman"/>
        </w:rPr>
        <w:t>,</w:t>
      </w:r>
      <w:r w:rsidR="009F6F92">
        <w:rPr>
          <w:rFonts w:ascii="Times New Roman" w:hAnsi="Times New Roman" w:cs="Times New Roman"/>
        </w:rPr>
        <w:t xml:space="preserve"> leveraging </w:t>
      </w:r>
      <w:r w:rsidR="00A07C0B">
        <w:rPr>
          <w:rFonts w:ascii="Times New Roman" w:hAnsi="Times New Roman" w:cs="Times New Roman"/>
        </w:rPr>
        <w:t>Cloud Functions for the underlying event-driven code</w:t>
      </w:r>
      <w:r w:rsidRPr="009F6F92">
        <w:rPr>
          <w:rFonts w:ascii="Times New Roman" w:hAnsi="Times New Roman" w:cs="Times New Roman"/>
        </w:rPr>
        <w:t xml:space="preserve"> to ensure high availability and isolation. </w:t>
      </w:r>
    </w:p>
    <w:p w14:paraId="11684914" w14:textId="77777777" w:rsidR="00A07C0B" w:rsidRDefault="00000000" w:rsidP="00A07C0B">
      <w:pPr>
        <w:pStyle w:val="Default"/>
        <w:numPr>
          <w:ilvl w:val="0"/>
          <w:numId w:val="1"/>
        </w:numPr>
        <w:suppressAutoHyphens/>
        <w:spacing w:before="0" w:after="240" w:line="240" w:lineRule="auto"/>
        <w:rPr>
          <w:rFonts w:ascii="Times New Roman" w:hAnsi="Times New Roman" w:cs="Times New Roman"/>
        </w:rPr>
      </w:pPr>
      <w:r w:rsidRPr="009F6F92">
        <w:rPr>
          <w:rFonts w:ascii="Times New Roman" w:hAnsi="Times New Roman" w:cs="Times New Roman"/>
          <w:lang w:val="nl-NL"/>
        </w:rPr>
        <w:t xml:space="preserve">Data </w:t>
      </w:r>
      <w:r w:rsidR="00A07C0B">
        <w:rPr>
          <w:rFonts w:ascii="Times New Roman" w:hAnsi="Times New Roman" w:cs="Times New Roman"/>
          <w:lang w:val="nl-NL"/>
        </w:rPr>
        <w:t>i</w:t>
      </w:r>
      <w:r w:rsidRPr="009F6F92">
        <w:rPr>
          <w:rFonts w:ascii="Times New Roman" w:hAnsi="Times New Roman" w:cs="Times New Roman"/>
          <w:lang w:val="nl-NL"/>
        </w:rPr>
        <w:t>ntegrity</w:t>
      </w:r>
      <w:r w:rsidRPr="009F6F92">
        <w:rPr>
          <w:rFonts w:ascii="Times New Roman" w:hAnsi="Times New Roman" w:cs="Times New Roman"/>
        </w:rPr>
        <w:t xml:space="preserve"> is strictly enforced by the SSOT principle, which eliminates the potential for manual data entry errors. </w:t>
      </w:r>
    </w:p>
    <w:p w14:paraId="65CCD1A6" w14:textId="1B4911CB" w:rsidR="00A07C0B" w:rsidRDefault="00000000" w:rsidP="00A07C0B">
      <w:pPr>
        <w:pStyle w:val="Default"/>
        <w:numPr>
          <w:ilvl w:val="0"/>
          <w:numId w:val="1"/>
        </w:numPr>
        <w:suppressAutoHyphens/>
        <w:spacing w:before="0" w:after="240" w:line="240" w:lineRule="auto"/>
        <w:rPr>
          <w:rFonts w:ascii="Times New Roman" w:hAnsi="Times New Roman" w:cs="Times New Roman"/>
        </w:rPr>
      </w:pPr>
      <w:r w:rsidRPr="009F6F92">
        <w:rPr>
          <w:rFonts w:ascii="Times New Roman" w:hAnsi="Times New Roman" w:cs="Times New Roman"/>
        </w:rPr>
        <w:t>Security is maintained through adherence to the</w:t>
      </w:r>
      <w:r w:rsidR="004E6451">
        <w:rPr>
          <w:rFonts w:ascii="Times New Roman" w:hAnsi="Times New Roman" w:cs="Times New Roman"/>
        </w:rPr>
        <w:t xml:space="preserve"> PLP</w:t>
      </w:r>
      <w:r w:rsidR="00A07C0B">
        <w:rPr>
          <w:rFonts w:ascii="Times New Roman" w:hAnsi="Times New Roman" w:cs="Times New Roman"/>
        </w:rPr>
        <w:t xml:space="preserve"> as enforced by </w:t>
      </w:r>
      <w:proofErr w:type="spellStart"/>
      <w:r w:rsidR="00A07C0B">
        <w:rPr>
          <w:rFonts w:ascii="Times New Roman" w:hAnsi="Times New Roman" w:cs="Times New Roman"/>
        </w:rPr>
        <w:t>Arborwood’s</w:t>
      </w:r>
      <w:proofErr w:type="spellEnd"/>
      <w:r w:rsidR="00A07C0B">
        <w:rPr>
          <w:rFonts w:ascii="Times New Roman" w:hAnsi="Times New Roman" w:cs="Times New Roman"/>
        </w:rPr>
        <w:t xml:space="preserve"> existing policies</w:t>
      </w:r>
      <w:r w:rsidRPr="009F6F92">
        <w:rPr>
          <w:rFonts w:ascii="Times New Roman" w:hAnsi="Times New Roman" w:cs="Times New Roman"/>
        </w:rPr>
        <w:t xml:space="preserve">, ensuring the API only has read-only access to the minimum necessary financial data fields in the </w:t>
      </w:r>
      <w:r w:rsidR="00A07C0B">
        <w:rPr>
          <w:rFonts w:ascii="Times New Roman" w:hAnsi="Times New Roman" w:cs="Times New Roman"/>
        </w:rPr>
        <w:t>administrative system</w:t>
      </w:r>
      <w:r w:rsidRPr="009F6F92">
        <w:rPr>
          <w:rFonts w:ascii="Times New Roman" w:hAnsi="Times New Roman" w:cs="Times New Roman"/>
        </w:rPr>
        <w:t xml:space="preserve">. </w:t>
      </w:r>
    </w:p>
    <w:p w14:paraId="11C4A057" w14:textId="267151BE" w:rsidR="006667FF" w:rsidRPr="004E6451" w:rsidRDefault="00A07C0B" w:rsidP="00A07C0B">
      <w:pPr>
        <w:pStyle w:val="Default"/>
        <w:numPr>
          <w:ilvl w:val="0"/>
          <w:numId w:val="1"/>
        </w:numPr>
        <w:suppressAutoHyphens/>
        <w:spacing w:before="0" w:after="240" w:line="240" w:lineRule="auto"/>
        <w:rPr>
          <w:rFonts w:ascii="Times New Roman" w:eastAsia="Times Roman" w:hAnsi="Times New Roman" w:cs="Times New Roman"/>
        </w:rPr>
      </w:pPr>
      <w:r>
        <w:rPr>
          <w:rFonts w:ascii="Times New Roman" w:hAnsi="Times New Roman" w:cs="Times New Roman"/>
        </w:rPr>
        <w:lastRenderedPageBreak/>
        <w:t>R</w:t>
      </w:r>
      <w:r w:rsidR="00000000" w:rsidRPr="009F6F92">
        <w:rPr>
          <w:rFonts w:ascii="Times New Roman" w:hAnsi="Times New Roman" w:cs="Times New Roman"/>
        </w:rPr>
        <w:t xml:space="preserve">esilience is achieved by utilizing the microservice pattern, which </w:t>
      </w:r>
      <w:r>
        <w:rPr>
          <w:rFonts w:ascii="Times New Roman" w:hAnsi="Times New Roman" w:cs="Times New Roman"/>
        </w:rPr>
        <w:t>allows the calculator to function independently and maintain availability even if other internal systems are disrupted.</w:t>
      </w:r>
    </w:p>
    <w:p w14:paraId="77DA5C38" w14:textId="0F10D7BE" w:rsidR="004E6451" w:rsidRDefault="004E6451">
      <w:pPr>
        <w:rPr>
          <w:color w:val="000000"/>
          <w14:textOutline w14:w="0" w14:cap="flat" w14:cmpd="sng" w14:algn="ctr">
            <w14:noFill/>
            <w14:prstDash w14:val="solid"/>
            <w14:bevel/>
          </w14:textOutline>
        </w:rPr>
      </w:pPr>
      <w:r>
        <w:br w:type="page"/>
      </w:r>
    </w:p>
    <w:p w14:paraId="14315032" w14:textId="77777777" w:rsidR="004E6451" w:rsidRPr="009F6F92" w:rsidRDefault="004E6451" w:rsidP="004E6451">
      <w:pPr>
        <w:pStyle w:val="Default"/>
        <w:suppressAutoHyphens/>
        <w:spacing w:before="0" w:after="240" w:line="240" w:lineRule="auto"/>
        <w:ind w:left="1080"/>
        <w:rPr>
          <w:rFonts w:ascii="Times New Roman" w:eastAsia="Times Roman" w:hAnsi="Times New Roman" w:cs="Times New Roman"/>
        </w:rPr>
      </w:pPr>
    </w:p>
    <w:p w14:paraId="3F47F176" w14:textId="66C3A511" w:rsidR="006667FF" w:rsidRPr="004E6451" w:rsidRDefault="00000000">
      <w:pPr>
        <w:pStyle w:val="Default"/>
        <w:suppressAutoHyphens/>
        <w:spacing w:before="0" w:after="281" w:line="240" w:lineRule="auto"/>
        <w:rPr>
          <w:rStyle w:val="SubtleReference"/>
          <w:sz w:val="32"/>
          <w:szCs w:val="32"/>
        </w:rPr>
      </w:pPr>
      <w:r w:rsidRPr="004E6451">
        <w:rPr>
          <w:rStyle w:val="SubtleReference"/>
          <w:sz w:val="32"/>
          <w:szCs w:val="32"/>
        </w:rPr>
        <w:t>Needs, Industry Alignment, and Stakeholder Concerns</w:t>
      </w:r>
    </w:p>
    <w:p w14:paraId="46071D20" w14:textId="4002E5DC" w:rsidR="006667FF" w:rsidRPr="009F6F92" w:rsidRDefault="00000000" w:rsidP="00A07C0B">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integrated solution directly addresses </w:t>
      </w:r>
      <w:r w:rsidR="004E6451">
        <w:rPr>
          <w:rFonts w:ascii="Times New Roman" w:hAnsi="Times New Roman" w:cs="Times New Roman"/>
        </w:rPr>
        <w:t xml:space="preserve">an </w:t>
      </w:r>
      <w:r w:rsidRPr="009F6F92">
        <w:rPr>
          <w:rFonts w:ascii="Times New Roman" w:hAnsi="Times New Roman" w:cs="Times New Roman"/>
        </w:rPr>
        <w:t xml:space="preserve">organizational problem and key stakeholder </w:t>
      </w:r>
      <w:r w:rsidR="00A07C0B">
        <w:rPr>
          <w:rFonts w:ascii="Times New Roman" w:hAnsi="Times New Roman" w:cs="Times New Roman"/>
        </w:rPr>
        <w:t>concerns</w:t>
      </w:r>
      <w:r w:rsidRPr="009F6F92">
        <w:rPr>
          <w:rFonts w:ascii="Times New Roman" w:hAnsi="Times New Roman" w:cs="Times New Roman"/>
        </w:rPr>
        <w:t xml:space="preserve"> while ensuring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maintains alignment with industry best practices.</w:t>
      </w:r>
    </w:p>
    <w:p w14:paraId="19F525A0" w14:textId="77777777" w:rsidR="006667FF" w:rsidRPr="004E6451" w:rsidRDefault="00000000">
      <w:pPr>
        <w:pStyle w:val="Default"/>
        <w:suppressAutoHyphens/>
        <w:spacing w:before="0" w:after="319" w:line="240" w:lineRule="auto"/>
        <w:rPr>
          <w:rStyle w:val="SubtleReference"/>
        </w:rPr>
      </w:pPr>
      <w:r w:rsidRPr="004E6451">
        <w:rPr>
          <w:rStyle w:val="SubtleReference"/>
        </w:rPr>
        <w:t>Addressing Organizational Needs and Stakeholder Concerns</w:t>
      </w:r>
    </w:p>
    <w:p w14:paraId="22D777CF" w14:textId="579B6BAE" w:rsidR="001B2A20" w:rsidRDefault="001B2A20" w:rsidP="00A07C0B">
      <w:pPr>
        <w:pStyle w:val="Default"/>
        <w:suppressAutoHyphens/>
        <w:spacing w:before="0" w:after="240" w:line="240" w:lineRule="auto"/>
        <w:ind w:firstLine="720"/>
        <w:rPr>
          <w:rFonts w:ascii="Times New Roman" w:hAnsi="Times New Roman" w:cs="Times New Roman"/>
        </w:rPr>
      </w:pPr>
      <w:r>
        <w:rPr>
          <w:rFonts w:ascii="Times New Roman" w:hAnsi="Times New Roman" w:cs="Times New Roman"/>
        </w:rPr>
        <w:t>The University’s</w:t>
      </w:r>
      <w:r w:rsidRPr="009F6F92">
        <w:rPr>
          <w:rFonts w:ascii="Times New Roman" w:hAnsi="Times New Roman" w:cs="Times New Roman"/>
        </w:rPr>
        <w:t xml:space="preserve"> </w:t>
      </w:r>
      <w:r>
        <w:rPr>
          <w:rFonts w:ascii="Times New Roman" w:hAnsi="Times New Roman" w:cs="Times New Roman"/>
        </w:rPr>
        <w:t>m</w:t>
      </w:r>
      <w:r w:rsidRPr="009F6F92">
        <w:rPr>
          <w:rFonts w:ascii="Times New Roman" w:hAnsi="Times New Roman" w:cs="Times New Roman"/>
        </w:rPr>
        <w:t>arketing</w:t>
      </w:r>
      <w:r>
        <w:rPr>
          <w:rFonts w:ascii="Times New Roman" w:hAnsi="Times New Roman" w:cs="Times New Roman"/>
        </w:rPr>
        <w:t xml:space="preserve"> team is continually searching for methods by which conversions can be increased on its commercial, publicly-facing websites. The</w:t>
      </w:r>
      <w:r>
        <w:rPr>
          <w:rFonts w:ascii="Times New Roman" w:hAnsi="Times New Roman" w:cs="Times New Roman"/>
        </w:rPr>
        <w:t xml:space="preserve"> proposed calculator</w:t>
      </w:r>
      <w:r w:rsidRPr="009F6F92">
        <w:rPr>
          <w:rFonts w:ascii="Times New Roman" w:hAnsi="Times New Roman" w:cs="Times New Roman"/>
        </w:rPr>
        <w:t xml:space="preserve"> solution resolves the </w:t>
      </w:r>
      <w:r>
        <w:rPr>
          <w:rFonts w:ascii="Times New Roman" w:hAnsi="Times New Roman" w:cs="Times New Roman"/>
        </w:rPr>
        <w:t>friction</w:t>
      </w:r>
      <w:r w:rsidRPr="009F6F92">
        <w:rPr>
          <w:rFonts w:ascii="Times New Roman" w:hAnsi="Times New Roman" w:cs="Times New Roman"/>
        </w:rPr>
        <w:t xml:space="preserve"> point in the enrollment funnel </w:t>
      </w:r>
      <w:r w:rsidR="004E6451">
        <w:rPr>
          <w:rFonts w:ascii="Times New Roman" w:hAnsi="Times New Roman" w:cs="Times New Roman"/>
        </w:rPr>
        <w:t>by addressing</w:t>
      </w:r>
      <w:r w:rsidRPr="009F6F92">
        <w:rPr>
          <w:rFonts w:ascii="Times New Roman" w:hAnsi="Times New Roman" w:cs="Times New Roman"/>
        </w:rPr>
        <w:t xml:space="preserve"> </w:t>
      </w:r>
      <w:r>
        <w:rPr>
          <w:rFonts w:ascii="Times New Roman" w:hAnsi="Times New Roman" w:cs="Times New Roman"/>
        </w:rPr>
        <w:t xml:space="preserve">the </w:t>
      </w:r>
      <w:r w:rsidRPr="009F6F92">
        <w:rPr>
          <w:rFonts w:ascii="Times New Roman" w:hAnsi="Times New Roman" w:cs="Times New Roman"/>
        </w:rPr>
        <w:t xml:space="preserve">lack of cost transparency. </w:t>
      </w:r>
      <w:r>
        <w:rPr>
          <w:rFonts w:ascii="Times New Roman" w:hAnsi="Times New Roman" w:cs="Times New Roman"/>
        </w:rPr>
        <w:t>By furnishing the solution with data from the enterprise s</w:t>
      </w:r>
      <w:r>
        <w:rPr>
          <w:rFonts w:ascii="Times New Roman" w:hAnsi="Times New Roman" w:cs="Times New Roman"/>
        </w:rPr>
        <w:t>o</w:t>
      </w:r>
      <w:r>
        <w:rPr>
          <w:rFonts w:ascii="Times New Roman" w:hAnsi="Times New Roman" w:cs="Times New Roman"/>
        </w:rPr>
        <w:t xml:space="preserve">urce of truth, </w:t>
      </w:r>
      <w:r w:rsidRPr="009F6F92">
        <w:rPr>
          <w:rFonts w:ascii="Times New Roman" w:hAnsi="Times New Roman" w:cs="Times New Roman"/>
        </w:rPr>
        <w:t>prospects</w:t>
      </w:r>
      <w:r>
        <w:rPr>
          <w:rFonts w:ascii="Times New Roman" w:hAnsi="Times New Roman" w:cs="Times New Roman"/>
        </w:rPr>
        <w:t xml:space="preserve"> are able to access</w:t>
      </w:r>
      <w:r w:rsidRPr="009F6F92">
        <w:rPr>
          <w:rFonts w:ascii="Times New Roman" w:hAnsi="Times New Roman" w:cs="Times New Roman"/>
        </w:rPr>
        <w:t xml:space="preserve"> the accurate, personalized estimate they </w:t>
      </w:r>
      <w:r w:rsidR="004E6451">
        <w:rPr>
          <w:rFonts w:ascii="Times New Roman" w:hAnsi="Times New Roman" w:cs="Times New Roman"/>
        </w:rPr>
        <w:t>desire</w:t>
      </w:r>
      <w:r w:rsidRPr="009F6F92">
        <w:rPr>
          <w:rFonts w:ascii="Times New Roman" w:hAnsi="Times New Roman" w:cs="Times New Roman"/>
        </w:rPr>
        <w:t>, removing a major barrier to conversion.</w:t>
      </w:r>
      <w:r>
        <w:rPr>
          <w:rFonts w:ascii="Times New Roman" w:hAnsi="Times New Roman" w:cs="Times New Roman"/>
        </w:rPr>
        <w:t xml:space="preserve"> At a time when the online learning sector in higher education is becoming increasingly saturated, </w:t>
      </w:r>
      <w:proofErr w:type="spellStart"/>
      <w:r>
        <w:rPr>
          <w:rFonts w:ascii="Times New Roman" w:hAnsi="Times New Roman" w:cs="Times New Roman"/>
        </w:rPr>
        <w:t>Arborwood’s</w:t>
      </w:r>
      <w:proofErr w:type="spellEnd"/>
      <w:r>
        <w:rPr>
          <w:rFonts w:ascii="Times New Roman" w:hAnsi="Times New Roman" w:cs="Times New Roman"/>
        </w:rPr>
        <w:t xml:space="preserve"> marketing team has identified cost transparency as a major differentiator that has the potential to contribute nearly $10 million in revenue in the first year of the calculator’s implementation</w:t>
      </w:r>
      <w:r w:rsidR="001D088D">
        <w:rPr>
          <w:rFonts w:ascii="Times New Roman" w:hAnsi="Times New Roman" w:cs="Times New Roman"/>
        </w:rPr>
        <w:t>.</w:t>
      </w:r>
    </w:p>
    <w:p w14:paraId="2B9FE8AD" w14:textId="4EB99987" w:rsidR="001D088D" w:rsidRDefault="00000000" w:rsidP="001D088D">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For </w:t>
      </w:r>
      <w:proofErr w:type="spellStart"/>
      <w:r w:rsidR="00A07C0B">
        <w:rPr>
          <w:rFonts w:ascii="Times New Roman" w:hAnsi="Times New Roman" w:cs="Times New Roman"/>
        </w:rPr>
        <w:t>Arborwood’s</w:t>
      </w:r>
      <w:proofErr w:type="spellEnd"/>
      <w:r w:rsidR="00A07C0B">
        <w:rPr>
          <w:rFonts w:ascii="Times New Roman" w:hAnsi="Times New Roman" w:cs="Times New Roman"/>
        </w:rPr>
        <w:t xml:space="preserve"> legal leadership</w:t>
      </w:r>
      <w:r w:rsidRPr="009F6F92">
        <w:rPr>
          <w:rFonts w:ascii="Times New Roman" w:hAnsi="Times New Roman" w:cs="Times New Roman"/>
        </w:rPr>
        <w:t xml:space="preserve">, the most pressing concern is the high risk of statutory violation and </w:t>
      </w:r>
      <w:r w:rsidR="00A07C0B">
        <w:rPr>
          <w:rFonts w:ascii="Times New Roman" w:hAnsi="Times New Roman" w:cs="Times New Roman"/>
        </w:rPr>
        <w:t>the potential for litigation stemming from imprecise cost estimates</w:t>
      </w:r>
      <w:r w:rsidRPr="009F6F92">
        <w:rPr>
          <w:rFonts w:ascii="Times New Roman" w:hAnsi="Times New Roman" w:cs="Times New Roman"/>
        </w:rPr>
        <w:t>.</w:t>
      </w:r>
      <w:r w:rsidR="001D088D">
        <w:rPr>
          <w:rFonts w:ascii="Times New Roman" w:hAnsi="Times New Roman" w:cs="Times New Roman"/>
        </w:rPr>
        <w:t xml:space="preserve"> The combination of highly complex and granular calculations for hundreds of degree programs, coupled with the need to ensure the availability of accurate data, underscores the need for a comprehensive legal review of the project’s requirements and deliverables as part of a larger, formal approval process. Neither business stakeholders nor IT have the expertise to evaluate the compliance implications or litigation risk of the solution, and initiating development of the solution without legal approval poses the threat of abandonment of the final deliverable due to unconstrained risk.</w:t>
      </w:r>
      <w:r w:rsidRPr="009F6F92">
        <w:rPr>
          <w:rFonts w:ascii="Times New Roman" w:hAnsi="Times New Roman" w:cs="Times New Roman"/>
        </w:rPr>
        <w:t xml:space="preserve"> </w:t>
      </w:r>
      <w:r w:rsidR="001D088D">
        <w:rPr>
          <w:rFonts w:ascii="Times New Roman" w:hAnsi="Times New Roman" w:cs="Times New Roman"/>
        </w:rPr>
        <w:t>By incorporating a mandated</w:t>
      </w:r>
      <w:r w:rsidRPr="009F6F92">
        <w:rPr>
          <w:rFonts w:ascii="Times New Roman" w:hAnsi="Times New Roman" w:cs="Times New Roman"/>
        </w:rPr>
        <w:t xml:space="preserve"> </w:t>
      </w:r>
      <w:r w:rsidR="00A07C0B">
        <w:rPr>
          <w:rFonts w:ascii="Times New Roman" w:hAnsi="Times New Roman" w:cs="Times New Roman"/>
        </w:rPr>
        <w:t>c</w:t>
      </w:r>
      <w:r w:rsidRPr="009F6F92">
        <w:rPr>
          <w:rFonts w:ascii="Times New Roman" w:hAnsi="Times New Roman" w:cs="Times New Roman"/>
        </w:rPr>
        <w:t xml:space="preserve">ompliance </w:t>
      </w:r>
      <w:r w:rsidR="00A07C0B">
        <w:rPr>
          <w:rFonts w:ascii="Times New Roman" w:hAnsi="Times New Roman" w:cs="Times New Roman"/>
        </w:rPr>
        <w:t>g</w:t>
      </w:r>
      <w:r w:rsidRPr="009F6F92">
        <w:rPr>
          <w:rFonts w:ascii="Times New Roman" w:hAnsi="Times New Roman" w:cs="Times New Roman"/>
        </w:rPr>
        <w:t>ateway</w:t>
      </w:r>
      <w:r w:rsidR="00A07C0B">
        <w:rPr>
          <w:rFonts w:ascii="Times New Roman" w:hAnsi="Times New Roman" w:cs="Times New Roman"/>
        </w:rPr>
        <w:t xml:space="preserve"> in the project charter</w:t>
      </w:r>
      <w:r w:rsidRPr="009F6F92">
        <w:rPr>
          <w:rFonts w:ascii="Times New Roman" w:hAnsi="Times New Roman" w:cs="Times New Roman"/>
        </w:rPr>
        <w:t>,</w:t>
      </w:r>
      <w:r w:rsidR="001D088D">
        <w:rPr>
          <w:rFonts w:ascii="Times New Roman" w:hAnsi="Times New Roman" w:cs="Times New Roman"/>
        </w:rPr>
        <w:t xml:space="preserve"> </w:t>
      </w:r>
      <w:r w:rsidRPr="009F6F92">
        <w:rPr>
          <w:rFonts w:ascii="Times New Roman" w:hAnsi="Times New Roman" w:cs="Times New Roman"/>
        </w:rPr>
        <w:t xml:space="preserve">formal, documented legal oversight occurs before significant capital is committed to development. </w:t>
      </w:r>
    </w:p>
    <w:p w14:paraId="6CB12C29" w14:textId="55B7D2D2" w:rsidR="006667FF" w:rsidRDefault="00000000" w:rsidP="00A07C0B">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Information Technolog</w:t>
      </w:r>
      <w:r w:rsidR="00A07C0B">
        <w:rPr>
          <w:rFonts w:ascii="Times New Roman" w:hAnsi="Times New Roman" w:cs="Times New Roman"/>
        </w:rPr>
        <w:t>y</w:t>
      </w:r>
      <w:r w:rsidRPr="009F6F92">
        <w:rPr>
          <w:rFonts w:ascii="Times New Roman" w:hAnsi="Times New Roman" w:cs="Times New Roman"/>
          <w:rtl/>
        </w:rPr>
        <w:t>’</w:t>
      </w:r>
      <w:r w:rsidRPr="009F6F92">
        <w:rPr>
          <w:rFonts w:ascii="Times New Roman" w:hAnsi="Times New Roman" w:cs="Times New Roman"/>
        </w:rPr>
        <w:t>s concerns</w:t>
      </w:r>
      <w:r w:rsidR="00A07C0B">
        <w:rPr>
          <w:rFonts w:ascii="Times New Roman" w:hAnsi="Times New Roman" w:cs="Times New Roman"/>
        </w:rPr>
        <w:t>, which include</w:t>
      </w:r>
      <w:r w:rsidRPr="009F6F92">
        <w:rPr>
          <w:rFonts w:ascii="Times New Roman" w:hAnsi="Times New Roman" w:cs="Times New Roman"/>
        </w:rPr>
        <w:t xml:space="preserve"> technical debt, manual data entry risk, and system fragility</w:t>
      </w:r>
      <w:r w:rsidR="00A07C0B">
        <w:rPr>
          <w:rFonts w:ascii="Times New Roman" w:hAnsi="Times New Roman" w:cs="Times New Roman"/>
        </w:rPr>
        <w:t xml:space="preserve">, </w:t>
      </w:r>
      <w:r w:rsidRPr="009F6F92">
        <w:rPr>
          <w:rFonts w:ascii="Times New Roman" w:hAnsi="Times New Roman" w:cs="Times New Roman"/>
        </w:rPr>
        <w:t xml:space="preserve">are mitigated by the API </w:t>
      </w:r>
      <w:r w:rsidR="00A07C0B">
        <w:rPr>
          <w:rFonts w:ascii="Times New Roman" w:hAnsi="Times New Roman" w:cs="Times New Roman"/>
        </w:rPr>
        <w:t>i</w:t>
      </w:r>
      <w:r w:rsidRPr="009F6F92">
        <w:rPr>
          <w:rFonts w:ascii="Times New Roman" w:hAnsi="Times New Roman" w:cs="Times New Roman"/>
        </w:rPr>
        <w:t xml:space="preserve">ntegration, which replaces risky manual processes with a maintainable, secure, and resilient data service, ultimately reducing future maintenance overhead. </w:t>
      </w:r>
      <w:r w:rsidR="001D088D">
        <w:rPr>
          <w:rFonts w:ascii="Times New Roman" w:hAnsi="Times New Roman" w:cs="Times New Roman"/>
        </w:rPr>
        <w:t>And in an organization where skepticism is an ongoing concern, the legal review and approval gateway affords IT with the confidence to move forward with development, secure in the knowledge that a fully compliant and defined solution will be built and delivered.</w:t>
      </w:r>
    </w:p>
    <w:p w14:paraId="3E091F39" w14:textId="77777777" w:rsidR="00F94B08" w:rsidRPr="009F6F92" w:rsidRDefault="00F94B08" w:rsidP="00F94B08">
      <w:pPr>
        <w:pStyle w:val="Default"/>
        <w:suppressAutoHyphens/>
        <w:spacing w:before="0" w:after="240" w:line="240" w:lineRule="auto"/>
        <w:rPr>
          <w:rFonts w:ascii="Times New Roman" w:eastAsia="Times Roman" w:hAnsi="Times New Roman" w:cs="Times New Roman"/>
        </w:rPr>
      </w:pPr>
    </w:p>
    <w:p w14:paraId="63F81435" w14:textId="77777777" w:rsidR="006667FF" w:rsidRPr="00CA12F1" w:rsidRDefault="00000000">
      <w:pPr>
        <w:pStyle w:val="Default"/>
        <w:suppressAutoHyphens/>
        <w:spacing w:before="0" w:after="319" w:line="240" w:lineRule="auto"/>
        <w:rPr>
          <w:rStyle w:val="SubtleReference"/>
        </w:rPr>
      </w:pPr>
      <w:r w:rsidRPr="00CA12F1">
        <w:rPr>
          <w:rStyle w:val="SubtleReference"/>
        </w:rPr>
        <w:t>Connection to Global IT Trends</w:t>
      </w:r>
    </w:p>
    <w:p w14:paraId="3F2C2413" w14:textId="18CFB54C" w:rsidR="006667FF" w:rsidRDefault="00000000" w:rsidP="00A07C0B">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entire solution aligns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with the global IT trend </w:t>
      </w:r>
      <w:r w:rsidR="00A07C0B">
        <w:rPr>
          <w:rFonts w:ascii="Times New Roman" w:hAnsi="Times New Roman" w:cs="Times New Roman"/>
        </w:rPr>
        <w:t>related to data integration</w:t>
      </w:r>
      <w:r w:rsidR="009D3BAA">
        <w:rPr>
          <w:rFonts w:ascii="Times New Roman" w:hAnsi="Times New Roman" w:cs="Times New Roman"/>
        </w:rPr>
        <w:t xml:space="preserve"> via</w:t>
      </w:r>
      <w:r w:rsidRPr="009F6F92">
        <w:rPr>
          <w:rFonts w:ascii="Times New Roman" w:hAnsi="Times New Roman" w:cs="Times New Roman"/>
        </w:rPr>
        <w:t xml:space="preserve"> </w:t>
      </w:r>
      <w:r w:rsidR="009D3BAA">
        <w:rPr>
          <w:rFonts w:ascii="Times New Roman" w:hAnsi="Times New Roman" w:cs="Times New Roman"/>
          <w:lang w:val="de-DE"/>
        </w:rPr>
        <w:t>r</w:t>
      </w:r>
      <w:r w:rsidRPr="009F6F92">
        <w:rPr>
          <w:rFonts w:ascii="Times New Roman" w:hAnsi="Times New Roman" w:cs="Times New Roman"/>
          <w:lang w:val="de-DE"/>
        </w:rPr>
        <w:t>eal-</w:t>
      </w:r>
      <w:r w:rsidR="009D3BAA">
        <w:rPr>
          <w:rFonts w:ascii="Times New Roman" w:hAnsi="Times New Roman" w:cs="Times New Roman"/>
          <w:lang w:val="de-DE"/>
        </w:rPr>
        <w:t>t</w:t>
      </w:r>
      <w:r w:rsidRPr="009F6F92">
        <w:rPr>
          <w:rFonts w:ascii="Times New Roman" w:hAnsi="Times New Roman" w:cs="Times New Roman"/>
          <w:lang w:val="de-DE"/>
        </w:rPr>
        <w:t xml:space="preserve">ime </w:t>
      </w:r>
      <w:r w:rsidR="009D3BAA">
        <w:rPr>
          <w:rFonts w:ascii="Times New Roman" w:hAnsi="Times New Roman" w:cs="Times New Roman"/>
          <w:lang w:val="de-DE"/>
        </w:rPr>
        <w:t>d</w:t>
      </w:r>
      <w:r w:rsidRPr="009F6F92">
        <w:rPr>
          <w:rFonts w:ascii="Times New Roman" w:hAnsi="Times New Roman" w:cs="Times New Roman"/>
          <w:lang w:val="de-DE"/>
        </w:rPr>
        <w:t xml:space="preserve">ata </w:t>
      </w:r>
      <w:r w:rsidR="009D3BAA">
        <w:rPr>
          <w:rFonts w:ascii="Times New Roman" w:hAnsi="Times New Roman" w:cs="Times New Roman"/>
          <w:lang w:val="de-DE"/>
        </w:rPr>
        <w:t>e</w:t>
      </w:r>
      <w:r w:rsidRPr="009F6F92">
        <w:rPr>
          <w:rFonts w:ascii="Times New Roman" w:hAnsi="Times New Roman" w:cs="Times New Roman"/>
          <w:lang w:val="de-DE"/>
        </w:rPr>
        <w:t>cosystems</w:t>
      </w:r>
      <w:r w:rsidRPr="009F6F92">
        <w:rPr>
          <w:rFonts w:ascii="Times New Roman" w:hAnsi="Times New Roman" w:cs="Times New Roman"/>
        </w:rPr>
        <w:t xml:space="preserve">. </w:t>
      </w:r>
      <w:r w:rsidR="009D3BAA">
        <w:rPr>
          <w:rFonts w:ascii="Times New Roman" w:hAnsi="Times New Roman" w:cs="Times New Roman"/>
        </w:rPr>
        <w:t xml:space="preserve">While </w:t>
      </w:r>
      <w:r w:rsidR="001D088D">
        <w:rPr>
          <w:rFonts w:ascii="Times New Roman" w:hAnsi="Times New Roman" w:cs="Times New Roman"/>
        </w:rPr>
        <w:t xml:space="preserve">this project’s data needs are </w:t>
      </w:r>
      <w:r w:rsidR="009D3BAA">
        <w:rPr>
          <w:rFonts w:ascii="Times New Roman" w:hAnsi="Times New Roman" w:cs="Times New Roman"/>
        </w:rPr>
        <w:t>not truly real-time, the</w:t>
      </w:r>
      <w:r w:rsidRPr="009F6F92">
        <w:rPr>
          <w:rFonts w:ascii="Times New Roman" w:hAnsi="Times New Roman" w:cs="Times New Roman"/>
        </w:rPr>
        <w:t xml:space="preserve"> implementation of a dedicated API layer is a necessary step towards building a modern, integrated </w:t>
      </w:r>
      <w:r w:rsidR="009D3BAA">
        <w:rPr>
          <w:rFonts w:ascii="Times New Roman" w:hAnsi="Times New Roman" w:cs="Times New Roman"/>
        </w:rPr>
        <w:t>e</w:t>
      </w:r>
      <w:r w:rsidRPr="009F6F92">
        <w:rPr>
          <w:rFonts w:ascii="Times New Roman" w:hAnsi="Times New Roman" w:cs="Times New Roman"/>
        </w:rPr>
        <w:t xml:space="preserve">nterprise </w:t>
      </w:r>
      <w:r w:rsidR="009D3BAA">
        <w:rPr>
          <w:rFonts w:ascii="Times New Roman" w:hAnsi="Times New Roman" w:cs="Times New Roman"/>
        </w:rPr>
        <w:t>a</w:t>
      </w:r>
      <w:r w:rsidRPr="009F6F92">
        <w:rPr>
          <w:rFonts w:ascii="Times New Roman" w:hAnsi="Times New Roman" w:cs="Times New Roman"/>
        </w:rPr>
        <w:t xml:space="preserve">rchitecture. </w:t>
      </w:r>
      <w:r w:rsidR="009D3BAA">
        <w:rPr>
          <w:rFonts w:ascii="Times New Roman" w:hAnsi="Times New Roman" w:cs="Times New Roman"/>
        </w:rPr>
        <w:t xml:space="preserve">In fact, the data retrieved from the student administration system can be leveraged for several purposes other than the cost calculator, which, over time, </w:t>
      </w:r>
      <w:r w:rsidR="009D3BAA">
        <w:rPr>
          <w:rFonts w:ascii="Times New Roman" w:hAnsi="Times New Roman" w:cs="Times New Roman"/>
        </w:rPr>
        <w:lastRenderedPageBreak/>
        <w:t xml:space="preserve">will form the foundation of </w:t>
      </w:r>
      <w:r w:rsidR="00EF666D">
        <w:rPr>
          <w:rFonts w:ascii="Times New Roman" w:hAnsi="Times New Roman" w:cs="Times New Roman"/>
        </w:rPr>
        <w:t xml:space="preserve">a </w:t>
      </w:r>
      <w:r w:rsidR="009D3BAA">
        <w:rPr>
          <w:rFonts w:ascii="Times New Roman" w:hAnsi="Times New Roman" w:cs="Times New Roman"/>
        </w:rPr>
        <w:t>larger-scale integration effort</w:t>
      </w:r>
      <w:r w:rsidR="00EF666D">
        <w:rPr>
          <w:rFonts w:ascii="Times New Roman" w:hAnsi="Times New Roman" w:cs="Times New Roman"/>
        </w:rPr>
        <w:t xml:space="preserve"> that has the potential to result in substantial cost savings while bringing the websites into alignment with larger IT trends</w:t>
      </w:r>
      <w:r w:rsidR="009D3BAA">
        <w:rPr>
          <w:rFonts w:ascii="Times New Roman" w:hAnsi="Times New Roman" w:cs="Times New Roman"/>
        </w:rPr>
        <w:t xml:space="preserve">. </w:t>
      </w:r>
      <w:r w:rsidRPr="009F6F92">
        <w:rPr>
          <w:rFonts w:ascii="Times New Roman" w:hAnsi="Times New Roman" w:cs="Times New Roman"/>
        </w:rPr>
        <w:t>This strategic move away from outdated</w:t>
      </w:r>
      <w:r w:rsidR="009D3BAA">
        <w:rPr>
          <w:rFonts w:ascii="Times New Roman" w:hAnsi="Times New Roman" w:cs="Times New Roman"/>
        </w:rPr>
        <w:t xml:space="preserve">, </w:t>
      </w:r>
      <w:r w:rsidRPr="009F6F92">
        <w:rPr>
          <w:rFonts w:ascii="Times New Roman" w:hAnsi="Times New Roman" w:cs="Times New Roman"/>
        </w:rPr>
        <w:t xml:space="preserve">manual processes towards secure, instantaneous data calls is mandatory for competing in the higher education industry, where prospective students expect the same accurate data seen in the financial services or e-commerce sectors. </w:t>
      </w:r>
      <w:proofErr w:type="spellStart"/>
      <w:r w:rsidR="00EF666D">
        <w:rPr>
          <w:rFonts w:ascii="Times New Roman" w:hAnsi="Times New Roman" w:cs="Times New Roman"/>
        </w:rPr>
        <w:t>Arborwood</w:t>
      </w:r>
      <w:proofErr w:type="spellEnd"/>
      <w:r w:rsidR="00EF666D">
        <w:rPr>
          <w:rFonts w:ascii="Times New Roman" w:hAnsi="Times New Roman" w:cs="Times New Roman"/>
        </w:rPr>
        <w:t xml:space="preserve"> is well-served by recognizing that American consumers have come to place a great deal of value in information that is easy to consume, relevant to their needs, and personalized to their requirements. </w:t>
      </w:r>
      <w:r w:rsidR="00CA12F1">
        <w:rPr>
          <w:rFonts w:ascii="Times New Roman" w:hAnsi="Times New Roman" w:cs="Times New Roman"/>
        </w:rPr>
        <w:t>Lastly, the</w:t>
      </w:r>
      <w:r w:rsidRPr="009F6F92">
        <w:rPr>
          <w:rFonts w:ascii="Times New Roman" w:hAnsi="Times New Roman" w:cs="Times New Roman"/>
        </w:rPr>
        <w:t xml:space="preserve"> adoption of a </w:t>
      </w:r>
      <w:r w:rsidR="009D3BAA">
        <w:rPr>
          <w:rFonts w:ascii="Times New Roman" w:hAnsi="Times New Roman" w:cs="Times New Roman"/>
        </w:rPr>
        <w:t>c</w:t>
      </w:r>
      <w:r w:rsidRPr="009F6F92">
        <w:rPr>
          <w:rFonts w:ascii="Times New Roman" w:hAnsi="Times New Roman" w:cs="Times New Roman"/>
        </w:rPr>
        <w:t>loud-</w:t>
      </w:r>
      <w:r w:rsidR="009D3BAA">
        <w:rPr>
          <w:rFonts w:ascii="Times New Roman" w:hAnsi="Times New Roman" w:cs="Times New Roman"/>
        </w:rPr>
        <w:t>n</w:t>
      </w:r>
      <w:r w:rsidRPr="009F6F92">
        <w:rPr>
          <w:rFonts w:ascii="Times New Roman" w:hAnsi="Times New Roman" w:cs="Times New Roman"/>
        </w:rPr>
        <w:t xml:space="preserve">ative approach to data integration </w:t>
      </w:r>
      <w:r w:rsidR="009D3BAA">
        <w:rPr>
          <w:rFonts w:ascii="Times New Roman" w:hAnsi="Times New Roman" w:cs="Times New Roman"/>
        </w:rPr>
        <w:t>is fully aligned with the University’s larger cloud migration strategy and automation initiatives</w:t>
      </w:r>
      <w:r w:rsidR="00CA12F1">
        <w:rPr>
          <w:rFonts w:ascii="Times New Roman" w:hAnsi="Times New Roman" w:cs="Times New Roman"/>
        </w:rPr>
        <w:t>, which have been ongoing for several years</w:t>
      </w:r>
      <w:r w:rsidR="009D3BAA">
        <w:rPr>
          <w:rFonts w:ascii="Times New Roman" w:hAnsi="Times New Roman" w:cs="Times New Roman"/>
        </w:rPr>
        <w:t>.</w:t>
      </w:r>
    </w:p>
    <w:p w14:paraId="5797881B" w14:textId="77777777" w:rsidR="005D7090" w:rsidRPr="00F94B08" w:rsidRDefault="005D7090" w:rsidP="005D7090">
      <w:pPr>
        <w:pStyle w:val="Default"/>
        <w:suppressAutoHyphens/>
        <w:spacing w:before="0" w:after="281" w:line="240" w:lineRule="auto"/>
        <w:rPr>
          <w:rStyle w:val="SubtleReference"/>
        </w:rPr>
      </w:pPr>
      <w:r w:rsidRPr="00F94B08">
        <w:rPr>
          <w:rStyle w:val="SubtleReference"/>
        </w:rPr>
        <w:t>Risk Analysis and Minimization</w:t>
      </w:r>
    </w:p>
    <w:p w14:paraId="6B4D6027" w14:textId="77777777" w:rsidR="005D7090" w:rsidRPr="009F6F92" w:rsidRDefault="005D7090" w:rsidP="005D7090">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The project, while essential, carries specific implementation risks that must be systematically managed through proactive mitigation strategies.</w:t>
      </w:r>
    </w:p>
    <w:p w14:paraId="126EAB09" w14:textId="77777777" w:rsidR="005D7090" w:rsidRPr="009F6F92" w:rsidRDefault="005D7090" w:rsidP="005D7090">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One risk </w:t>
      </w:r>
      <w:r>
        <w:rPr>
          <w:rFonts w:ascii="Times New Roman" w:hAnsi="Times New Roman" w:cs="Times New Roman"/>
        </w:rPr>
        <w:t>relates to the availability of subject matter experts (</w:t>
      </w:r>
      <w:r w:rsidRPr="009F6F92">
        <w:rPr>
          <w:rFonts w:ascii="Times New Roman" w:hAnsi="Times New Roman" w:cs="Times New Roman"/>
        </w:rPr>
        <w:t>SME</w:t>
      </w:r>
      <w:r>
        <w:rPr>
          <w:rFonts w:ascii="Times New Roman" w:hAnsi="Times New Roman" w:cs="Times New Roman"/>
        </w:rPr>
        <w:t>s).</w:t>
      </w:r>
      <w:r w:rsidRPr="009F6F92">
        <w:rPr>
          <w:rFonts w:ascii="Times New Roman" w:hAnsi="Times New Roman" w:cs="Times New Roman"/>
        </w:rPr>
        <w:t xml:space="preserve"> </w:t>
      </w:r>
      <w:r>
        <w:rPr>
          <w:rFonts w:ascii="Times New Roman" w:hAnsi="Times New Roman" w:cs="Times New Roman"/>
        </w:rPr>
        <w:t>T</w:t>
      </w:r>
      <w:r w:rsidRPr="009F6F92">
        <w:rPr>
          <w:rFonts w:ascii="Times New Roman" w:hAnsi="Times New Roman" w:cs="Times New Roman"/>
        </w:rPr>
        <w:t xml:space="preserve">he project is dependent on the time and availability of SMEs from the </w:t>
      </w:r>
      <w:r>
        <w:rPr>
          <w:rFonts w:ascii="Times New Roman" w:hAnsi="Times New Roman" w:cs="Times New Roman"/>
        </w:rPr>
        <w:t>s</w:t>
      </w:r>
      <w:r w:rsidRPr="009F6F92">
        <w:rPr>
          <w:rFonts w:ascii="Times New Roman" w:hAnsi="Times New Roman" w:cs="Times New Roman"/>
        </w:rPr>
        <w:t xml:space="preserve">tudent </w:t>
      </w:r>
      <w:r>
        <w:rPr>
          <w:rFonts w:ascii="Times New Roman" w:hAnsi="Times New Roman" w:cs="Times New Roman"/>
        </w:rPr>
        <w:t>a</w:t>
      </w:r>
      <w:r w:rsidRPr="009F6F92">
        <w:rPr>
          <w:rFonts w:ascii="Times New Roman" w:hAnsi="Times New Roman" w:cs="Times New Roman"/>
        </w:rPr>
        <w:t>dministration</w:t>
      </w:r>
      <w:r>
        <w:rPr>
          <w:rFonts w:ascii="Times New Roman" w:hAnsi="Times New Roman" w:cs="Times New Roman"/>
        </w:rPr>
        <w:t xml:space="preserve"> system development</w:t>
      </w:r>
      <w:r w:rsidRPr="009F6F92">
        <w:rPr>
          <w:rFonts w:ascii="Times New Roman" w:hAnsi="Times New Roman" w:cs="Times New Roman"/>
        </w:rPr>
        <w:t xml:space="preserve"> team for defining and validating the precise API endpoints. If these resources are denied, data integrity will be compromised. The strategy to minimize this involves </w:t>
      </w:r>
      <w:r>
        <w:rPr>
          <w:rFonts w:ascii="Times New Roman" w:hAnsi="Times New Roman" w:cs="Times New Roman"/>
        </w:rPr>
        <w:t>e</w:t>
      </w:r>
      <w:r w:rsidRPr="009F6F92">
        <w:rPr>
          <w:rFonts w:ascii="Times New Roman" w:hAnsi="Times New Roman" w:cs="Times New Roman"/>
        </w:rPr>
        <w:t xml:space="preserve">xecutive </w:t>
      </w:r>
      <w:r>
        <w:rPr>
          <w:rFonts w:ascii="Times New Roman" w:hAnsi="Times New Roman" w:cs="Times New Roman"/>
        </w:rPr>
        <w:t>s</w:t>
      </w:r>
      <w:r w:rsidRPr="009F6F92">
        <w:rPr>
          <w:rFonts w:ascii="Times New Roman" w:hAnsi="Times New Roman" w:cs="Times New Roman"/>
        </w:rPr>
        <w:t xml:space="preserve">ponsorship and </w:t>
      </w:r>
      <w:r>
        <w:rPr>
          <w:rFonts w:ascii="Times New Roman" w:hAnsi="Times New Roman" w:cs="Times New Roman"/>
        </w:rPr>
        <w:t>a</w:t>
      </w:r>
      <w:r w:rsidRPr="009F6F92">
        <w:rPr>
          <w:rFonts w:ascii="Times New Roman" w:hAnsi="Times New Roman" w:cs="Times New Roman"/>
        </w:rPr>
        <w:t xml:space="preserve">llocation, securing formal executive </w:t>
      </w:r>
      <w:r>
        <w:rPr>
          <w:rFonts w:ascii="Times New Roman" w:hAnsi="Times New Roman" w:cs="Times New Roman"/>
        </w:rPr>
        <w:t xml:space="preserve">approval </w:t>
      </w:r>
      <w:r w:rsidRPr="009F6F92">
        <w:rPr>
          <w:rFonts w:ascii="Times New Roman" w:hAnsi="Times New Roman" w:cs="Times New Roman"/>
        </w:rPr>
        <w:t>for dedicated SME bandwidth, with this risk being monitored weekly in the Project Steering Committee.</w:t>
      </w:r>
    </w:p>
    <w:p w14:paraId="3AA43D47" w14:textId="77777777" w:rsidR="005D7090" w:rsidRPr="009F6F92" w:rsidRDefault="005D7090" w:rsidP="005D7090">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A second major risk is </w:t>
      </w:r>
      <w:r>
        <w:rPr>
          <w:rFonts w:ascii="Times New Roman" w:hAnsi="Times New Roman" w:cs="Times New Roman"/>
        </w:rPr>
        <w:t>d</w:t>
      </w:r>
      <w:r w:rsidRPr="009F6F92">
        <w:rPr>
          <w:rFonts w:ascii="Times New Roman" w:hAnsi="Times New Roman" w:cs="Times New Roman"/>
        </w:rPr>
        <w:t xml:space="preserve">ata </w:t>
      </w:r>
      <w:r>
        <w:rPr>
          <w:rFonts w:ascii="Times New Roman" w:hAnsi="Times New Roman" w:cs="Times New Roman"/>
        </w:rPr>
        <w:t>i</w:t>
      </w:r>
      <w:r w:rsidRPr="009F6F92">
        <w:rPr>
          <w:rFonts w:ascii="Times New Roman" w:hAnsi="Times New Roman" w:cs="Times New Roman"/>
        </w:rPr>
        <w:t xml:space="preserve">ntegrity </w:t>
      </w:r>
      <w:r>
        <w:rPr>
          <w:rFonts w:ascii="Times New Roman" w:hAnsi="Times New Roman" w:cs="Times New Roman"/>
        </w:rPr>
        <w:t>f</w:t>
      </w:r>
      <w:r w:rsidRPr="009F6F92">
        <w:rPr>
          <w:rFonts w:ascii="Times New Roman" w:hAnsi="Times New Roman" w:cs="Times New Roman"/>
        </w:rPr>
        <w:t xml:space="preserve">ailure, where the API is incorrectly coded, leading to inaccurate data, which </w:t>
      </w:r>
      <w:r>
        <w:rPr>
          <w:rFonts w:ascii="Times New Roman" w:hAnsi="Times New Roman" w:cs="Times New Roman"/>
        </w:rPr>
        <w:t>c</w:t>
      </w:r>
      <w:r w:rsidRPr="009F6F92">
        <w:rPr>
          <w:rFonts w:ascii="Times New Roman" w:hAnsi="Times New Roman" w:cs="Times New Roman"/>
        </w:rPr>
        <w:t>ould result in regulatory violation</w:t>
      </w:r>
      <w:r>
        <w:rPr>
          <w:rFonts w:ascii="Times New Roman" w:hAnsi="Times New Roman" w:cs="Times New Roman"/>
        </w:rPr>
        <w:t>s</w:t>
      </w:r>
      <w:r w:rsidRPr="009F6F92">
        <w:rPr>
          <w:rFonts w:ascii="Times New Roman" w:hAnsi="Times New Roman" w:cs="Times New Roman"/>
        </w:rPr>
        <w:t xml:space="preserve">. This is minimized through the </w:t>
      </w:r>
      <w:r>
        <w:rPr>
          <w:rFonts w:ascii="Times New Roman" w:hAnsi="Times New Roman" w:cs="Times New Roman"/>
        </w:rPr>
        <w:t>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 xml:space="preserve">ateway </w:t>
      </w:r>
      <w:r>
        <w:rPr>
          <w:rFonts w:ascii="Times New Roman" w:hAnsi="Times New Roman" w:cs="Times New Roman"/>
        </w:rPr>
        <w:t>approval</w:t>
      </w:r>
      <w:r w:rsidRPr="009F6F92">
        <w:rPr>
          <w:rFonts w:ascii="Times New Roman" w:hAnsi="Times New Roman" w:cs="Times New Roman"/>
        </w:rPr>
        <w:t xml:space="preserve">, which mandates final legal and IT validation of all calculation use cases and data mappings </w:t>
      </w:r>
      <w:r w:rsidRPr="009F6F92">
        <w:rPr>
          <w:rFonts w:ascii="Times New Roman" w:hAnsi="Times New Roman" w:cs="Times New Roman"/>
          <w:i/>
          <w:iCs/>
        </w:rPr>
        <w:t>before</w:t>
      </w:r>
      <w:r w:rsidRPr="009F6F92">
        <w:rPr>
          <w:rFonts w:ascii="Times New Roman" w:hAnsi="Times New Roman" w:cs="Times New Roman"/>
        </w:rPr>
        <w:t xml:space="preserve"> </w:t>
      </w:r>
      <w:r>
        <w:rPr>
          <w:rFonts w:ascii="Times New Roman" w:hAnsi="Times New Roman" w:cs="Times New Roman"/>
        </w:rPr>
        <w:t>development</w:t>
      </w:r>
      <w:r w:rsidRPr="009F6F92">
        <w:rPr>
          <w:rFonts w:ascii="Times New Roman" w:hAnsi="Times New Roman" w:cs="Times New Roman"/>
        </w:rPr>
        <w:t>. Furthermore, automated unit and integration testing of the API will be implemented to ensure 100% data fidelity against source systems.</w:t>
      </w:r>
    </w:p>
    <w:p w14:paraId="49CFB1CC" w14:textId="77777777" w:rsidR="005D7090" w:rsidRPr="009F6F92" w:rsidRDefault="005D7090" w:rsidP="005D7090">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Finally, there is the risk of </w:t>
      </w:r>
      <w:r>
        <w:rPr>
          <w:rFonts w:ascii="Times New Roman" w:hAnsi="Times New Roman" w:cs="Times New Roman"/>
        </w:rPr>
        <w:t>l</w:t>
      </w:r>
      <w:r w:rsidRPr="009F6F92">
        <w:rPr>
          <w:rFonts w:ascii="Times New Roman" w:hAnsi="Times New Roman" w:cs="Times New Roman"/>
        </w:rPr>
        <w:t xml:space="preserve">egacy </w:t>
      </w:r>
      <w:r>
        <w:rPr>
          <w:rFonts w:ascii="Times New Roman" w:hAnsi="Times New Roman" w:cs="Times New Roman"/>
        </w:rPr>
        <w:t>s</w:t>
      </w:r>
      <w:r w:rsidRPr="009F6F92">
        <w:rPr>
          <w:rFonts w:ascii="Times New Roman" w:hAnsi="Times New Roman" w:cs="Times New Roman"/>
        </w:rPr>
        <w:t xml:space="preserve">ystem </w:t>
      </w:r>
      <w:r>
        <w:rPr>
          <w:rFonts w:ascii="Times New Roman" w:hAnsi="Times New Roman" w:cs="Times New Roman"/>
        </w:rPr>
        <w:t>d</w:t>
      </w:r>
      <w:r w:rsidRPr="009F6F92">
        <w:rPr>
          <w:rFonts w:ascii="Times New Roman" w:hAnsi="Times New Roman" w:cs="Times New Roman"/>
        </w:rPr>
        <w:t xml:space="preserve">ependency, where the API's success relies on the stability and availability of the legacy </w:t>
      </w:r>
      <w:r>
        <w:rPr>
          <w:rFonts w:ascii="Times New Roman" w:hAnsi="Times New Roman" w:cs="Times New Roman"/>
        </w:rPr>
        <w:t>administrative system</w:t>
      </w:r>
      <w:r w:rsidRPr="009F6F92">
        <w:rPr>
          <w:rFonts w:ascii="Times New Roman" w:hAnsi="Times New Roman" w:cs="Times New Roman"/>
        </w:rPr>
        <w:t xml:space="preserve">. This must be addressed by formalizing </w:t>
      </w:r>
      <w:r>
        <w:rPr>
          <w:rFonts w:ascii="Times New Roman" w:hAnsi="Times New Roman" w:cs="Times New Roman"/>
        </w:rPr>
        <w:t>c</w:t>
      </w:r>
      <w:r w:rsidRPr="009F6F92">
        <w:rPr>
          <w:rFonts w:ascii="Times New Roman" w:hAnsi="Times New Roman" w:cs="Times New Roman"/>
        </w:rPr>
        <w:t>ontractual</w:t>
      </w:r>
      <w:r>
        <w:rPr>
          <w:rFonts w:ascii="Times New Roman" w:hAnsi="Times New Roman" w:cs="Times New Roman"/>
        </w:rPr>
        <w:t xml:space="preserve"> s</w:t>
      </w:r>
      <w:r w:rsidRPr="009F6F92">
        <w:rPr>
          <w:rFonts w:ascii="Times New Roman" w:hAnsi="Times New Roman" w:cs="Times New Roman"/>
        </w:rPr>
        <w:t xml:space="preserve">ervice </w:t>
      </w:r>
      <w:r>
        <w:rPr>
          <w:rFonts w:ascii="Times New Roman" w:hAnsi="Times New Roman" w:cs="Times New Roman"/>
        </w:rPr>
        <w:t>l</w:t>
      </w:r>
      <w:r w:rsidRPr="009F6F92">
        <w:rPr>
          <w:rFonts w:ascii="Times New Roman" w:hAnsi="Times New Roman" w:cs="Times New Roman"/>
        </w:rPr>
        <w:t xml:space="preserve">evel </w:t>
      </w:r>
      <w:r>
        <w:rPr>
          <w:rFonts w:ascii="Times New Roman" w:hAnsi="Times New Roman" w:cs="Times New Roman"/>
        </w:rPr>
        <w:t>a</w:t>
      </w:r>
      <w:r w:rsidRPr="009F6F92">
        <w:rPr>
          <w:rFonts w:ascii="Times New Roman" w:hAnsi="Times New Roman" w:cs="Times New Roman"/>
        </w:rPr>
        <w:t xml:space="preserve">greements with the </w:t>
      </w:r>
      <w:r>
        <w:rPr>
          <w:rFonts w:ascii="Times New Roman" w:hAnsi="Times New Roman" w:cs="Times New Roman"/>
        </w:rPr>
        <w:t>administrative system’s</w:t>
      </w:r>
      <w:r w:rsidRPr="009F6F92">
        <w:rPr>
          <w:rFonts w:ascii="Times New Roman" w:hAnsi="Times New Roman" w:cs="Times New Roman"/>
        </w:rPr>
        <w:t xml:space="preserve"> operations team to guarantee minimum API uptime.</w:t>
      </w:r>
      <w:r>
        <w:rPr>
          <w:rFonts w:ascii="Times New Roman" w:hAnsi="Times New Roman" w:cs="Times New Roman"/>
        </w:rPr>
        <w:t xml:space="preserve"> Although data fetch will not happen in real time, marketing will have the ability and authority to initiate it at any time of their choosing, and thus the SLA must ensure data availability as if the call were made in real time.</w:t>
      </w:r>
      <w:r w:rsidRPr="009F6F92">
        <w:rPr>
          <w:rFonts w:ascii="Times New Roman" w:hAnsi="Times New Roman" w:cs="Times New Roman"/>
        </w:rPr>
        <w:t xml:space="preserve"> </w:t>
      </w:r>
    </w:p>
    <w:p w14:paraId="3FE4B341" w14:textId="77777777" w:rsidR="005D7090" w:rsidRDefault="005D7090" w:rsidP="005D7090">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This systemic approach ensures that the project</w:t>
      </w:r>
      <w:r w:rsidRPr="009F6F92">
        <w:rPr>
          <w:rFonts w:ascii="Times New Roman" w:hAnsi="Times New Roman" w:cs="Times New Roman"/>
          <w:rtl/>
        </w:rPr>
        <w:t>’</w:t>
      </w:r>
      <w:r w:rsidRPr="009F6F92">
        <w:rPr>
          <w:rFonts w:ascii="Times New Roman" w:hAnsi="Times New Roman" w:cs="Times New Roman"/>
        </w:rPr>
        <w:t>s high-level risk of regulatory non-compliance is broken down into manageable technical and governance risks, each addressed by a specific, proactive mitigation strategy.</w:t>
      </w:r>
    </w:p>
    <w:p w14:paraId="76E1B84F" w14:textId="77777777" w:rsidR="005D7090" w:rsidRPr="00F94B08" w:rsidRDefault="005D7090" w:rsidP="005D7090">
      <w:pPr>
        <w:pStyle w:val="Default"/>
        <w:suppressAutoHyphens/>
        <w:spacing w:before="0" w:after="240" w:line="240" w:lineRule="auto"/>
        <w:rPr>
          <w:rStyle w:val="SubtleReference"/>
        </w:rPr>
      </w:pPr>
      <w:r w:rsidRPr="00F94B08">
        <w:rPr>
          <w:rStyle w:val="SubtleReference"/>
        </w:rPr>
        <w:t>Risk Matrix</w:t>
      </w:r>
    </w:p>
    <w:tbl>
      <w:tblPr>
        <w:tblStyle w:val="TableGrid"/>
        <w:tblW w:w="0" w:type="auto"/>
        <w:tblLook w:val="04A0" w:firstRow="1" w:lastRow="0" w:firstColumn="1" w:lastColumn="0" w:noHBand="0" w:noVBand="1"/>
      </w:tblPr>
      <w:tblGrid>
        <w:gridCol w:w="939"/>
        <w:gridCol w:w="2299"/>
        <w:gridCol w:w="1686"/>
        <w:gridCol w:w="1191"/>
        <w:gridCol w:w="1080"/>
        <w:gridCol w:w="2155"/>
      </w:tblGrid>
      <w:tr w:rsidR="005D7090" w14:paraId="1B2BF717" w14:textId="77777777" w:rsidTr="00CF67D6">
        <w:trPr>
          <w:tblHeader/>
        </w:trPr>
        <w:tc>
          <w:tcPr>
            <w:tcW w:w="939" w:type="dxa"/>
            <w:shd w:val="clear" w:color="auto" w:fill="CCECFF" w:themeFill="accent1" w:themeFillTint="33"/>
          </w:tcPr>
          <w:p w14:paraId="4C68962D"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Risk ID</w:t>
            </w:r>
          </w:p>
        </w:tc>
        <w:tc>
          <w:tcPr>
            <w:tcW w:w="2299" w:type="dxa"/>
            <w:shd w:val="clear" w:color="auto" w:fill="CCECFF" w:themeFill="accent1" w:themeFillTint="33"/>
          </w:tcPr>
          <w:p w14:paraId="63561057"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Risk Description</w:t>
            </w:r>
          </w:p>
        </w:tc>
        <w:tc>
          <w:tcPr>
            <w:tcW w:w="1686" w:type="dxa"/>
            <w:shd w:val="clear" w:color="auto" w:fill="CCECFF" w:themeFill="accent1" w:themeFillTint="33"/>
          </w:tcPr>
          <w:p w14:paraId="77BDCB32"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Probability (P)</w:t>
            </w:r>
          </w:p>
        </w:tc>
        <w:tc>
          <w:tcPr>
            <w:tcW w:w="1191" w:type="dxa"/>
            <w:shd w:val="clear" w:color="auto" w:fill="CCECFF" w:themeFill="accent1" w:themeFillTint="33"/>
          </w:tcPr>
          <w:p w14:paraId="47292517"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Impact (I)</w:t>
            </w:r>
          </w:p>
        </w:tc>
        <w:tc>
          <w:tcPr>
            <w:tcW w:w="1080" w:type="dxa"/>
            <w:shd w:val="clear" w:color="auto" w:fill="CCECFF" w:themeFill="accent1" w:themeFillTint="33"/>
          </w:tcPr>
          <w:p w14:paraId="1080BACD" w14:textId="77777777" w:rsidR="005D7090" w:rsidRPr="00FC348B" w:rsidRDefault="005D7090" w:rsidP="00CF67D6">
            <w:r w:rsidRPr="00FC348B">
              <w:t>Score</w:t>
            </w:r>
          </w:p>
          <w:p w14:paraId="358AFCFA" w14:textId="77777777" w:rsidR="005D7090" w:rsidRPr="00FC348B" w:rsidRDefault="005D7090" w:rsidP="00CF67D6">
            <w:pPr>
              <w:rPr>
                <w:rFonts w:eastAsia="Times Roman"/>
              </w:rPr>
            </w:pPr>
            <w:r w:rsidRPr="00FC348B">
              <w:t>(P x I)</w:t>
            </w:r>
          </w:p>
        </w:tc>
        <w:tc>
          <w:tcPr>
            <w:tcW w:w="2155" w:type="dxa"/>
            <w:shd w:val="clear" w:color="auto" w:fill="CCECFF" w:themeFill="accent1" w:themeFillTint="33"/>
          </w:tcPr>
          <w:p w14:paraId="3017C6A2"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hAnsi="Times New Roman" w:cs="Times New Roman"/>
              </w:rPr>
            </w:pPr>
            <w:r>
              <w:rPr>
                <w:rFonts w:ascii="Times New Roman" w:hAnsi="Times New Roman" w:cs="Times New Roman"/>
              </w:rPr>
              <w:t>Mitigation Strategy</w:t>
            </w:r>
          </w:p>
        </w:tc>
      </w:tr>
      <w:tr w:rsidR="005D7090" w14:paraId="0180C995" w14:textId="77777777" w:rsidTr="00CF67D6">
        <w:tc>
          <w:tcPr>
            <w:tcW w:w="939" w:type="dxa"/>
          </w:tcPr>
          <w:p w14:paraId="00B2F6B7"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R-01</w:t>
            </w:r>
          </w:p>
        </w:tc>
        <w:tc>
          <w:tcPr>
            <w:tcW w:w="2299" w:type="dxa"/>
          </w:tcPr>
          <w:p w14:paraId="6CAF7749" w14:textId="33738541"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SME Resource Constraints.</w:t>
            </w:r>
            <w:r w:rsidRPr="00FC348B">
              <w:rPr>
                <w:rFonts w:ascii="Times New Roman" w:eastAsia="Times Roman" w:hAnsi="Times New Roman" w:cs="Times New Roman"/>
              </w:rPr>
              <w:br/>
            </w:r>
            <w:r w:rsidRPr="00FC348B">
              <w:rPr>
                <w:rFonts w:ascii="Times New Roman" w:eastAsia="Times Roman" w:hAnsi="Times New Roman" w:cs="Times New Roman"/>
              </w:rPr>
              <w:lastRenderedPageBreak/>
              <w:t>Subject Matter Expert</w:t>
            </w:r>
            <w:r w:rsidR="00842124">
              <w:rPr>
                <w:rFonts w:ascii="Times New Roman" w:eastAsia="Times Roman" w:hAnsi="Times New Roman" w:cs="Times New Roman"/>
              </w:rPr>
              <w:t xml:space="preserve"> Availability.</w:t>
            </w:r>
            <w:r w:rsidR="00842124">
              <w:rPr>
                <w:rFonts w:ascii="Times New Roman" w:eastAsia="Times Roman" w:hAnsi="Times New Roman" w:cs="Times New Roman"/>
              </w:rPr>
              <w:br/>
            </w:r>
            <w:r w:rsidR="00842124">
              <w:rPr>
                <w:rFonts w:ascii="Times New Roman" w:eastAsia="Times Roman" w:hAnsi="Times New Roman" w:cs="Times New Roman"/>
              </w:rPr>
              <w:br/>
              <w:t xml:space="preserve">Resources </w:t>
            </w:r>
            <w:r w:rsidRPr="00FC348B">
              <w:rPr>
                <w:rFonts w:ascii="Times New Roman" w:eastAsia="Times Roman" w:hAnsi="Times New Roman" w:cs="Times New Roman"/>
              </w:rPr>
              <w:t>from the administration system team may be unavailable to dedicate time to support and validate API endpoints.</w:t>
            </w:r>
          </w:p>
        </w:tc>
        <w:tc>
          <w:tcPr>
            <w:tcW w:w="1686" w:type="dxa"/>
          </w:tcPr>
          <w:p w14:paraId="22801D30"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lastRenderedPageBreak/>
              <w:t>High</w:t>
            </w:r>
          </w:p>
        </w:tc>
        <w:tc>
          <w:tcPr>
            <w:tcW w:w="1191" w:type="dxa"/>
          </w:tcPr>
          <w:p w14:paraId="27EC8E95"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High</w:t>
            </w:r>
          </w:p>
        </w:tc>
        <w:tc>
          <w:tcPr>
            <w:tcW w:w="1080" w:type="dxa"/>
          </w:tcPr>
          <w:p w14:paraId="3926C34B"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High</w:t>
            </w:r>
          </w:p>
        </w:tc>
        <w:tc>
          <w:tcPr>
            <w:tcW w:w="2155" w:type="dxa"/>
          </w:tcPr>
          <w:p w14:paraId="1F1EF3EF"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 xml:space="preserve">Secure executive sponsorship </w:t>
            </w:r>
            <w:r>
              <w:rPr>
                <w:rFonts w:ascii="Times New Roman" w:eastAsia="Times Roman" w:hAnsi="Times New Roman" w:cs="Times New Roman"/>
              </w:rPr>
              <w:lastRenderedPageBreak/>
              <w:t>allocating dedicated and protected resources.</w:t>
            </w:r>
          </w:p>
        </w:tc>
      </w:tr>
      <w:tr w:rsidR="005D7090" w14:paraId="6B75CC05" w14:textId="77777777" w:rsidTr="00CF67D6">
        <w:tc>
          <w:tcPr>
            <w:tcW w:w="939" w:type="dxa"/>
          </w:tcPr>
          <w:p w14:paraId="44C1FD9E"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lastRenderedPageBreak/>
              <w:t>R-02</w:t>
            </w:r>
          </w:p>
        </w:tc>
        <w:tc>
          <w:tcPr>
            <w:tcW w:w="2299" w:type="dxa"/>
          </w:tcPr>
          <w:p w14:paraId="612B81D8" w14:textId="109807E5"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Legacy System Dependency.</w:t>
            </w:r>
            <w:r>
              <w:rPr>
                <w:rFonts w:ascii="Times New Roman" w:eastAsia="Times Roman" w:hAnsi="Times New Roman" w:cs="Times New Roman"/>
              </w:rPr>
              <w:br/>
            </w:r>
            <w:r w:rsidR="005D7090">
              <w:rPr>
                <w:rFonts w:ascii="Times New Roman" w:eastAsia="Times Roman" w:hAnsi="Times New Roman" w:cs="Times New Roman"/>
              </w:rPr>
              <w:br/>
              <w:t xml:space="preserve">The new API </w:t>
            </w:r>
            <w:r>
              <w:rPr>
                <w:rFonts w:ascii="Times New Roman" w:eastAsia="Times Roman" w:hAnsi="Times New Roman" w:cs="Times New Roman"/>
              </w:rPr>
              <w:t>is dependent on the availability and integrity of a system outside of the influence of the business stakeholders.</w:t>
            </w:r>
          </w:p>
        </w:tc>
        <w:tc>
          <w:tcPr>
            <w:tcW w:w="1686" w:type="dxa"/>
          </w:tcPr>
          <w:p w14:paraId="5D2132E7" w14:textId="6C9B6F4D"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Low</w:t>
            </w:r>
          </w:p>
        </w:tc>
        <w:tc>
          <w:tcPr>
            <w:tcW w:w="1191" w:type="dxa"/>
          </w:tcPr>
          <w:p w14:paraId="5DAAB649"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1080" w:type="dxa"/>
          </w:tcPr>
          <w:p w14:paraId="791FFDB6" w14:textId="348ED50B"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2155" w:type="dxa"/>
          </w:tcPr>
          <w:p w14:paraId="5B551E3C" w14:textId="3481C4EA"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Establish contractual service level agreements mandating system uptime and change management controls.</w:t>
            </w:r>
          </w:p>
        </w:tc>
      </w:tr>
      <w:tr w:rsidR="005D7090" w14:paraId="079D3C6A" w14:textId="77777777" w:rsidTr="00CF67D6">
        <w:tc>
          <w:tcPr>
            <w:tcW w:w="939" w:type="dxa"/>
          </w:tcPr>
          <w:p w14:paraId="2120CF0F"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R-03</w:t>
            </w:r>
          </w:p>
        </w:tc>
        <w:tc>
          <w:tcPr>
            <w:tcW w:w="2299" w:type="dxa"/>
          </w:tcPr>
          <w:p w14:paraId="36770F70" w14:textId="77777777" w:rsidR="00842124"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Data Integrity Failure.</w:t>
            </w:r>
          </w:p>
          <w:p w14:paraId="02B43404" w14:textId="1C6DAC48" w:rsidR="00842124"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The new API contains faulty logic or data mapping errors, leading to inaccurate calculations.</w:t>
            </w:r>
          </w:p>
        </w:tc>
        <w:tc>
          <w:tcPr>
            <w:tcW w:w="1686" w:type="dxa"/>
          </w:tcPr>
          <w:p w14:paraId="563C2E75" w14:textId="77777777" w:rsidR="005D7090" w:rsidRPr="00FC348B" w:rsidRDefault="005D7090"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1191" w:type="dxa"/>
          </w:tcPr>
          <w:p w14:paraId="5DCF1067" w14:textId="7B1A0A19"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1080" w:type="dxa"/>
          </w:tcPr>
          <w:p w14:paraId="6BB51E5A" w14:textId="002E8EF8"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2155" w:type="dxa"/>
          </w:tcPr>
          <w:p w14:paraId="1E5A41DB" w14:textId="5FC4A92D" w:rsidR="005D7090" w:rsidRPr="00FC348B" w:rsidRDefault="00842124" w:rsidP="00CF67D6">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Enforce the legal and compliance review and approval gate to validate calculations and data accuracy</w:t>
            </w:r>
            <w:r w:rsidR="005D7090">
              <w:rPr>
                <w:rFonts w:ascii="Times New Roman" w:eastAsia="Times Roman" w:hAnsi="Times New Roman" w:cs="Times New Roman"/>
              </w:rPr>
              <w:t>.</w:t>
            </w:r>
            <w:r>
              <w:rPr>
                <w:rFonts w:ascii="Times New Roman" w:eastAsia="Times Roman" w:hAnsi="Times New Roman" w:cs="Times New Roman"/>
              </w:rPr>
              <w:t xml:space="preserve"> Automate all unit and integration testing with robust development of detailed use case-driven test cases.</w:t>
            </w:r>
          </w:p>
        </w:tc>
      </w:tr>
    </w:tbl>
    <w:p w14:paraId="0EEB6080" w14:textId="77777777" w:rsidR="005D7090" w:rsidRPr="009F6F92" w:rsidRDefault="005D7090" w:rsidP="005D7090">
      <w:pPr>
        <w:pStyle w:val="Default"/>
        <w:suppressAutoHyphens/>
        <w:spacing w:before="0" w:after="240" w:line="240" w:lineRule="auto"/>
        <w:ind w:firstLine="720"/>
        <w:rPr>
          <w:rFonts w:ascii="Times New Roman" w:hAnsi="Times New Roman" w:cs="Times New Roman"/>
        </w:rPr>
      </w:pPr>
    </w:p>
    <w:p w14:paraId="45408768" w14:textId="169AFC84" w:rsidR="00842124" w:rsidRDefault="00842124">
      <w:pPr>
        <w:rPr>
          <w:color w:val="000000"/>
          <w14:textOutline w14:w="0" w14:cap="flat" w14:cmpd="sng" w14:algn="ctr">
            <w14:noFill/>
            <w14:prstDash w14:val="solid"/>
            <w14:bevel/>
          </w14:textOutline>
        </w:rPr>
      </w:pPr>
      <w:r>
        <w:br w:type="page"/>
      </w:r>
    </w:p>
    <w:p w14:paraId="52D60D46" w14:textId="77777777" w:rsidR="005D7090" w:rsidRDefault="005D7090" w:rsidP="00A07C0B">
      <w:pPr>
        <w:pStyle w:val="Default"/>
        <w:suppressAutoHyphens/>
        <w:spacing w:before="0" w:after="240" w:line="240" w:lineRule="auto"/>
        <w:ind w:firstLine="720"/>
        <w:rPr>
          <w:rFonts w:ascii="Times New Roman" w:hAnsi="Times New Roman" w:cs="Times New Roman"/>
        </w:rPr>
      </w:pPr>
    </w:p>
    <w:p w14:paraId="4434D35E" w14:textId="77777777" w:rsidR="00CA12F1" w:rsidRPr="008146D5" w:rsidRDefault="00CA12F1">
      <w:pPr>
        <w:rPr>
          <w:rStyle w:val="SubtleReference"/>
        </w:rPr>
      </w:pPr>
      <w:r w:rsidRPr="008146D5">
        <w:rPr>
          <w:rStyle w:val="SubtleReference"/>
        </w:rPr>
        <w:t>Implementation Barriers and Mitigation Strategies</w:t>
      </w:r>
    </w:p>
    <w:p w14:paraId="6EDE4C42" w14:textId="77777777" w:rsidR="00CA12F1" w:rsidRDefault="00CA12F1"/>
    <w:p w14:paraId="06A6194C" w14:textId="0ABC70DB" w:rsidR="00CA12F1" w:rsidRDefault="00CA12F1" w:rsidP="00210EED">
      <w:pPr>
        <w:ind w:firstLine="720"/>
      </w:pPr>
      <w:r>
        <w:t xml:space="preserve">During </w:t>
      </w:r>
      <w:r w:rsidR="00210EED">
        <w:t xml:space="preserve">the </w:t>
      </w:r>
      <w:r>
        <w:t>review and analysis of this project retrospectively, it was striking to notice the cultural barriers that exist between marketing and IT. Marketing is, by its nature, prone to rapid directional changes that</w:t>
      </w:r>
      <w:r w:rsidR="00210EED">
        <w:t xml:space="preserve"> can</w:t>
      </w:r>
      <w:r>
        <w:t xml:space="preserve"> impair the ability of IT to deliver solutions. IT has been tasked with innovating more automated and intuitive solutions at the enterprise level, but rarely has the bandwidth to do so owing to the constant “swirl” of shifting priorities on the part of </w:t>
      </w:r>
      <w:r w:rsidR="00210EED">
        <w:t>its</w:t>
      </w:r>
      <w:r>
        <w:t xml:space="preserve"> business partners. This project mandates that resources be wholly dedicated to this project without competing priorities in a bid to enable uninterrupted development of the solution. However, in the larger context of the organization, this may not be realistic. Business and IT leadership buy-in on this point is critical and </w:t>
      </w:r>
      <w:r w:rsidR="00210EED">
        <w:t>may require an executive project champion to ensure that all parties to the project remain focused on it to the exclusion of other initiatives. A project manager tasked with carrying this project to completion will require substantial executive support to ensure that resource allocation constraints are honored.</w:t>
      </w:r>
    </w:p>
    <w:p w14:paraId="56BD65AD" w14:textId="77777777" w:rsidR="00210EED" w:rsidRDefault="00210EED" w:rsidP="00210EED">
      <w:pPr>
        <w:ind w:firstLine="720"/>
      </w:pPr>
    </w:p>
    <w:p w14:paraId="2CBCB123" w14:textId="77777777" w:rsidR="00D72710" w:rsidRDefault="00210EED" w:rsidP="00210EED">
      <w:pPr>
        <w:ind w:firstLine="720"/>
      </w:pPr>
      <w:r>
        <w:t>In addition, the student administration system is a monolithic PeopleSoft implementation with an arcane table structure. IT has had access to the underlying databases for some time, but has not had access to SME resources who can assist in data mapping activities</w:t>
      </w:r>
      <w:r w:rsidR="00D72710">
        <w:t>,</w:t>
      </w:r>
      <w:r>
        <w:t xml:space="preserve"> and has engaged in inefficient guesswork in a bid to understand the data and its architecture. </w:t>
      </w:r>
      <w:r w:rsidR="00D72710">
        <w:t>While this project calls on the source system’s development team to support the API development effort, the degree of SME availability is difficult to estimate. The project is not viewed as a strategic, enterprise-level initiative, and securing cross-organization buy-in is challenging. A project manager running this effort will also need executive support to secure the needed resources from an organization that is part of neither IT nor marketing.</w:t>
      </w:r>
    </w:p>
    <w:p w14:paraId="1D8910BA" w14:textId="77777777" w:rsidR="00D72710" w:rsidRDefault="00D72710" w:rsidP="00210EED">
      <w:pPr>
        <w:ind w:firstLine="720"/>
      </w:pPr>
    </w:p>
    <w:p w14:paraId="0502D44D" w14:textId="20A3D316" w:rsidR="00210EED" w:rsidRDefault="00D72710" w:rsidP="00210EED">
      <w:pPr>
        <w:ind w:firstLine="720"/>
      </w:pPr>
      <w:r>
        <w:t>The ability to ferret out potential risks and barriers to implementation requires substantial knowledge of organizational culture and priorities. In any organization, the quality of interpersonal relationships, competing priorities, and resource constraints has an enormous impact on effective collaboration and transparency. As I’ve related elsewhere, it is incumbent on a project manager to build and retain trust in order to, in turn, gain insight into how to elicit an accurate picture of the overarching landscape. The quality of the relationships established with stakeholders, interested parties and executive leadership is crucial to ensuring honest, forthright communication</w:t>
      </w:r>
      <w:r w:rsidR="008146D5">
        <w:t xml:space="preserve">. Cultivation of strong cross-functional relationships is essential for the candid disclosure of technical vulnerabilities, compliance risks, and cultural obstacles. </w:t>
      </w:r>
    </w:p>
    <w:p w14:paraId="1397ADF4" w14:textId="77777777" w:rsidR="006A3AE9" w:rsidRDefault="006A3AE9" w:rsidP="00FC348B"/>
    <w:p w14:paraId="0884822F" w14:textId="77777777" w:rsidR="008146D5" w:rsidRDefault="008146D5" w:rsidP="00210EED">
      <w:pPr>
        <w:ind w:firstLine="720"/>
      </w:pPr>
    </w:p>
    <w:p w14:paraId="3BAB1BE6" w14:textId="5A2B919F" w:rsidR="006A3AE9" w:rsidRPr="006A3AE9" w:rsidRDefault="006A3AE9" w:rsidP="006A3AE9">
      <w:pPr>
        <w:rPr>
          <w:rStyle w:val="SubtleReference"/>
        </w:rPr>
      </w:pPr>
      <w:r w:rsidRPr="006A3AE9">
        <w:rPr>
          <w:rStyle w:val="SubtleReference"/>
        </w:rPr>
        <w:t>Leveraging Borrowed Credibility</w:t>
      </w:r>
    </w:p>
    <w:p w14:paraId="52269989" w14:textId="77777777" w:rsidR="006A3AE9" w:rsidRDefault="006A3AE9" w:rsidP="006A3AE9"/>
    <w:p w14:paraId="62D37BE4" w14:textId="3CF91BC5" w:rsidR="008146D5" w:rsidRDefault="008146D5" w:rsidP="00210EED">
      <w:pPr>
        <w:ind w:firstLine="720"/>
      </w:pPr>
      <w:r>
        <w:t xml:space="preserve">The most foundational element of my development as a business analyst and project manager was established on day one. I was afforded the opportunity to work with a number of very experienced mentors who were able to lend their credibility to my efforts. </w:t>
      </w:r>
      <w:r w:rsidR="006A3AE9">
        <w:t xml:space="preserve">Lacking existing relationships required that I “borrow” credibility so that I could go on to earn it on my own over time. The challenge in the beginning is not lack of skill or ability, but a lack of history. Stakeholders may be hesitant to share critical information with someone they do not have a professional relationship with. Ultimately, the human landscape of any organization is the </w:t>
      </w:r>
      <w:r w:rsidR="006A3AE9">
        <w:lastRenderedPageBreak/>
        <w:t>network of influence and resistance that determines a project’s success. By leveraging the credibility of experienced resources, someone new to performing the functions of managing or participating in a project accelerates their own development in the role.</w:t>
      </w:r>
    </w:p>
    <w:p w14:paraId="7AADDB9E" w14:textId="0CCE343B" w:rsidR="006A3AE9" w:rsidRDefault="006A3AE9">
      <w:r>
        <w:br w:type="page"/>
      </w:r>
    </w:p>
    <w:p w14:paraId="5DB667B7" w14:textId="77777777" w:rsidR="006A3AE9" w:rsidRDefault="006A3AE9" w:rsidP="00210EED">
      <w:pPr>
        <w:ind w:firstLine="720"/>
      </w:pPr>
    </w:p>
    <w:p w14:paraId="790D42F2" w14:textId="77777777" w:rsidR="006A3AE9" w:rsidRDefault="006A3AE9" w:rsidP="00210EED">
      <w:pPr>
        <w:ind w:firstLine="720"/>
        <w:rPr>
          <w:color w:val="000000"/>
          <w14:textOutline w14:w="0" w14:cap="flat" w14:cmpd="sng" w14:algn="ctr">
            <w14:noFill/>
            <w14:prstDash w14:val="solid"/>
            <w14:bevel/>
          </w14:textOutline>
        </w:rPr>
      </w:pPr>
    </w:p>
    <w:p w14:paraId="1B70B92F" w14:textId="246A23E5" w:rsidR="006667FF" w:rsidRPr="00CA12F1" w:rsidRDefault="00000000">
      <w:pPr>
        <w:pStyle w:val="Default"/>
        <w:suppressAutoHyphens/>
        <w:spacing w:before="0" w:after="281" w:line="240" w:lineRule="auto"/>
        <w:rPr>
          <w:rStyle w:val="SubtleReference"/>
          <w:sz w:val="32"/>
          <w:szCs w:val="32"/>
        </w:rPr>
      </w:pPr>
      <w:r w:rsidRPr="00CA12F1">
        <w:rPr>
          <w:rStyle w:val="SubtleReference"/>
          <w:sz w:val="32"/>
          <w:szCs w:val="32"/>
        </w:rPr>
        <w:t>Legal, Ethical, and Policy Analysis</w:t>
      </w:r>
    </w:p>
    <w:p w14:paraId="4E7CF01A" w14:textId="77777777" w:rsidR="006667FF" w:rsidRPr="00F94B08" w:rsidRDefault="00000000">
      <w:pPr>
        <w:pStyle w:val="Default"/>
        <w:suppressAutoHyphens/>
        <w:spacing w:before="0" w:after="319" w:line="240" w:lineRule="auto"/>
        <w:rPr>
          <w:rStyle w:val="SubtleReference"/>
        </w:rPr>
      </w:pPr>
      <w:r w:rsidRPr="00F94B08">
        <w:rPr>
          <w:rStyle w:val="SubtleReference"/>
        </w:rPr>
        <w:t>Legal Issues and Resolution</w:t>
      </w:r>
    </w:p>
    <w:p w14:paraId="2A13FFD8" w14:textId="0ADD6DA0" w:rsidR="006667FF" w:rsidRPr="009F6F92" w:rsidRDefault="00000000" w:rsidP="009D3BAA">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The primary legal issue is the mandated compliance with the Higher Education Act (HEA), 20 U.S.C. § 1094, which requires accurate financial disclosures</w:t>
      </w:r>
      <w:r w:rsidR="00F94B08">
        <w:rPr>
          <w:rFonts w:ascii="Times New Roman" w:hAnsi="Times New Roman" w:cs="Times New Roman"/>
        </w:rPr>
        <w:t>, along with the mitigation of litigation risk</w:t>
      </w:r>
      <w:r w:rsidR="009D3BAA">
        <w:rPr>
          <w:rFonts w:ascii="Times New Roman" w:hAnsi="Times New Roman" w:cs="Times New Roman"/>
        </w:rPr>
        <w:t xml:space="preserve">. Although </w:t>
      </w:r>
      <w:proofErr w:type="spellStart"/>
      <w:r w:rsidR="009D3BAA">
        <w:rPr>
          <w:rFonts w:ascii="Times New Roman" w:hAnsi="Times New Roman" w:cs="Times New Roman"/>
        </w:rPr>
        <w:t>Arborwood</w:t>
      </w:r>
      <w:proofErr w:type="spellEnd"/>
      <w:r w:rsidR="009D3BAA">
        <w:rPr>
          <w:rFonts w:ascii="Times New Roman" w:hAnsi="Times New Roman" w:cs="Times New Roman"/>
        </w:rPr>
        <w:t xml:space="preserve"> hosts the HEA-mandated</w:t>
      </w:r>
      <w:r w:rsidRPr="009F6F92">
        <w:rPr>
          <w:rFonts w:ascii="Times New Roman" w:hAnsi="Times New Roman" w:cs="Times New Roman"/>
        </w:rPr>
        <w:t xml:space="preserve"> Net Price Calculator</w:t>
      </w:r>
      <w:r w:rsidR="009D3BAA">
        <w:rPr>
          <w:rFonts w:ascii="Times New Roman" w:hAnsi="Times New Roman" w:cs="Times New Roman"/>
        </w:rPr>
        <w:t xml:space="preserve"> on its site, the mandated calculator fails to provide the granularity and use-case specificity that prospective students seek</w:t>
      </w:r>
      <w:r w:rsidRPr="009F6F92">
        <w:rPr>
          <w:rFonts w:ascii="Times New Roman" w:hAnsi="Times New Roman" w:cs="Times New Roman"/>
        </w:rPr>
        <w:t xml:space="preserve">. Failure to maintain data accuracy </w:t>
      </w:r>
      <w:r w:rsidR="009D3BAA">
        <w:rPr>
          <w:rFonts w:ascii="Times New Roman" w:hAnsi="Times New Roman" w:cs="Times New Roman"/>
        </w:rPr>
        <w:t xml:space="preserve">and to perform highly accurate, highly granular calculations </w:t>
      </w:r>
      <w:r w:rsidRPr="009F6F92">
        <w:rPr>
          <w:rFonts w:ascii="Times New Roman" w:hAnsi="Times New Roman" w:cs="Times New Roman"/>
        </w:rPr>
        <w:t xml:space="preserve">exposes the institution to regulatory scrutiny </w:t>
      </w:r>
      <w:r w:rsidR="009D3BAA">
        <w:rPr>
          <w:rFonts w:ascii="Times New Roman" w:hAnsi="Times New Roman" w:cs="Times New Roman"/>
        </w:rPr>
        <w:t>and the potential for litigation, resulting in</w:t>
      </w:r>
      <w:r w:rsidR="009D3BAA" w:rsidRPr="009F6F92">
        <w:rPr>
          <w:rFonts w:ascii="Times New Roman" w:hAnsi="Times New Roman" w:cs="Times New Roman"/>
        </w:rPr>
        <w:t xml:space="preserve"> significant financial penalties</w:t>
      </w:r>
      <w:r w:rsidR="009D3BAA">
        <w:rPr>
          <w:rFonts w:ascii="Times New Roman" w:hAnsi="Times New Roman" w:cs="Times New Roman"/>
        </w:rPr>
        <w:t>. Thus, t</w:t>
      </w:r>
      <w:r w:rsidRPr="009F6F92">
        <w:rPr>
          <w:rFonts w:ascii="Times New Roman" w:hAnsi="Times New Roman" w:cs="Times New Roman"/>
        </w:rPr>
        <w:t xml:space="preserve">he </w:t>
      </w:r>
      <w:r w:rsidR="009D3BAA">
        <w:rPr>
          <w:rFonts w:ascii="Times New Roman" w:hAnsi="Times New Roman" w:cs="Times New Roman"/>
        </w:rPr>
        <w:t>mitigation</w:t>
      </w:r>
      <w:r w:rsidRPr="009F6F92">
        <w:rPr>
          <w:rFonts w:ascii="Times New Roman" w:hAnsi="Times New Roman" w:cs="Times New Roman"/>
        </w:rPr>
        <w:t xml:space="preserve"> strategy is the </w:t>
      </w:r>
      <w:r w:rsidR="009D3BAA">
        <w:rPr>
          <w:rFonts w:ascii="Times New Roman" w:hAnsi="Times New Roman" w:cs="Times New Roman"/>
        </w:rPr>
        <w:t>l</w:t>
      </w:r>
      <w:r w:rsidRPr="009F6F92">
        <w:rPr>
          <w:rFonts w:ascii="Times New Roman" w:hAnsi="Times New Roman" w:cs="Times New Roman"/>
        </w:rPr>
        <w:t>egal</w:t>
      </w:r>
      <w:r w:rsidR="009D3BAA">
        <w:rPr>
          <w:rFonts w:ascii="Times New Roman" w:hAnsi="Times New Roman" w:cs="Times New Roman"/>
        </w:rPr>
        <w:t xml:space="preserve"> and c</w:t>
      </w:r>
      <w:r w:rsidRPr="009F6F92">
        <w:rPr>
          <w:rFonts w:ascii="Times New Roman" w:hAnsi="Times New Roman" w:cs="Times New Roman"/>
        </w:rPr>
        <w:t xml:space="preserve">ompliance </w:t>
      </w:r>
      <w:r w:rsidR="009D3BAA">
        <w:rPr>
          <w:rFonts w:ascii="Times New Roman" w:hAnsi="Times New Roman" w:cs="Times New Roman"/>
        </w:rPr>
        <w:t>g</w:t>
      </w:r>
      <w:r w:rsidRPr="009F6F92">
        <w:rPr>
          <w:rFonts w:ascii="Times New Roman" w:hAnsi="Times New Roman" w:cs="Times New Roman"/>
        </w:rPr>
        <w:t xml:space="preserve">ateway, which operationalizes legal compliance by requiring the legal team to certify the calculation methodology and required disclaimers </w:t>
      </w:r>
      <w:r w:rsidRPr="009F6F92">
        <w:rPr>
          <w:rFonts w:ascii="Times New Roman" w:hAnsi="Times New Roman" w:cs="Times New Roman"/>
          <w:i/>
          <w:iCs/>
        </w:rPr>
        <w:t>before</w:t>
      </w:r>
      <w:r w:rsidRPr="009F6F92">
        <w:rPr>
          <w:rFonts w:ascii="Times New Roman" w:hAnsi="Times New Roman" w:cs="Times New Roman"/>
        </w:rPr>
        <w:t xml:space="preserve"> the code is written, effectively embedding legal </w:t>
      </w:r>
      <w:r w:rsidR="003B3085">
        <w:rPr>
          <w:rFonts w:ascii="Times New Roman" w:hAnsi="Times New Roman" w:cs="Times New Roman"/>
        </w:rPr>
        <w:t>approval</w:t>
      </w:r>
      <w:r w:rsidRPr="009F6F92">
        <w:rPr>
          <w:rFonts w:ascii="Times New Roman" w:hAnsi="Times New Roman" w:cs="Times New Roman"/>
        </w:rPr>
        <w:t xml:space="preserve"> into the project lifecycle.</w:t>
      </w:r>
    </w:p>
    <w:p w14:paraId="5C4AD89C" w14:textId="77777777" w:rsidR="006667FF" w:rsidRPr="00F94B08" w:rsidRDefault="00000000">
      <w:pPr>
        <w:pStyle w:val="Default"/>
        <w:suppressAutoHyphens/>
        <w:spacing w:before="0" w:after="319" w:line="240" w:lineRule="auto"/>
        <w:rPr>
          <w:rStyle w:val="SubtleReference"/>
        </w:rPr>
      </w:pPr>
      <w:r w:rsidRPr="00F94B08">
        <w:rPr>
          <w:rStyle w:val="SubtleReference"/>
        </w:rPr>
        <w:t>Ethical Issues and Resolution</w:t>
      </w:r>
    </w:p>
    <w:p w14:paraId="3E64BC07" w14:textId="52A85514" w:rsidR="006667FF" w:rsidRPr="009F6F92" w:rsidRDefault="00000000" w:rsidP="003B3085">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The project is rooted in a</w:t>
      </w:r>
      <w:r w:rsidR="003B3085">
        <w:rPr>
          <w:rFonts w:ascii="Times New Roman" w:hAnsi="Times New Roman" w:cs="Times New Roman"/>
        </w:rPr>
        <w:t xml:space="preserve">n </w:t>
      </w:r>
      <w:r w:rsidRPr="009F6F92">
        <w:rPr>
          <w:rFonts w:ascii="Times New Roman" w:hAnsi="Times New Roman" w:cs="Times New Roman"/>
        </w:rPr>
        <w:t xml:space="preserve">ethical imperative of equity and transparency. Academic research clearly indicates that the current lack of </w:t>
      </w:r>
      <w:r w:rsidR="003B3085">
        <w:rPr>
          <w:rFonts w:ascii="Times New Roman" w:hAnsi="Times New Roman" w:cs="Times New Roman"/>
        </w:rPr>
        <w:t>precise</w:t>
      </w:r>
      <w:r w:rsidRPr="009F6F92">
        <w:rPr>
          <w:rFonts w:ascii="Times New Roman" w:hAnsi="Times New Roman" w:cs="Times New Roman"/>
        </w:rPr>
        <w:t xml:space="preserve"> financial information disproportionately hinders the enrollment of minority and low-income students. The solution, driven by the need for maximum transparency and personalization</w:t>
      </w:r>
      <w:r w:rsidRPr="009F6F92">
        <w:rPr>
          <w:rFonts w:ascii="Times New Roman" w:hAnsi="Times New Roman" w:cs="Times New Roman"/>
          <w:lang w:val="nl-NL"/>
        </w:rPr>
        <w:t>, addresses this ethical issue directly. The calculator acts as a tool for social equity, empowering at-risk populations with the precise information needed to make informed educational decisions. This alignment is central to Arborwood</w:t>
      </w:r>
      <w:r w:rsidRPr="009F6F92">
        <w:rPr>
          <w:rFonts w:ascii="Times New Roman" w:hAnsi="Times New Roman" w:cs="Times New Roman"/>
          <w:rtl/>
        </w:rPr>
        <w:t>’</w:t>
      </w:r>
      <w:r w:rsidRPr="009F6F92">
        <w:rPr>
          <w:rFonts w:ascii="Times New Roman" w:hAnsi="Times New Roman" w:cs="Times New Roman"/>
        </w:rPr>
        <w:t>s mission to</w:t>
      </w:r>
      <w:r w:rsidR="003B3085">
        <w:rPr>
          <w:rFonts w:ascii="Times New Roman" w:hAnsi="Times New Roman" w:cs="Times New Roman"/>
        </w:rPr>
        <w:t xml:space="preserve"> foster economic mobility through programs that offer career advancement and employment stability.</w:t>
      </w:r>
    </w:p>
    <w:p w14:paraId="398E2CD7" w14:textId="77777777" w:rsidR="006667FF" w:rsidRPr="00F94B08" w:rsidRDefault="00000000">
      <w:pPr>
        <w:pStyle w:val="Default"/>
        <w:suppressAutoHyphens/>
        <w:spacing w:before="0" w:after="319" w:line="240" w:lineRule="auto"/>
        <w:rPr>
          <w:rStyle w:val="SubtleReference"/>
        </w:rPr>
      </w:pPr>
      <w:r w:rsidRPr="00F94B08">
        <w:rPr>
          <w:rStyle w:val="SubtleReference"/>
        </w:rPr>
        <w:t>Policy Issues and Potential Conflict</w:t>
      </w:r>
    </w:p>
    <w:p w14:paraId="1E5AF4D9" w14:textId="19E42961" w:rsidR="006667FF" w:rsidRPr="009F6F92" w:rsidRDefault="00000000" w:rsidP="003B3085">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most significant policy challenge is the potential conflict between the existing manual data maintenance policy and the new automated data flow via the API. The manual policy creates regulatory risk, and the automated solution renders the policy obsolete. To mitigate this, the project must result in the creation of a new Data Governance Policy that formally designates the </w:t>
      </w:r>
      <w:r w:rsidR="003B3085">
        <w:rPr>
          <w:rFonts w:ascii="Times New Roman" w:hAnsi="Times New Roman" w:cs="Times New Roman"/>
        </w:rPr>
        <w:t>administrative system</w:t>
      </w:r>
      <w:r w:rsidRPr="009F6F92">
        <w:rPr>
          <w:rFonts w:ascii="Times New Roman" w:hAnsi="Times New Roman" w:cs="Times New Roman"/>
        </w:rPr>
        <w:t xml:space="preserve"> as the SSOT for tuition </w:t>
      </w:r>
      <w:r w:rsidR="003B3085">
        <w:rPr>
          <w:rFonts w:ascii="Times New Roman" w:hAnsi="Times New Roman" w:cs="Times New Roman"/>
        </w:rPr>
        <w:t>and other cost data</w:t>
      </w:r>
      <w:r w:rsidRPr="009F6F92">
        <w:rPr>
          <w:rFonts w:ascii="Times New Roman" w:hAnsi="Times New Roman" w:cs="Times New Roman"/>
        </w:rPr>
        <w:t xml:space="preserve"> and establishes clear ownership and validation processes for the new API endpoints. This proactive measure prevents a policy vacuum that could otherwise allow data errors </w:t>
      </w:r>
      <w:r w:rsidR="003B3085">
        <w:rPr>
          <w:rFonts w:ascii="Times New Roman" w:hAnsi="Times New Roman" w:cs="Times New Roman"/>
        </w:rPr>
        <w:t>that have the potential to</w:t>
      </w:r>
      <w:r w:rsidRPr="009F6F92">
        <w:rPr>
          <w:rFonts w:ascii="Times New Roman" w:hAnsi="Times New Roman" w:cs="Times New Roman"/>
        </w:rPr>
        <w:t xml:space="preserve"> undermine the project's compliance goals.</w:t>
      </w:r>
    </w:p>
    <w:sectPr w:rsidR="006667FF" w:rsidRPr="009F6F9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1BD8A" w14:textId="77777777" w:rsidR="0091584A" w:rsidRDefault="0091584A">
      <w:r>
        <w:separator/>
      </w:r>
    </w:p>
  </w:endnote>
  <w:endnote w:type="continuationSeparator" w:id="0">
    <w:p w14:paraId="309AA0CD" w14:textId="77777777" w:rsidR="0091584A" w:rsidRDefault="0091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4DD1A" w14:textId="77777777" w:rsidR="0091584A" w:rsidRDefault="0091584A">
      <w:r>
        <w:separator/>
      </w:r>
    </w:p>
  </w:footnote>
  <w:footnote w:type="continuationSeparator" w:id="0">
    <w:p w14:paraId="1750755F" w14:textId="77777777" w:rsidR="0091584A" w:rsidRDefault="0091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66AD"/>
    <w:multiLevelType w:val="hybridMultilevel"/>
    <w:tmpl w:val="7CEA8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735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7FF"/>
    <w:rsid w:val="001B2A20"/>
    <w:rsid w:val="001D088D"/>
    <w:rsid w:val="00210EED"/>
    <w:rsid w:val="003B3085"/>
    <w:rsid w:val="004E6451"/>
    <w:rsid w:val="004E7AD5"/>
    <w:rsid w:val="005D7090"/>
    <w:rsid w:val="006667FF"/>
    <w:rsid w:val="006A3AE9"/>
    <w:rsid w:val="006B2202"/>
    <w:rsid w:val="008146D5"/>
    <w:rsid w:val="00842124"/>
    <w:rsid w:val="0091584A"/>
    <w:rsid w:val="009D3BAA"/>
    <w:rsid w:val="009F6F92"/>
    <w:rsid w:val="00A07C0B"/>
    <w:rsid w:val="00CA12F1"/>
    <w:rsid w:val="00D72710"/>
    <w:rsid w:val="00EF666D"/>
    <w:rsid w:val="00F94B08"/>
    <w:rsid w:val="00FC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AE5F59"/>
  <w15:docId w15:val="{11B3C86B-9BCF-41B9-B1CD-3D1D2CAD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basedOn w:val="Normal"/>
    <w:link w:val="HeaderChar"/>
    <w:uiPriority w:val="99"/>
    <w:unhideWhenUsed/>
    <w:rsid w:val="003B3085"/>
    <w:pPr>
      <w:tabs>
        <w:tab w:val="center" w:pos="4680"/>
        <w:tab w:val="right" w:pos="9360"/>
      </w:tabs>
    </w:pPr>
  </w:style>
  <w:style w:type="character" w:customStyle="1" w:styleId="HeaderChar">
    <w:name w:val="Header Char"/>
    <w:basedOn w:val="DefaultParagraphFont"/>
    <w:link w:val="Header"/>
    <w:uiPriority w:val="99"/>
    <w:rsid w:val="003B3085"/>
    <w:rPr>
      <w:sz w:val="24"/>
      <w:szCs w:val="24"/>
    </w:rPr>
  </w:style>
  <w:style w:type="paragraph" w:styleId="Footer">
    <w:name w:val="footer"/>
    <w:basedOn w:val="Normal"/>
    <w:link w:val="FooterChar"/>
    <w:uiPriority w:val="99"/>
    <w:unhideWhenUsed/>
    <w:rsid w:val="003B3085"/>
    <w:pPr>
      <w:tabs>
        <w:tab w:val="center" w:pos="4680"/>
        <w:tab w:val="right" w:pos="9360"/>
      </w:tabs>
    </w:pPr>
  </w:style>
  <w:style w:type="character" w:customStyle="1" w:styleId="FooterChar">
    <w:name w:val="Footer Char"/>
    <w:basedOn w:val="DefaultParagraphFont"/>
    <w:link w:val="Footer"/>
    <w:uiPriority w:val="99"/>
    <w:rsid w:val="003B3085"/>
    <w:rPr>
      <w:sz w:val="24"/>
      <w:szCs w:val="24"/>
    </w:rPr>
  </w:style>
  <w:style w:type="character" w:styleId="SubtleReference">
    <w:name w:val="Subtle Reference"/>
    <w:basedOn w:val="DefaultParagraphFont"/>
    <w:uiPriority w:val="31"/>
    <w:qFormat/>
    <w:rsid w:val="001B2A20"/>
    <w:rPr>
      <w:smallCaps/>
      <w:color w:val="5A5A5A" w:themeColor="text1" w:themeTint="A5"/>
    </w:rPr>
  </w:style>
  <w:style w:type="table" w:styleId="TableGrid">
    <w:name w:val="Table Grid"/>
    <w:basedOn w:val="TableNormal"/>
    <w:uiPriority w:val="39"/>
    <w:rsid w:val="00F9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EB5E-4093-4375-AD35-E2E4FEC5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2340</Words>
  <Characters>13787</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3</cp:revision>
  <cp:lastPrinted>2025-10-28T15:58:00Z</cp:lastPrinted>
  <dcterms:created xsi:type="dcterms:W3CDTF">2025-10-28T13:26:00Z</dcterms:created>
  <dcterms:modified xsi:type="dcterms:W3CDTF">2025-10-28T16:14:00Z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2d8211f3-6d1a-4d20-838e-b59f69566cae</vt:lpwstr>
  </property>
</Properties>
</file>