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Executive Summary: Arborwood Compliance Gateway Initiative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rtl w:val="0"/>
          <w:lang w:val="en-US"/>
        </w:rPr>
        <w:t>Arborwood Cost Calculator project, known internally as "The Gateway" Initiative</w:t>
      </w:r>
      <w:r>
        <w:rPr>
          <w:rFonts w:ascii="Times Roman" w:hAnsi="Times Roman"/>
          <w:rtl w:val="0"/>
          <w:lang w:val="en-US"/>
        </w:rPr>
        <w:t xml:space="preserve">, was launched to immediately mitigate a critical regulatory and financial risk stemming from the institution's existing manual process for publishing student costs. The project was initiated upon identifying that the current system violated the </w:t>
      </w:r>
      <w:r>
        <w:rPr>
          <w:rFonts w:ascii="Times Roman" w:hAnsi="Times Roman"/>
          <w:b w:val="1"/>
          <w:bCs w:val="1"/>
          <w:rtl w:val="0"/>
          <w:lang w:val="en-US"/>
        </w:rPr>
        <w:t>Single Source of Truth (SSOT)</w:t>
      </w:r>
      <w:r>
        <w:rPr>
          <w:rFonts w:ascii="Times Roman" w:hAnsi="Times Roman"/>
          <w:rtl w:val="0"/>
          <w:lang w:val="en-US"/>
        </w:rPr>
        <w:t xml:space="preserve"> principle, relying on error-prone human data entry, which put Arborwood in direct conflict with the accuracy mandates of the </w:t>
      </w:r>
      <w:r>
        <w:rPr>
          <w:rFonts w:ascii="Times Roman" w:hAnsi="Times Roman"/>
          <w:b w:val="1"/>
          <w:bCs w:val="1"/>
          <w:rtl w:val="0"/>
          <w:lang w:val="en-US"/>
        </w:rPr>
        <w:t>Higher Education Act (HEA)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The initiative's core objectives are threefold: First, to achieve absolute </w:t>
      </w:r>
      <w:r>
        <w:rPr>
          <w:rFonts w:ascii="Times Roman" w:hAnsi="Times Roman"/>
          <w:b w:val="1"/>
          <w:bCs w:val="1"/>
          <w:rtl w:val="0"/>
          <w:lang w:val="en-US"/>
        </w:rPr>
        <w:t>Compliance and Risk Mitigation</w:t>
      </w:r>
      <w:r>
        <w:rPr>
          <w:rFonts w:ascii="Times Roman" w:hAnsi="Times Roman"/>
          <w:rtl w:val="0"/>
          <w:lang w:val="en-US"/>
        </w:rPr>
        <w:t xml:space="preserve"> by embedding a non-negotiable </w:t>
      </w:r>
      <w:r>
        <w:rPr>
          <w:rFonts w:ascii="Times Roman" w:hAnsi="Times Roman"/>
          <w:b w:val="1"/>
          <w:bCs w:val="1"/>
          <w:rtl w:val="0"/>
          <w:lang w:val="en-US"/>
        </w:rPr>
        <w:t>Legal/Compliance Gateway</w:t>
      </w:r>
      <w:r>
        <w:rPr>
          <w:rFonts w:ascii="Times Roman" w:hAnsi="Times Roman"/>
          <w:rtl w:val="0"/>
          <w:lang w:val="en-US"/>
        </w:rPr>
        <w:t xml:space="preserve"> into the project lifecycle. Second, to enhance </w:t>
      </w:r>
      <w:r>
        <w:rPr>
          <w:rFonts w:ascii="Times Roman" w:hAnsi="Times Roman"/>
          <w:b w:val="1"/>
          <w:bCs w:val="1"/>
          <w:rtl w:val="0"/>
          <w:lang w:val="en-US"/>
        </w:rPr>
        <w:t>Equity and Transparency</w:t>
      </w:r>
      <w:r>
        <w:rPr>
          <w:rFonts w:ascii="Times Roman" w:hAnsi="Times Roman"/>
          <w:rtl w:val="0"/>
          <w:lang w:val="en-US"/>
        </w:rPr>
        <w:t xml:space="preserve"> by replacing manual uploads with a </w:t>
      </w:r>
      <w:r>
        <w:rPr>
          <w:rFonts w:ascii="Times Roman" w:hAnsi="Times Roman"/>
          <w:b w:val="1"/>
          <w:bCs w:val="1"/>
          <w:rtl w:val="0"/>
          <w:lang w:val="en-US"/>
        </w:rPr>
        <w:t>Real-Time API Integration</w:t>
      </w:r>
      <w:r>
        <w:rPr>
          <w:rFonts w:ascii="Times Roman" w:hAnsi="Times Roman"/>
          <w:rtl w:val="0"/>
          <w:lang w:val="en-US"/>
        </w:rPr>
        <w:t xml:space="preserve"> to the Student Administration System (SAS). Third, to establish </w:t>
      </w:r>
      <w:r>
        <w:rPr>
          <w:rFonts w:ascii="Times Roman" w:hAnsi="Times Roman"/>
          <w:b w:val="1"/>
          <w:bCs w:val="1"/>
          <w:rtl w:val="0"/>
          <w:lang w:val="en-US"/>
        </w:rPr>
        <w:t>Technical Modernization</w:t>
      </w:r>
      <w:r>
        <w:rPr>
          <w:rFonts w:ascii="Times Roman" w:hAnsi="Times Roman"/>
          <w:rtl w:val="0"/>
          <w:lang w:val="en-US"/>
        </w:rPr>
        <w:t xml:space="preserve"> by eliminating technical debt through the deployment of a scalable microservice architecture on the Google Cloud Platform (GCP).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Scope, Milestones, and Timeline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The project scope is defined by two integrated and non-negotiable deliverables: a new process and a new technology stack. The new process involves the </w:t>
      </w:r>
      <w:r>
        <w:rPr>
          <w:rFonts w:ascii="Times Roman" w:hAnsi="Times Roman"/>
          <w:b w:val="1"/>
          <w:bCs w:val="1"/>
          <w:rtl w:val="0"/>
          <w:lang w:val="en-US"/>
        </w:rPr>
        <w:t>Compliance Gateway</w:t>
      </w:r>
      <w:r>
        <w:rPr>
          <w:rFonts w:ascii="Times Roman" w:hAnsi="Times Roman"/>
          <w:rtl w:val="0"/>
          <w:lang w:val="en-US"/>
        </w:rPr>
        <w:t xml:space="preserve">, a mandatory legal checkpoint requiring formal sign-off from the Legal team on all financial logic </w:t>
      </w:r>
      <w:r>
        <w:rPr>
          <w:rFonts w:ascii="Times Roman" w:hAnsi="Times Roman"/>
          <w:i w:val="1"/>
          <w:iCs w:val="1"/>
          <w:rtl w:val="0"/>
          <w:lang w:val="en-US"/>
        </w:rPr>
        <w:t>before</w:t>
      </w:r>
      <w:r>
        <w:rPr>
          <w:rFonts w:ascii="Times Roman" w:hAnsi="Times Roman"/>
          <w:rtl w:val="0"/>
          <w:lang w:val="en-US"/>
        </w:rPr>
        <w:t xml:space="preserve"> development is finalized. The new technology involves the </w:t>
      </w:r>
      <w:r>
        <w:rPr>
          <w:rFonts w:ascii="Times Roman" w:hAnsi="Times Roman"/>
          <w:b w:val="1"/>
          <w:bCs w:val="1"/>
          <w:rtl w:val="0"/>
          <w:lang w:val="en-US"/>
        </w:rPr>
        <w:t>Real-Time API Integration</w:t>
      </w:r>
      <w:r>
        <w:rPr>
          <w:rFonts w:ascii="Times Roman" w:hAnsi="Times Roman"/>
          <w:rtl w:val="0"/>
          <w:lang w:val="en-US"/>
        </w:rPr>
        <w:t>, a secure, read-only RESTful API microservice designed to pull instantaneous cost data directly from the SAS.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The Gateway Initiative is targeted for completion within </w:t>
      </w:r>
      <w:r>
        <w:rPr>
          <w:rFonts w:ascii="Times Roman" w:hAnsi="Times Roman"/>
          <w:b w:val="1"/>
          <w:bCs w:val="1"/>
          <w:rtl w:val="0"/>
          <w:lang w:val="en-US"/>
        </w:rPr>
        <w:t>Six Months (T+6)</w:t>
      </w:r>
      <w:r>
        <w:rPr>
          <w:rFonts w:ascii="Times Roman" w:hAnsi="Times Roman"/>
          <w:rtl w:val="0"/>
          <w:lang w:val="en-US"/>
        </w:rPr>
        <w:t xml:space="preserve">, following a phased approach. The first critical deliverable, the </w:t>
      </w:r>
      <w:r>
        <w:rPr>
          <w:rFonts w:ascii="Times Roman" w:hAnsi="Times Roman"/>
          <w:b w:val="1"/>
          <w:bCs w:val="1"/>
          <w:rtl w:val="0"/>
          <w:lang w:val="pt-PT"/>
        </w:rPr>
        <w:t>Governance Go/No-Go Milestone</w:t>
      </w:r>
      <w:r>
        <w:rPr>
          <w:rFonts w:ascii="Times Roman" w:hAnsi="Times Roman"/>
          <w:rtl w:val="0"/>
          <w:lang w:val="en-US"/>
        </w:rPr>
        <w:t xml:space="preserve">, is scheduled for </w:t>
      </w:r>
      <w:r>
        <w:rPr>
          <w:rFonts w:ascii="Times Roman" w:hAnsi="Times Roman"/>
          <w:b w:val="1"/>
          <w:bCs w:val="1"/>
          <w:rtl w:val="0"/>
          <w:lang w:val="en-US"/>
        </w:rPr>
        <w:t>T+1 Month</w:t>
      </w:r>
      <w:r>
        <w:rPr>
          <w:rFonts w:ascii="Times Roman" w:hAnsi="Times Roman"/>
          <w:rtl w:val="0"/>
          <w:lang w:val="en-US"/>
        </w:rPr>
        <w:t xml:space="preserve">, where final use cases must be certified by the Legal team. This is followed by the </w:t>
      </w:r>
      <w:r>
        <w:rPr>
          <w:rFonts w:ascii="Times Roman" w:hAnsi="Times Roman"/>
          <w:b w:val="1"/>
          <w:bCs w:val="1"/>
          <w:rtl w:val="0"/>
          <w:lang w:val="en-US"/>
        </w:rPr>
        <w:t>API Microservice Complete Milestone</w:t>
      </w:r>
      <w:r>
        <w:rPr>
          <w:rFonts w:ascii="Times Roman" w:hAnsi="Times Roman"/>
          <w:rtl w:val="0"/>
          <w:lang w:val="da-DK"/>
        </w:rPr>
        <w:t xml:space="preserve"> at </w:t>
      </w:r>
      <w:r>
        <w:rPr>
          <w:rFonts w:ascii="Times Roman" w:hAnsi="Times Roman"/>
          <w:b w:val="1"/>
          <w:bCs w:val="1"/>
          <w:rtl w:val="0"/>
          <w:lang w:val="en-US"/>
        </w:rPr>
        <w:t>T+3 Months</w:t>
      </w:r>
      <w:r>
        <w:rPr>
          <w:rFonts w:ascii="Times Roman" w:hAnsi="Times Roman"/>
          <w:rtl w:val="0"/>
          <w:lang w:val="en-US"/>
        </w:rPr>
        <w:t xml:space="preserve">, signifying the development and 100% data fidelity testing of the integration layer. The project will conclude with </w:t>
      </w:r>
      <w:r>
        <w:rPr>
          <w:rFonts w:ascii="Times Roman" w:hAnsi="Times Roman"/>
          <w:b w:val="1"/>
          <w:bCs w:val="1"/>
          <w:rtl w:val="0"/>
          <w:lang w:val="en-US"/>
        </w:rPr>
        <w:t>Production Deployment and Policy Hand-Off</w:t>
      </w:r>
      <w:r>
        <w:rPr>
          <w:rFonts w:ascii="Times Roman" w:hAnsi="Times Roman"/>
          <w:rtl w:val="0"/>
          <w:lang w:val="da-DK"/>
        </w:rPr>
        <w:t xml:space="preserve"> at </w:t>
      </w:r>
      <w:r>
        <w:rPr>
          <w:rFonts w:ascii="Times Roman" w:hAnsi="Times Roman"/>
          <w:b w:val="1"/>
          <w:bCs w:val="1"/>
          <w:rtl w:val="0"/>
          <w:lang w:val="en-US"/>
        </w:rPr>
        <w:t>T+6 Months</w:t>
      </w:r>
      <w:r>
        <w:rPr>
          <w:rFonts w:ascii="Times Roman" w:hAnsi="Times Roman"/>
          <w:rtl w:val="0"/>
          <w:lang w:val="en-US"/>
        </w:rPr>
        <w:t>, formalizing the new data governance policy and launching the compliant calculator.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Risk and Communication Strategy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The highest-priority threats to project delivery are </w:t>
      </w:r>
      <w:r>
        <w:rPr>
          <w:rFonts w:ascii="Times Roman" w:hAnsi="Times Roman"/>
          <w:b w:val="1"/>
          <w:bCs w:val="1"/>
          <w:rtl w:val="0"/>
          <w:lang w:val="en-US"/>
        </w:rPr>
        <w:t>SME Resource Constraints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Data Integrity Failure</w:t>
      </w:r>
      <w:r>
        <w:rPr>
          <w:rFonts w:ascii="Times Roman" w:hAnsi="Times Roman"/>
          <w:rtl w:val="0"/>
          <w:lang w:val="en-US"/>
        </w:rPr>
        <w:t xml:space="preserve">. These are actively mitigated by executive action and technical controls. Resource risks are addressed by an </w:t>
      </w:r>
      <w:r>
        <w:rPr>
          <w:rFonts w:ascii="Times Roman" w:hAnsi="Times Roman"/>
          <w:b w:val="1"/>
          <w:bCs w:val="1"/>
          <w:rtl w:val="0"/>
          <w:lang w:val="en-US"/>
        </w:rPr>
        <w:t>Executive Sponsorship Mandate</w:t>
      </w:r>
      <w:r>
        <w:rPr>
          <w:rFonts w:ascii="Times Roman" w:hAnsi="Times Roman"/>
          <w:rtl w:val="0"/>
          <w:lang w:val="en-US"/>
        </w:rPr>
        <w:t xml:space="preserve"> securing dedicated time from the SAS Subject Matter Experts. Data integrity is guaranteed by the mandatory </w:t>
      </w:r>
      <w:r>
        <w:rPr>
          <w:rFonts w:ascii="Times Roman" w:hAnsi="Times Roman"/>
          <w:b w:val="1"/>
          <w:bCs w:val="1"/>
          <w:rtl w:val="0"/>
          <w:lang w:val="en-US"/>
        </w:rPr>
        <w:t>Compliance Gateway</w:t>
      </w:r>
      <w:r>
        <w:rPr>
          <w:rFonts w:ascii="Times Roman" w:hAnsi="Times Roman"/>
          <w:rtl w:val="0"/>
          <w:lang w:val="en-US"/>
        </w:rPr>
        <w:t xml:space="preserve"> approval and mandatory </w:t>
      </w:r>
      <w:r>
        <w:rPr>
          <w:rFonts w:ascii="Times Roman" w:hAnsi="Times Roman"/>
          <w:b w:val="1"/>
          <w:bCs w:val="1"/>
          <w:rtl w:val="0"/>
          <w:lang w:val="en-US"/>
        </w:rPr>
        <w:t>100% automated integration testing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hAnsi="Times Roman"/>
          <w:rtl w:val="0"/>
          <w:lang w:val="en-US"/>
        </w:rPr>
        <w:t xml:space="preserve">Stakeholder communication is tailored by audience and frequency. The </w:t>
      </w:r>
      <w:r>
        <w:rPr>
          <w:rFonts w:ascii="Times Roman" w:hAnsi="Times Roman"/>
          <w:b w:val="1"/>
          <w:bCs w:val="1"/>
          <w:rtl w:val="0"/>
          <w:lang w:val="en-US"/>
        </w:rPr>
        <w:t>Steering Committee (Executive)</w:t>
      </w:r>
      <w:r>
        <w:rPr>
          <w:rFonts w:ascii="Times Roman" w:hAnsi="Times Roman"/>
          <w:rtl w:val="0"/>
          <w:lang w:val="en-US"/>
        </w:rPr>
        <w:t xml:space="preserve"> will receive bi-weekly briefings focused primarily on risk register updates, resource issues, and formal sign-off requests. Technical and development teams will hold daily syncs focused on integration challenges. This disciplined communication structure ensures the critical link between </w:t>
      </w:r>
      <w:r>
        <w:rPr>
          <w:rFonts w:ascii="Times Roman" w:hAnsi="Times Roman"/>
          <w:b w:val="1"/>
          <w:bCs w:val="1"/>
          <w:rtl w:val="0"/>
          <w:lang w:val="en-US"/>
        </w:rPr>
        <w:t>regulatory compliance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technical execution</w:t>
      </w:r>
      <w:r>
        <w:rPr>
          <w:rFonts w:ascii="Times Roman" w:hAnsi="Times Roman"/>
          <w:rtl w:val="0"/>
          <w:lang w:val="en-US"/>
        </w:rPr>
        <w:t xml:space="preserve"> remains transparent to all leaders, providing a clear and managed path to institutional compliance.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