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 xml:space="preserve">Environmental Scan for the </w:t>
      </w:r>
      <w:r>
        <w:rPr>
          <w:rFonts w:ascii="Times Roman" w:hAnsi="Times Roman"/>
          <w:b w:val="1"/>
          <w:bCs w:val="1"/>
          <w:sz w:val="36"/>
          <w:szCs w:val="36"/>
          <w:rtl w:val="0"/>
          <w:lang w:val="en-US"/>
        </w:rPr>
        <w:t>Cost</w:t>
      </w:r>
      <w:r>
        <w:rPr>
          <w:rFonts w:ascii="Times Roman" w:hAnsi="Times Roman"/>
          <w:b w:val="1"/>
          <w:bCs w:val="1"/>
          <w:sz w:val="36"/>
          <w:szCs w:val="36"/>
          <w:rtl w:val="0"/>
          <w:lang w:val="pt-PT"/>
        </w:rPr>
        <w:t xml:space="preserve"> Calculator Project</w:t>
      </w:r>
    </w:p>
    <w:p>
      <w:pPr>
        <w:pStyle w:val="Default"/>
        <w:suppressAutoHyphens w:val="1"/>
        <w:spacing w:before="0" w:after="240" w:line="240" w:lineRule="auto"/>
        <w:rPr>
          <w:rFonts w:ascii="Times Roman" w:cs="Times Roman" w:hAnsi="Times Roman" w:eastAsia="Times Roman"/>
        </w:rPr>
      </w:pPr>
      <w:r>
        <w:rPr>
          <w:rFonts w:ascii="Times Roman" w:cs="Times Roman" w:hAnsi="Times Roman" w:eastAsia="Times Roman"/>
          <w:rtl w:val="0"/>
        </w:rPr>
        <w:tab/>
        <w:t>This</w:t>
      </w:r>
      <w:r>
        <w:rPr>
          <w:rFonts w:ascii="Times Roman" w:hAnsi="Times Roman"/>
          <w:rtl w:val="0"/>
          <w:lang w:val="en-US"/>
        </w:rPr>
        <w:t xml:space="preserve"> Environmental Scan systematically reviews external factors that impact the organization and the proposed solution. </w:t>
      </w:r>
      <w:r>
        <w:rPr>
          <w:rFonts w:ascii="Times Roman" w:hAnsi="Times Roman"/>
          <w:rtl w:val="0"/>
          <w:lang w:val="en-US"/>
        </w:rPr>
        <w:t>The</w:t>
      </w:r>
      <w:r>
        <w:rPr>
          <w:rFonts w:ascii="Times Roman" w:hAnsi="Times Roman"/>
          <w:rtl w:val="0"/>
          <w:lang w:val="en-US"/>
        </w:rPr>
        <w:t xml:space="preserve"> analysis formalizes the Opportunities (O) and Threats (T) identified in the SWOT, providing context for designing a solution that is</w:t>
      </w:r>
      <w:r>
        <w:rPr>
          <w:rFonts w:ascii="Times Roman" w:hAnsi="Times Roman"/>
          <w:rtl w:val="0"/>
          <w:lang w:val="en-US"/>
        </w:rPr>
        <w:t xml:space="preserve"> both </w:t>
      </w:r>
      <w:r>
        <w:rPr>
          <w:rFonts w:ascii="Times Roman" w:hAnsi="Times Roman"/>
          <w:rtl w:val="0"/>
          <w:lang w:val="en-US"/>
        </w:rPr>
        <w:t xml:space="preserve">technically </w:t>
      </w:r>
      <w:r>
        <w:rPr>
          <w:rFonts w:ascii="Times Roman" w:hAnsi="Times Roman"/>
          <w:rtl w:val="0"/>
          <w:lang w:val="en-US"/>
        </w:rPr>
        <w:t>viable and</w:t>
      </w:r>
      <w:r>
        <w:rPr>
          <w:rFonts w:ascii="Times Roman" w:hAnsi="Times Roman"/>
          <w:rtl w:val="0"/>
          <w:lang w:val="en-US"/>
        </w:rPr>
        <w:t xml:space="preserve"> strategically resilient. The proposed IT solution</w:t>
      </w:r>
      <w:r>
        <w:rPr>
          <w:rFonts w:ascii="Times Roman" w:hAnsi="Times Roman"/>
          <w:rtl w:val="0"/>
          <w:lang w:val="en-US"/>
        </w:rPr>
        <w:t xml:space="preserve"> for the development of</w:t>
      </w:r>
      <w:r>
        <w:rPr>
          <w:rFonts w:ascii="Times Roman" w:hAnsi="Times Roman"/>
          <w:rtl w:val="0"/>
          <w:lang w:val="en-US"/>
        </w:rPr>
        <w:t xml:space="preserve"> a compliant </w:t>
      </w:r>
      <w:r>
        <w:rPr>
          <w:rFonts w:ascii="Times Roman" w:hAnsi="Times Roman"/>
          <w:rtl w:val="0"/>
          <w:lang w:val="en-US"/>
        </w:rPr>
        <w:t>cost</w:t>
      </w:r>
      <w:r>
        <w:rPr>
          <w:rFonts w:ascii="Times Roman" w:hAnsi="Times Roman"/>
          <w:rtl w:val="0"/>
        </w:rPr>
        <w:t xml:space="preserve"> calculator componen</w:t>
      </w:r>
      <w:r>
        <w:rPr>
          <w:rFonts w:ascii="Times Roman" w:hAnsi="Times Roman"/>
          <w:rtl w:val="0"/>
          <w:lang w:val="en-US"/>
        </w:rPr>
        <w:t xml:space="preserve">t </w:t>
      </w:r>
      <w:r>
        <w:rPr>
          <w:rFonts w:ascii="Times Roman" w:hAnsi="Times Roman"/>
          <w:rtl w:val="0"/>
          <w:lang w:val="en-US"/>
        </w:rPr>
        <w:t>must address the risks and capitalize on the opportunities presented by the external environment.</w:t>
      </w:r>
    </w:p>
    <w:p>
      <w:pPr>
        <w:pStyle w:val="Caption"/>
        <w:numPr>
          <w:ilvl w:val="0"/>
          <w:numId w:val="2"/>
        </w:numPr>
        <w:bidi w:val="0"/>
      </w:pPr>
      <w:r>
        <w:rPr>
          <w:rtl w:val="0"/>
        </w:rPr>
        <w:t>Regulatory &amp; Legal Landscape</w:t>
      </w:r>
    </w:p>
    <w:p>
      <w:pPr>
        <w:pStyle w:val="Body"/>
        <w:bidi w:val="0"/>
      </w:pPr>
    </w:p>
    <w:p>
      <w:pPr>
        <w:pStyle w:val="Default"/>
        <w:suppressAutoHyphens w:val="1"/>
        <w:spacing w:before="0" w:after="240" w:line="24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The most significant external threat to the project</w:t>
      </w:r>
      <w:r>
        <w:rPr>
          <w:rFonts w:ascii="Times Roman" w:hAnsi="Times Roman" w:hint="default"/>
          <w:rtl w:val="1"/>
        </w:rPr>
        <w:t>’</w:t>
      </w:r>
      <w:r>
        <w:rPr>
          <w:rFonts w:ascii="Times Roman" w:hAnsi="Times Roman"/>
          <w:rtl w:val="0"/>
          <w:lang w:val="en-US"/>
        </w:rPr>
        <w:t>s success is the complexity of government oversight and consumer protection laws surrounding educational costs and financial projections.</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1"/>
        <w:gridCol w:w="2610"/>
        <w:gridCol w:w="4672"/>
      </w:tblGrid>
      <w:tr>
        <w:tblPrEx>
          <w:shd w:val="clear" w:color="auto" w:fill="auto"/>
        </w:tblPrEx>
        <w:trPr>
          <w:trHeight w:val="360" w:hRule="atLeast"/>
        </w:trPr>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Focus Area</w:t>
            </w:r>
          </w:p>
        </w:tc>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Key External Factors</w:t>
            </w:r>
          </w:p>
        </w:tc>
        <w:tc>
          <w:tcPr>
            <w:tcW w:type="dxa" w:w="46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Impact &amp; Risk</w:t>
            </w:r>
          </w:p>
        </w:tc>
      </w:tr>
      <w:tr>
        <w:tblPrEx>
          <w:shd w:val="clear" w:color="auto" w:fill="auto"/>
        </w:tblPrEx>
        <w:trPr>
          <w:trHeight w:val="1687" w:hRule="atLeast"/>
        </w:trPr>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Federal and State Financial Aid</w:t>
            </w:r>
          </w:p>
        </w:tc>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Legislation such as the Higher Education Act (HEA) and specific state-level laws governing tuition, fees, and disclosure rules.</w:t>
            </w:r>
          </w:p>
        </w:tc>
        <w:tc>
          <w:tcPr>
            <w:tcW w:type="dxa" w:w="46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High Risk.</w:t>
            </w:r>
            <w:r>
              <w:rPr>
                <w:rFonts w:ascii="Times Roman" w:hAnsi="Times Roman"/>
                <w:sz w:val="24"/>
                <w:szCs w:val="24"/>
                <w:rtl w:val="0"/>
                <w:lang w:val="en-US"/>
              </w:rPr>
              <w:t xml:space="preserve"> Changes in federal definitions </w:t>
            </w:r>
            <w:r>
              <w:rPr>
                <w:rFonts w:ascii="Times Roman" w:hAnsi="Times Roman"/>
                <w:sz w:val="24"/>
                <w:szCs w:val="24"/>
                <w:rtl w:val="0"/>
                <w:lang w:val="en-US"/>
              </w:rPr>
              <w:t>related to</w:t>
            </w:r>
            <w:r>
              <w:rPr>
                <w:rFonts w:ascii="Times Roman" w:hAnsi="Times Roman"/>
                <w:sz w:val="24"/>
                <w:szCs w:val="24"/>
                <w:rtl w:val="0"/>
                <w:lang w:val="en-US"/>
              </w:rPr>
              <w:t xml:space="preserve"> student loan interest rates, grant eligibility criteria</w:t>
            </w:r>
            <w:r>
              <w:rPr>
                <w:rFonts w:ascii="Times Roman" w:hAnsi="Times Roman"/>
                <w:sz w:val="24"/>
                <w:szCs w:val="24"/>
                <w:rtl w:val="0"/>
                <w:lang w:val="en-US"/>
              </w:rPr>
              <w:t xml:space="preserve"> </w:t>
            </w:r>
            <w:r>
              <w:rPr>
                <w:rFonts w:ascii="Times Roman" w:hAnsi="Times Roman"/>
                <w:sz w:val="24"/>
                <w:szCs w:val="24"/>
                <w:rtl w:val="0"/>
                <w:lang w:val="en-US"/>
              </w:rPr>
              <w:t>can instantly render the calculator's core logic or its required disclaimers obsolete, necessitating immediate, costly code and content updates.</w:t>
            </w:r>
          </w:p>
        </w:tc>
      </w:tr>
      <w:tr>
        <w:tblPrEx>
          <w:shd w:val="clear" w:color="auto" w:fill="auto"/>
        </w:tblPrEx>
        <w:trPr>
          <w:trHeight w:val="3087" w:hRule="atLeast"/>
        </w:trPr>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Consumer Protection &amp; Transparency</w:t>
            </w:r>
          </w:p>
        </w:tc>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Regulations from the Department of Education and the Federal Trade Commission (FTC) mandate accuracy and prohibit misleading advertising regarding degree costs and completion times, especially for for-profit institutions.</w:t>
            </w:r>
          </w:p>
        </w:tc>
        <w:tc>
          <w:tcPr>
            <w:tcW w:type="dxa" w:w="46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it-IT"/>
              </w:rPr>
              <w:t>Critical Risk.</w:t>
            </w:r>
            <w:r>
              <w:rPr>
                <w:rFonts w:ascii="Times Roman" w:hAnsi="Times Roman"/>
                <w:sz w:val="24"/>
                <w:szCs w:val="24"/>
                <w:rtl w:val="0"/>
                <w:lang w:val="en-US"/>
              </w:rPr>
              <w:t xml:space="preserve"> As a custom calculator provides an individualized </w:t>
            </w:r>
            <w:r>
              <w:rPr>
                <w:rFonts w:ascii="Times Roman" w:hAnsi="Times Roman"/>
                <w:i w:val="1"/>
                <w:iCs w:val="1"/>
                <w:sz w:val="24"/>
                <w:szCs w:val="24"/>
                <w:rtl w:val="0"/>
                <w:lang w:val="it-IT"/>
              </w:rPr>
              <w:t>estimate</w:t>
            </w:r>
            <w:r>
              <w:rPr>
                <w:rFonts w:ascii="Times Roman" w:hAnsi="Times Roman"/>
                <w:sz w:val="24"/>
                <w:szCs w:val="24"/>
                <w:rtl w:val="0"/>
                <w:lang w:val="en-US"/>
              </w:rPr>
              <w:t>, strict legal sign-off is required to ensure the output cannot be construed as a binding quote or a guarantee, thus protecting Arborwood from litigation and fines.</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pPr>
      <w:r>
        <w:rPr>
          <w:rFonts w:ascii="Arial Unicode MS" w:cs="Arial Unicode MS" w:hAnsi="Arial Unicode MS" w:eastAsia="Arial Unicode MS"/>
          <w:b w:val="0"/>
          <w:bCs w:val="0"/>
          <w:i w:val="0"/>
          <w:iCs w:val="0"/>
          <w:sz w:val="28"/>
          <w:szCs w:val="28"/>
        </w:rPr>
        <w:br w:type="page"/>
      </w:r>
    </w:p>
    <w:p>
      <w:pPr>
        <w:pStyle w:val="Caption"/>
        <w:bidi w:val="0"/>
      </w:pPr>
      <w:r>
        <w:rPr>
          <w:rtl w:val="0"/>
        </w:rPr>
        <w:t>2. Market &amp; Competitive Forces</w:t>
      </w:r>
    </w:p>
    <w:p>
      <w:pPr>
        <w:pStyle w:val="Caption"/>
        <w:bidi w:val="0"/>
      </w:pPr>
    </w:p>
    <w:p>
      <w:pPr>
        <w:pStyle w:val="Default"/>
        <w:suppressAutoHyphens w:val="1"/>
        <w:spacing w:before="0" w:after="240" w:line="24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This analysis confirms the market need for greater transparency while acknowledging the intensifying competition in the online higher education sector.</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91"/>
        <w:gridCol w:w="2443"/>
        <w:gridCol w:w="4919"/>
      </w:tblGrid>
      <w:tr>
        <w:tblPrEx>
          <w:shd w:val="clear" w:color="auto" w:fill="auto"/>
        </w:tblPrEx>
        <w:trPr>
          <w:trHeight w:val="360" w:hRule="atLeast"/>
        </w:trPr>
        <w:tc>
          <w:tcPr>
            <w:tcW w:type="dxa" w:w="1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Focus Area</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Key External Factors</w:t>
            </w:r>
          </w:p>
        </w:tc>
        <w:tc>
          <w:tcPr>
            <w:tcW w:type="dxa" w:w="4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Opportunity/Threat</w:t>
            </w:r>
          </w:p>
        </w:tc>
      </w:tr>
      <w:tr>
        <w:tblPrEx>
          <w:shd w:val="clear" w:color="auto" w:fill="auto"/>
        </w:tblPrEx>
        <w:trPr>
          <w:trHeight w:val="1687" w:hRule="atLeast"/>
        </w:trPr>
        <w:tc>
          <w:tcPr>
            <w:tcW w:type="dxa" w:w="1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Competitive Differentiation</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Competitors lack personalized, transparent tools for cost and time estimates. Most rely on static tuition tables.</w:t>
            </w:r>
          </w:p>
        </w:tc>
        <w:tc>
          <w:tcPr>
            <w:tcW w:type="dxa" w:w="4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Opportunity.</w:t>
            </w:r>
            <w:r>
              <w:rPr>
                <w:rFonts w:ascii="Times Roman" w:hAnsi="Times Roman"/>
                <w:sz w:val="24"/>
                <w:szCs w:val="24"/>
                <w:rtl w:val="0"/>
                <w:lang w:val="en-US"/>
              </w:rPr>
              <w:t xml:space="preserve"> Developing a best-in-class, personalized calculator will fulfill a clear market need, serving as a significant competitive differentiator and driving conversion rates, as identified by Marketing's research.</w:t>
            </w:r>
          </w:p>
        </w:tc>
      </w:tr>
      <w:tr>
        <w:tblPrEx>
          <w:shd w:val="clear" w:color="auto" w:fill="auto"/>
        </w:tblPrEx>
        <w:trPr>
          <w:trHeight w:val="2527" w:hRule="atLeast"/>
        </w:trPr>
        <w:tc>
          <w:tcPr>
            <w:tcW w:type="dxa" w:w="1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Market Saturation and Parity</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The pandemic accelerated online adoption, eliminating Arborwood's early advantage. Many competitors now offer comparable online degree completion programs.</w:t>
            </w:r>
          </w:p>
        </w:tc>
        <w:tc>
          <w:tcPr>
            <w:tcW w:type="dxa" w:w="4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Threat.</w:t>
            </w:r>
            <w:r>
              <w:rPr>
                <w:rFonts w:ascii="Times Roman" w:hAnsi="Times Roman"/>
                <w:sz w:val="24"/>
                <w:szCs w:val="24"/>
                <w:rtl w:val="0"/>
                <w:lang w:val="en-US"/>
              </w:rPr>
              <w:t xml:space="preserve"> Competitors are actively working to close the transparency gap. The project must be delivered with alacrity (as noted in the SWOT) before a major rival launches a similar tool, negating Arborwood's first-mover advantage.</w:t>
            </w:r>
          </w:p>
        </w:tc>
      </w:tr>
      <w:tr>
        <w:tblPrEx>
          <w:shd w:val="clear" w:color="auto" w:fill="auto"/>
        </w:tblPrEx>
        <w:trPr>
          <w:trHeight w:val="2527" w:hRule="atLeast"/>
        </w:trPr>
        <w:tc>
          <w:tcPr>
            <w:tcW w:type="dxa" w:w="19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Changing Prospect Demographics</w:t>
            </w:r>
          </w:p>
        </w:tc>
        <w:tc>
          <w:tcPr>
            <w:tcW w:type="dxa" w:w="24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Growing national skepticism regarding the ROI of higher education and increasing cost sensitivity among adult learners who are Arborwood's target audience.</w:t>
            </w:r>
          </w:p>
        </w:tc>
        <w:tc>
          <w:tcPr>
            <w:tcW w:type="dxa" w:w="4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Opportunity.</w:t>
            </w:r>
            <w:r>
              <w:rPr>
                <w:rFonts w:ascii="Times Roman" w:hAnsi="Times Roman"/>
                <w:sz w:val="24"/>
                <w:szCs w:val="24"/>
                <w:rtl w:val="0"/>
                <w:lang w:val="en-US"/>
              </w:rPr>
              <w:t xml:space="preserve"> A transparent calculator directly counters public skepticism by proving the value proposition. It empowers cost-sensitive prospects by giving them control over the estimated time and cost of their degree.</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Caption"/>
        <w:bidi w:val="0"/>
      </w:pPr>
      <w:r>
        <w:rPr>
          <w:rFonts w:ascii="Arial Unicode MS" w:cs="Arial Unicode MS" w:hAnsi="Arial Unicode MS" w:eastAsia="Arial Unicode MS"/>
          <w:b w:val="0"/>
          <w:bCs w:val="0"/>
          <w:i w:val="0"/>
          <w:iCs w:val="0"/>
        </w:rPr>
        <w:br w:type="page"/>
      </w:r>
    </w:p>
    <w:p>
      <w:pPr>
        <w:pStyle w:val="Caption"/>
        <w:bidi w:val="0"/>
      </w:pPr>
      <w:r>
        <w:rPr>
          <w:rtl w:val="0"/>
        </w:rPr>
        <w:t xml:space="preserve">3. Technological </w:t>
      </w:r>
      <w:r>
        <w:rPr>
          <w:rtl w:val="0"/>
        </w:rPr>
        <w:t>and</w:t>
      </w:r>
      <w:r>
        <w:rPr>
          <w:rtl w:val="0"/>
        </w:rPr>
        <w:t xml:space="preserve"> Platform Trends</w:t>
      </w:r>
    </w:p>
    <w:p>
      <w:pPr>
        <w:pStyle w:val="Caption"/>
        <w:bidi w:val="0"/>
      </w:pPr>
    </w:p>
    <w:p>
      <w:pPr>
        <w:pStyle w:val="Default"/>
        <w:suppressAutoHyphens w:val="1"/>
        <w:spacing w:before="0" w:after="240" w:line="24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This section examines the external technical ecosystem and platform dependencies.</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1"/>
        <w:gridCol w:w="2442"/>
        <w:gridCol w:w="4910"/>
      </w:tblGrid>
      <w:tr>
        <w:tblPrEx>
          <w:shd w:val="clear" w:color="auto" w:fill="auto"/>
        </w:tblPrEx>
        <w:trPr>
          <w:trHeight w:val="360" w:hRule="atLeast"/>
        </w:trPr>
        <w:tc>
          <w:tcPr>
            <w:tcW w:type="dxa" w:w="20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Focus Area</w:t>
            </w:r>
          </w:p>
        </w:tc>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Key External Factors</w:t>
            </w:r>
          </w:p>
        </w:tc>
        <w:tc>
          <w:tcPr>
            <w:tcW w:type="dxa" w:w="4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Opportunity/Threat</w:t>
            </w:r>
          </w:p>
        </w:tc>
      </w:tr>
      <w:tr>
        <w:tblPrEx>
          <w:shd w:val="clear" w:color="auto" w:fill="auto"/>
        </w:tblPrEx>
        <w:trPr>
          <w:trHeight w:val="1967" w:hRule="atLeast"/>
        </w:trPr>
        <w:tc>
          <w:tcPr>
            <w:tcW w:type="dxa" w:w="20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API Economy and Source Systems</w:t>
            </w:r>
          </w:p>
        </w:tc>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 market trend toward using APIs to integrate data across enterprise systems for real-time information retrieval.</w:t>
            </w:r>
          </w:p>
        </w:tc>
        <w:tc>
          <w:tcPr>
            <w:tcW w:type="dxa" w:w="4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Opportunity.</w:t>
            </w:r>
            <w:r>
              <w:rPr>
                <w:rFonts w:ascii="Times Roman" w:hAnsi="Times Roman"/>
                <w:sz w:val="24"/>
                <w:szCs w:val="24"/>
                <w:rtl w:val="0"/>
                <w:lang w:val="en-US"/>
              </w:rPr>
              <w:t xml:space="preserve"> The new AEM component functionality offers the ability to build seamless API integrations to internal data source systems (</w:t>
            </w:r>
            <w:r>
              <w:rPr>
                <w:rFonts w:ascii="Times Roman" w:hAnsi="Times Roman"/>
                <w:sz w:val="24"/>
                <w:szCs w:val="24"/>
                <w:rtl w:val="0"/>
                <w:lang w:val="en-US"/>
              </w:rPr>
              <w:t>for example</w:t>
            </w:r>
            <w:r>
              <w:rPr>
                <w:rFonts w:ascii="Times Roman" w:hAnsi="Times Roman"/>
                <w:sz w:val="24"/>
                <w:szCs w:val="24"/>
                <w:rtl w:val="0"/>
              </w:rPr>
              <w:t xml:space="preserve">, </w:t>
            </w:r>
            <w:r>
              <w:rPr>
                <w:rFonts w:ascii="Times Roman" w:hAnsi="Times Roman"/>
                <w:sz w:val="24"/>
                <w:szCs w:val="24"/>
                <w:rtl w:val="0"/>
                <w:lang w:val="en-US"/>
              </w:rPr>
              <w:t>academic management and</w:t>
            </w:r>
            <w:r>
              <w:rPr>
                <w:rFonts w:ascii="Times Roman" w:hAnsi="Times Roman"/>
                <w:sz w:val="24"/>
                <w:szCs w:val="24"/>
                <w:rtl w:val="0"/>
                <w:lang w:val="en-US"/>
              </w:rPr>
              <w:t xml:space="preserve"> financial systems), enabling the calculator to pull accurate, real-time data and reducing manual data management.</w:t>
            </w:r>
          </w:p>
        </w:tc>
      </w:tr>
      <w:tr>
        <w:tblPrEx>
          <w:shd w:val="clear" w:color="auto" w:fill="auto"/>
        </w:tblPrEx>
        <w:trPr>
          <w:trHeight w:val="1687" w:hRule="atLeast"/>
        </w:trPr>
        <w:tc>
          <w:tcPr>
            <w:tcW w:type="dxa" w:w="20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Emergence of AI in Content Generation</w:t>
            </w:r>
          </w:p>
        </w:tc>
        <w:tc>
          <w:tcPr>
            <w:tcW w:type="dxa" w:w="24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The broader use of generative AI tools to create and maintain website copy, FAQs, and content-at-scale.</w:t>
            </w:r>
          </w:p>
        </w:tc>
        <w:tc>
          <w:tcPr>
            <w:tcW w:type="dxa" w:w="4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Opportunity.</w:t>
            </w:r>
            <w:r>
              <w:rPr>
                <w:rFonts w:ascii="Times Roman" w:hAnsi="Times Roman"/>
                <w:sz w:val="24"/>
                <w:szCs w:val="24"/>
                <w:rtl w:val="0"/>
                <w:lang w:val="en-US"/>
              </w:rPr>
              <w:t xml:space="preserve"> The ability to automate content production and leverage data fetched by the calculator can free up Marketing Content Strategists to focus on the high-level strategy and UI/UX, rather than low-value manual content updates.</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Caption"/>
        <w:bidi w:val="0"/>
      </w:pPr>
      <w:r>
        <w:rPr>
          <w:rtl w:val="0"/>
        </w:rPr>
        <w:t>Conclusion and Next Steps</w:t>
      </w:r>
    </w:p>
    <w:p>
      <w:pPr>
        <w:pStyle w:val="Caption"/>
        <w:bidi w:val="0"/>
      </w:pPr>
    </w:p>
    <w:p>
      <w:pPr>
        <w:pStyle w:val="Default"/>
        <w:suppressAutoHyphens w:val="1"/>
        <w:spacing w:before="0" w:after="240" w:line="240" w:lineRule="auto"/>
        <w:rPr>
          <w:rFonts w:ascii="Times Roman" w:cs="Times Roman" w:hAnsi="Times Roman" w:eastAsia="Times Roman"/>
        </w:rPr>
      </w:pPr>
      <w:r>
        <w:rPr>
          <w:rFonts w:ascii="Times Roman" w:cs="Times Roman" w:hAnsi="Times Roman" w:eastAsia="Times Roman"/>
        </w:rPr>
        <w:tab/>
      </w:r>
      <w:r>
        <w:rPr>
          <w:rFonts w:ascii="Times Roman" w:hAnsi="Times Roman"/>
          <w:rtl w:val="0"/>
          <w:lang w:val="en-US"/>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p>
    <w:p>
      <w:pPr>
        <w:pStyle w:val="Caption"/>
        <w:bidi w:val="0"/>
      </w:pPr>
      <w:r>
        <w:rPr>
          <w:rtl w:val="0"/>
        </w:rPr>
        <w:t>Supervisor Introduction</w:t>
      </w:r>
    </w:p>
    <w:p>
      <w:pPr>
        <w:pStyle w:val="Caption"/>
        <w:bidi w:val="0"/>
      </w:pPr>
    </w:p>
    <w:p>
      <w:pPr>
        <w:pStyle w:val="Default"/>
        <w:suppressAutoHyphens w:val="1"/>
        <w:spacing w:before="0" w:after="240" w:line="240" w:lineRule="auto"/>
      </w:pPr>
      <w:r>
        <w:rPr>
          <w:rFonts w:ascii="Times Roman" w:cs="Times Roman" w:hAnsi="Times Roman" w:eastAsia="Times Roman"/>
          <w:rtl w:val="0"/>
        </w:rPr>
        <w:tab/>
        <w:t>The supervisor for this project is Michael Goettl, the Prospect Experience Optimization director in Arborwood University</w:t>
      </w:r>
      <w:r>
        <w:rPr>
          <w:rFonts w:ascii="Times Roman" w:hAnsi="Times Roman" w:hint="default"/>
          <w:rtl w:val="0"/>
          <w:lang w:val="en-US"/>
        </w:rPr>
        <w:t>’</w:t>
      </w:r>
      <w:r>
        <w:rPr>
          <w:rFonts w:ascii="Times Roman" w:hAnsi="Times Roman"/>
          <w:rtl w:val="0"/>
          <w:lang w:val="en-US"/>
        </w:rPr>
        <w:t>s Information Technology organization. Mike has been with Arborwood for seven years and had worked both in IT and in marketing. He has visibility into and influence with all organizations that have a vested interest in this project</w:t>
      </w:r>
      <w:r>
        <w:rPr>
          <w:rFonts w:ascii="Times Roman" w:hAnsi="Times Roman" w:hint="default"/>
          <w:rtl w:val="0"/>
          <w:lang w:val="en-US"/>
        </w:rPr>
        <w:t>’</w:t>
      </w:r>
      <w:r>
        <w:rPr>
          <w:rFonts w:ascii="Times Roman" w:hAnsi="Times Roman"/>
          <w:rtl w:val="0"/>
          <w:lang w:val="en-US"/>
        </w:rPr>
        <w:t>s outcomes and leads the developer and business analysis resources associated with the component</w:t>
      </w:r>
      <w:r>
        <w:rPr>
          <w:rFonts w:ascii="Times Roman" w:hAnsi="Times Roman" w:hint="default"/>
          <w:rtl w:val="0"/>
          <w:lang w:val="en-US"/>
        </w:rPr>
        <w:t>’</w:t>
      </w:r>
      <w:r>
        <w:rPr>
          <w:rFonts w:ascii="Times Roman" w:hAnsi="Times Roman"/>
          <w:rtl w:val="0"/>
          <w:lang w:val="en-US"/>
        </w:rPr>
        <w:t>s build, testing and deployment.</w:t>
      </w:r>
      <w:r>
        <w:rPr>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