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74BDB6" w14:textId="77777777" w:rsidR="009D5DD6" w:rsidRDefault="009D5DD6">
      <w:pPr>
        <w:pStyle w:val="Default"/>
        <w:suppressAutoHyphens/>
        <w:spacing w:before="0" w:after="240" w:line="240" w:lineRule="auto"/>
        <w:jc w:val="center"/>
        <w:rPr>
          <w:rFonts w:ascii="Times Roman" w:hAnsi="Times Roman"/>
        </w:rPr>
      </w:pPr>
    </w:p>
    <w:p w14:paraId="6074BDB7" w14:textId="77777777" w:rsidR="009D5DD6" w:rsidRDefault="009D5DD6">
      <w:pPr>
        <w:pStyle w:val="Default"/>
        <w:suppressAutoHyphens/>
        <w:spacing w:before="0" w:after="240" w:line="240" w:lineRule="auto"/>
        <w:jc w:val="center"/>
        <w:rPr>
          <w:rFonts w:ascii="Times Roman" w:hAnsi="Times Roman"/>
          <w:b/>
          <w:bCs/>
        </w:rPr>
      </w:pPr>
    </w:p>
    <w:p w14:paraId="6074BDB8" w14:textId="77777777" w:rsidR="009D5DD6" w:rsidRDefault="009D5DD6">
      <w:pPr>
        <w:pStyle w:val="Default"/>
        <w:suppressAutoHyphens/>
        <w:spacing w:before="0" w:after="240" w:line="240" w:lineRule="auto"/>
        <w:jc w:val="center"/>
        <w:rPr>
          <w:rFonts w:ascii="Times Roman" w:hAnsi="Times Roman"/>
          <w:b/>
          <w:bCs/>
        </w:rPr>
      </w:pPr>
    </w:p>
    <w:p w14:paraId="6074BDB9" w14:textId="77777777" w:rsidR="009D5DD6" w:rsidRDefault="009D5DD6">
      <w:pPr>
        <w:pStyle w:val="Default"/>
        <w:suppressAutoHyphens/>
        <w:spacing w:before="0" w:after="240" w:line="240" w:lineRule="auto"/>
        <w:jc w:val="center"/>
        <w:rPr>
          <w:rFonts w:ascii="Times Roman" w:hAnsi="Times Roman"/>
          <w:b/>
          <w:bCs/>
        </w:rPr>
      </w:pPr>
    </w:p>
    <w:p w14:paraId="6074BDBA" w14:textId="77777777" w:rsidR="009D5DD6" w:rsidRDefault="009D5DD6">
      <w:pPr>
        <w:pStyle w:val="Default"/>
        <w:suppressAutoHyphens/>
        <w:spacing w:before="0" w:after="240" w:line="240" w:lineRule="auto"/>
        <w:jc w:val="center"/>
        <w:rPr>
          <w:rFonts w:ascii="Times Roman" w:hAnsi="Times Roman"/>
          <w:b/>
          <w:bCs/>
        </w:rPr>
      </w:pPr>
    </w:p>
    <w:p w14:paraId="6074BDBB" w14:textId="77777777" w:rsidR="009D5DD6" w:rsidRDefault="003E6CAE">
      <w:pPr>
        <w:pStyle w:val="Default"/>
        <w:suppressAutoHyphens/>
        <w:spacing w:before="0" w:after="240" w:line="240" w:lineRule="auto"/>
        <w:jc w:val="center"/>
        <w:rPr>
          <w:rFonts w:ascii="Times Roman" w:eastAsia="Times Roman" w:hAnsi="Times Roman" w:cs="Times Roman"/>
          <w:b/>
          <w:bCs/>
        </w:rPr>
      </w:pPr>
      <w:r>
        <w:rPr>
          <w:rFonts w:ascii="Times Roman" w:hAnsi="Times Roman"/>
          <w:b/>
          <w:bCs/>
        </w:rPr>
        <w:t xml:space="preserve">Mitigating Regulatory Risk: </w:t>
      </w:r>
    </w:p>
    <w:p w14:paraId="6074BDBC" w14:textId="77777777" w:rsidR="009D5DD6" w:rsidRDefault="003E6CAE">
      <w:pPr>
        <w:pStyle w:val="Default"/>
        <w:suppressAutoHyphens/>
        <w:spacing w:before="0" w:after="240" w:line="240" w:lineRule="auto"/>
        <w:jc w:val="center"/>
        <w:rPr>
          <w:rFonts w:ascii="Times Roman" w:eastAsia="Times Roman" w:hAnsi="Times Roman" w:cs="Times Roman"/>
          <w:b/>
          <w:bCs/>
        </w:rPr>
      </w:pPr>
      <w:r>
        <w:rPr>
          <w:rFonts w:ascii="Times Roman" w:hAnsi="Times Roman"/>
          <w:b/>
          <w:bCs/>
        </w:rPr>
        <w:t xml:space="preserve">A Comprehensive Compliance and IT Strategy for the </w:t>
      </w:r>
    </w:p>
    <w:p w14:paraId="6074BDBD" w14:textId="77777777" w:rsidR="009D5DD6" w:rsidRDefault="003E6CAE">
      <w:pPr>
        <w:pStyle w:val="Default"/>
        <w:suppressAutoHyphens/>
        <w:spacing w:before="0" w:after="240" w:line="240" w:lineRule="auto"/>
        <w:jc w:val="center"/>
        <w:rPr>
          <w:rFonts w:ascii="Times Roman" w:eastAsia="Times Roman" w:hAnsi="Times Roman" w:cs="Times Roman"/>
        </w:rPr>
      </w:pPr>
      <w:r>
        <w:rPr>
          <w:rFonts w:ascii="Times Roman" w:hAnsi="Times Roman"/>
          <w:b/>
          <w:bCs/>
        </w:rPr>
        <w:t xml:space="preserve">Development of a Cost </w:t>
      </w:r>
      <w:r>
        <w:rPr>
          <w:rFonts w:ascii="Times Roman" w:hAnsi="Times Roman"/>
          <w:b/>
          <w:bCs/>
        </w:rPr>
        <w:t>Calculator</w:t>
      </w:r>
    </w:p>
    <w:p w14:paraId="6074BDBE" w14:textId="77777777" w:rsidR="009D5DD6" w:rsidRDefault="009D5DD6">
      <w:pPr>
        <w:pStyle w:val="Default"/>
        <w:suppressAutoHyphens/>
        <w:spacing w:before="0" w:after="240" w:line="240" w:lineRule="auto"/>
        <w:jc w:val="center"/>
        <w:rPr>
          <w:rFonts w:ascii="Times Roman" w:eastAsia="Times Roman" w:hAnsi="Times Roman" w:cs="Times Roman"/>
        </w:rPr>
      </w:pPr>
    </w:p>
    <w:p w14:paraId="6074BDBF" w14:textId="77777777" w:rsidR="009D5DD6" w:rsidRDefault="003E6CAE">
      <w:pPr>
        <w:pStyle w:val="Default"/>
        <w:suppressAutoHyphens/>
        <w:spacing w:before="0" w:after="240" w:line="240" w:lineRule="auto"/>
        <w:jc w:val="center"/>
        <w:rPr>
          <w:rFonts w:ascii="Times Roman" w:eastAsia="Times Roman" w:hAnsi="Times Roman" w:cs="Times Roman"/>
        </w:rPr>
      </w:pPr>
      <w:r>
        <w:rPr>
          <w:rFonts w:ascii="Times Roman" w:hAnsi="Times Roman"/>
        </w:rPr>
        <w:t>Kate Herrick</w:t>
      </w:r>
    </w:p>
    <w:p w14:paraId="6074BDC0" w14:textId="77777777" w:rsidR="009D5DD6" w:rsidRDefault="009D5DD6">
      <w:pPr>
        <w:pStyle w:val="Default"/>
        <w:suppressAutoHyphens/>
        <w:spacing w:before="0" w:after="240" w:line="240" w:lineRule="auto"/>
        <w:jc w:val="center"/>
        <w:rPr>
          <w:rFonts w:ascii="Times Roman" w:eastAsia="Times Roman" w:hAnsi="Times Roman" w:cs="Times Roman"/>
        </w:rPr>
      </w:pPr>
    </w:p>
    <w:p w14:paraId="6074BDC1" w14:textId="77777777" w:rsidR="009D5DD6" w:rsidRDefault="003E6CAE">
      <w:pPr>
        <w:pStyle w:val="Default"/>
        <w:suppressAutoHyphens/>
        <w:spacing w:before="0" w:after="240" w:line="240" w:lineRule="auto"/>
        <w:jc w:val="center"/>
        <w:rPr>
          <w:rFonts w:ascii="Times Roman" w:eastAsia="Times Roman" w:hAnsi="Times Roman" w:cs="Times Roman"/>
        </w:rPr>
      </w:pPr>
      <w:r>
        <w:rPr>
          <w:rFonts w:ascii="Times Roman" w:hAnsi="Times Roman"/>
        </w:rPr>
        <w:t>Capella University</w:t>
      </w:r>
    </w:p>
    <w:p w14:paraId="6074BDC2" w14:textId="77777777" w:rsidR="009D5DD6" w:rsidRDefault="009D5DD6">
      <w:pPr>
        <w:pStyle w:val="Default"/>
        <w:suppressAutoHyphens/>
        <w:spacing w:before="0" w:after="240" w:line="240" w:lineRule="auto"/>
        <w:jc w:val="center"/>
        <w:rPr>
          <w:rFonts w:ascii="Times Roman" w:eastAsia="Times Roman" w:hAnsi="Times Roman" w:cs="Times Roman"/>
        </w:rPr>
      </w:pPr>
    </w:p>
    <w:p w14:paraId="6074BDC3" w14:textId="77777777" w:rsidR="009D5DD6" w:rsidRDefault="003E6CAE">
      <w:pPr>
        <w:pStyle w:val="Default"/>
        <w:suppressAutoHyphens/>
        <w:spacing w:before="0" w:after="240" w:line="240" w:lineRule="auto"/>
        <w:jc w:val="center"/>
        <w:rPr>
          <w:rFonts w:ascii="Times Roman" w:eastAsia="Times Roman" w:hAnsi="Times Roman" w:cs="Times Roman"/>
        </w:rPr>
      </w:pPr>
      <w:r>
        <w:rPr>
          <w:rFonts w:ascii="Times Roman" w:hAnsi="Times Roman"/>
        </w:rPr>
        <w:t>IT</w:t>
      </w:r>
      <w:r>
        <w:rPr>
          <w:rFonts w:ascii="Times Roman" w:hAnsi="Times Roman"/>
        </w:rPr>
        <w:t>-FPX</w:t>
      </w:r>
      <w:r>
        <w:rPr>
          <w:rFonts w:ascii="Times Roman" w:hAnsi="Times Roman"/>
        </w:rPr>
        <w:t xml:space="preserve"> 499</w:t>
      </w:r>
      <w:r>
        <w:rPr>
          <w:rFonts w:ascii="Times Roman" w:hAnsi="Times Roman"/>
        </w:rPr>
        <w:t>7</w:t>
      </w:r>
      <w:r>
        <w:rPr>
          <w:rFonts w:ascii="Times Roman" w:hAnsi="Times Roman"/>
          <w:lang w:val="de-DE"/>
        </w:rPr>
        <w:t>: Capstone</w:t>
      </w:r>
      <w:r>
        <w:rPr>
          <w:rFonts w:ascii="Times Roman" w:hAnsi="Times Roman"/>
        </w:rPr>
        <w:t xml:space="preserve"> I</w:t>
      </w:r>
    </w:p>
    <w:p w14:paraId="6074BDC4" w14:textId="77777777" w:rsidR="009D5DD6" w:rsidRDefault="009D5DD6">
      <w:pPr>
        <w:pStyle w:val="Default"/>
        <w:suppressAutoHyphens/>
        <w:spacing w:before="0" w:after="240" w:line="240" w:lineRule="auto"/>
        <w:jc w:val="center"/>
        <w:rPr>
          <w:rFonts w:ascii="Times Roman" w:eastAsia="Times Roman" w:hAnsi="Times Roman" w:cs="Times Roman"/>
        </w:rPr>
      </w:pPr>
    </w:p>
    <w:p w14:paraId="6074BDC5" w14:textId="77777777" w:rsidR="009D5DD6" w:rsidRDefault="003E6CAE">
      <w:pPr>
        <w:pStyle w:val="Default"/>
        <w:suppressAutoHyphens/>
        <w:spacing w:before="0" w:after="240" w:line="240" w:lineRule="auto"/>
        <w:jc w:val="center"/>
        <w:rPr>
          <w:rFonts w:ascii="Times Roman" w:eastAsia="Times Roman" w:hAnsi="Times Roman" w:cs="Times Roman"/>
        </w:rPr>
      </w:pPr>
      <w:r>
        <w:rPr>
          <w:rFonts w:ascii="Times Roman" w:hAnsi="Times Roman"/>
        </w:rPr>
        <w:t>Site Supervisor: Mike Goettl</w:t>
      </w:r>
    </w:p>
    <w:p w14:paraId="6074BDC6" w14:textId="77777777" w:rsidR="009D5DD6" w:rsidRDefault="009D5DD6">
      <w:pPr>
        <w:pStyle w:val="Default"/>
        <w:suppressAutoHyphens/>
        <w:spacing w:before="0" w:after="240" w:line="240" w:lineRule="auto"/>
        <w:jc w:val="center"/>
        <w:rPr>
          <w:rFonts w:ascii="Times Roman" w:eastAsia="Times Roman" w:hAnsi="Times Roman" w:cs="Times Roman"/>
        </w:rPr>
      </w:pPr>
    </w:p>
    <w:p w14:paraId="6074BDC7" w14:textId="77777777" w:rsidR="009D5DD6" w:rsidRDefault="003E6CAE">
      <w:pPr>
        <w:pStyle w:val="Default"/>
        <w:suppressAutoHyphens/>
        <w:spacing w:before="0" w:after="240" w:line="240" w:lineRule="auto"/>
        <w:jc w:val="center"/>
        <w:rPr>
          <w:rFonts w:ascii="Times Roman" w:eastAsia="Times Roman" w:hAnsi="Times Roman" w:cs="Times Roman"/>
        </w:rPr>
      </w:pPr>
      <w:r>
        <w:rPr>
          <w:rFonts w:ascii="Times Roman" w:hAnsi="Times Roman"/>
        </w:rPr>
        <w:t>October 24</w:t>
      </w:r>
      <w:r>
        <w:rPr>
          <w:rFonts w:ascii="Times Roman" w:hAnsi="Times Roman"/>
        </w:rPr>
        <w:t>, 2025</w:t>
      </w:r>
    </w:p>
    <w:p w14:paraId="6074BDC8" w14:textId="77777777" w:rsidR="009D5DD6" w:rsidRDefault="003E6CAE">
      <w:pPr>
        <w:pStyle w:val="Default"/>
        <w:suppressAutoHyphens/>
        <w:spacing w:before="0" w:after="240" w:line="240" w:lineRule="auto"/>
        <w:jc w:val="center"/>
      </w:pPr>
      <w:r>
        <w:rPr>
          <w:rFonts w:ascii="Arial Unicode MS" w:hAnsi="Arial Unicode MS"/>
        </w:rPr>
        <w:br w:type="page"/>
      </w:r>
    </w:p>
    <w:p w14:paraId="6074BDC9" w14:textId="77777777" w:rsidR="009D5DD6" w:rsidRDefault="009D5DD6">
      <w:pPr>
        <w:pStyle w:val="Default"/>
        <w:suppressAutoHyphens/>
        <w:spacing w:before="0" w:after="240" w:line="240" w:lineRule="auto"/>
        <w:jc w:val="center"/>
        <w:rPr>
          <w:rFonts w:ascii="Times Roman" w:eastAsia="Times Roman" w:hAnsi="Times Roman" w:cs="Times Roman"/>
        </w:rPr>
      </w:pPr>
    </w:p>
    <w:p w14:paraId="020ACB76" w14:textId="77777777" w:rsidR="003E6CAE" w:rsidRDefault="003E6CAE" w:rsidP="003E6CAE">
      <w:pPr>
        <w:rPr>
          <w:rStyle w:val="SubtleReference"/>
        </w:rPr>
      </w:pPr>
    </w:p>
    <w:p w14:paraId="732C1A72" w14:textId="77777777" w:rsidR="003E6CAE" w:rsidRPr="003A7D85" w:rsidRDefault="003E6CAE" w:rsidP="003E6CAE">
      <w:pPr>
        <w:rPr>
          <w:rStyle w:val="SubtleReference"/>
        </w:rPr>
      </w:pPr>
      <w:r w:rsidRPr="003A7D85">
        <w:rPr>
          <w:rStyle w:val="SubtleReference"/>
        </w:rPr>
        <w:t>Organizational Introduction</w:t>
      </w:r>
    </w:p>
    <w:p w14:paraId="7DFF8A8A" w14:textId="77777777" w:rsidR="003E6CAE" w:rsidRDefault="003E6CAE" w:rsidP="003E6CAE"/>
    <w:p w14:paraId="4F72BC1B" w14:textId="77777777" w:rsidR="003E6CAE" w:rsidRPr="00DD1559" w:rsidRDefault="003E6CAE" w:rsidP="003E6CAE">
      <w:r>
        <w:tab/>
      </w:r>
      <w:proofErr w:type="spellStart"/>
      <w:r>
        <w:t>Arborwood</w:t>
      </w:r>
      <w:proofErr w:type="spellEnd"/>
      <w:r>
        <w:t xml:space="preserve"> University is a private university offering baccalaureate, masters, and doctoral degree programs, along with graduate certificates, in an exclusively online format. The institution is heavily marketed online through social media and ad placement, as well as periodically in national television ad buys. The organization’s marketing team undertook intensive research to identify transformative initiatives that had the potential to drive revenue improvements in an increasingly saturated industry. A key friction point that impeded conversion on the commercial site was identified during the marketing team’s research related to cost transparency. The proposed project, a cost calculator that would be included on the commercial website, would enable prospective students to input information relative to their personal needs and program selection and obtain an estimate of both the cost and time investment required to obtain their degree. </w:t>
      </w:r>
    </w:p>
    <w:p w14:paraId="7FA727E7" w14:textId="77777777" w:rsidR="003E6CAE" w:rsidRDefault="003E6CAE" w:rsidP="003E6CAE">
      <w:pPr>
        <w:pStyle w:val="Default"/>
        <w:suppressAutoHyphens/>
        <w:spacing w:before="0" w:after="299" w:line="240" w:lineRule="auto"/>
        <w:rPr>
          <w:rFonts w:ascii="Times Roman" w:hAnsi="Times Roman"/>
          <w:b/>
          <w:bCs/>
          <w:sz w:val="36"/>
          <w:szCs w:val="36"/>
        </w:rPr>
      </w:pPr>
    </w:p>
    <w:p w14:paraId="4AB2CFCA" w14:textId="77777777" w:rsidR="003E6CAE" w:rsidRPr="003A7D85" w:rsidRDefault="003E6CAE" w:rsidP="003E6CAE">
      <w:pPr>
        <w:pStyle w:val="Default"/>
        <w:suppressAutoHyphens/>
        <w:spacing w:before="0" w:after="299" w:line="240" w:lineRule="auto"/>
        <w:rPr>
          <w:rStyle w:val="SubtleReference"/>
        </w:rPr>
      </w:pPr>
      <w:r w:rsidRPr="003A7D85">
        <w:rPr>
          <w:rStyle w:val="SubtleReference"/>
        </w:rPr>
        <w:t>Site Supervisor Introduction</w:t>
      </w:r>
    </w:p>
    <w:p w14:paraId="48DA506C" w14:textId="77777777" w:rsidR="003E6CAE" w:rsidRDefault="003E6CAE" w:rsidP="003E6CAE">
      <w:pPr>
        <w:rPr>
          <w:rFonts w:ascii="Times Roman" w:hAnsi="Times Roman"/>
        </w:rPr>
      </w:pPr>
      <w:r>
        <w:tab/>
      </w:r>
      <w:r>
        <w:rPr>
          <w:rFonts w:ascii="Times Roman" w:eastAsia="Times Roman" w:hAnsi="Times Roman" w:cs="Times Roman"/>
        </w:rPr>
        <w:t xml:space="preserve">The site supervisor for this project is Michael Goettl, a director in </w:t>
      </w:r>
      <w:proofErr w:type="spellStart"/>
      <w:r>
        <w:rPr>
          <w:rFonts w:ascii="Times Roman" w:eastAsia="Times Roman" w:hAnsi="Times Roman" w:cs="Times Roman"/>
        </w:rPr>
        <w:t>Arborwood</w:t>
      </w:r>
      <w:proofErr w:type="spellEnd"/>
      <w:r>
        <w:rPr>
          <w:rFonts w:ascii="Times Roman" w:eastAsia="Times Roman" w:hAnsi="Times Roman" w:cs="Times Roman"/>
        </w:rPr>
        <w:t xml:space="preserve"> University</w:t>
      </w:r>
      <w:r>
        <w:rPr>
          <w:rFonts w:ascii="Times Roman" w:hAnsi="Times Roman"/>
        </w:rPr>
        <w:t xml:space="preserve">’s Information Technology organization. Mike has been with </w:t>
      </w:r>
      <w:proofErr w:type="spellStart"/>
      <w:r>
        <w:rPr>
          <w:rFonts w:ascii="Times Roman" w:hAnsi="Times Roman"/>
        </w:rPr>
        <w:t>Arborwood</w:t>
      </w:r>
      <w:proofErr w:type="spellEnd"/>
      <w:r>
        <w:rPr>
          <w:rFonts w:ascii="Times Roman" w:hAnsi="Times Roman"/>
        </w:rPr>
        <w:t xml:space="preserve"> for six years. His experience as the business owner of </w:t>
      </w:r>
      <w:proofErr w:type="spellStart"/>
      <w:r>
        <w:rPr>
          <w:rFonts w:ascii="Times Roman" w:hAnsi="Times Roman"/>
        </w:rPr>
        <w:t>Arborwood’s</w:t>
      </w:r>
      <w:proofErr w:type="spellEnd"/>
      <w:r>
        <w:rPr>
          <w:rFonts w:ascii="Times Roman" w:hAnsi="Times Roman"/>
        </w:rPr>
        <w:t xml:space="preserve"> commercial website and related paid media pages in marketing has enabled him to lead his IT team in fostering collaborative and transparent communications with his former colleagues in marketing. He has visibility into and influence with all organizations that have a vested interest in this project’s outcomes and leads the developer and business analysis resources associated with the component’s build, testing, and deployment. Mike also has an extensive background in web development, enabling him to provide meaningful and actionable insights into the solution’s architecture and implementation. Lastly, Mike’s experience with gaining legal approval for a number of marketing initiatives in his previous role enables him to advocate for his former organization to take the steps needed to ensure compliance while also retaining the authority to halt the project in the event such compliance approval is not secured.</w:t>
      </w:r>
    </w:p>
    <w:p w14:paraId="7A4C297B" w14:textId="77777777" w:rsidR="003E6CAE" w:rsidRDefault="003E6CAE" w:rsidP="003E6CAE">
      <w:pPr>
        <w:rPr>
          <w:rFonts w:ascii="Times Roman" w:hAnsi="Times Roman"/>
        </w:rPr>
      </w:pPr>
    </w:p>
    <w:p w14:paraId="56E04340" w14:textId="77777777" w:rsidR="003E6CAE" w:rsidRDefault="003E6CAE" w:rsidP="003E6CAE">
      <w:pPr>
        <w:rPr>
          <w:rFonts w:ascii="Times Roman" w:hAnsi="Times Roman"/>
        </w:rPr>
      </w:pPr>
    </w:p>
    <w:p w14:paraId="7480D9EB" w14:textId="77777777" w:rsidR="003E6CAE" w:rsidRDefault="003E6CAE" w:rsidP="003E6CAE">
      <w:pPr>
        <w:rPr>
          <w:rStyle w:val="SubtleReference"/>
        </w:rPr>
      </w:pPr>
      <w:r w:rsidRPr="003B0C4B">
        <w:rPr>
          <w:rStyle w:val="SubtleReference"/>
        </w:rPr>
        <w:t xml:space="preserve">SWOT Analysis: An Assessment of </w:t>
      </w:r>
      <w:proofErr w:type="spellStart"/>
      <w:r w:rsidRPr="003B0C4B">
        <w:rPr>
          <w:rStyle w:val="SubtleReference"/>
        </w:rPr>
        <w:t>Arborwood</w:t>
      </w:r>
      <w:proofErr w:type="spellEnd"/>
      <w:r w:rsidRPr="003B0C4B">
        <w:rPr>
          <w:rStyle w:val="SubtleReference"/>
        </w:rPr>
        <w:t xml:space="preserve"> University’s Marketing, Information Technology and Organizational </w:t>
      </w:r>
      <w:r>
        <w:rPr>
          <w:rStyle w:val="SubtleReference"/>
        </w:rPr>
        <w:t>State</w:t>
      </w:r>
    </w:p>
    <w:p w14:paraId="0E350D40" w14:textId="77777777" w:rsidR="003E6CAE" w:rsidRPr="00F715E3" w:rsidRDefault="003E6CAE" w:rsidP="003E6CAE">
      <w:pPr>
        <w:pStyle w:val="Heading2"/>
        <w:rPr>
          <w:smallCaps/>
          <w:color w:val="5A5A5A" w:themeColor="text1" w:themeTint="A5"/>
          <w:sz w:val="24"/>
          <w:szCs w:val="24"/>
        </w:rPr>
      </w:pPr>
      <w:r>
        <w:rPr>
          <w:rFonts w:ascii="Times Roman" w:eastAsia="Times Roman" w:hAnsi="Times Roman" w:cs="Times Roman"/>
        </w:rPr>
        <w:tab/>
      </w:r>
    </w:p>
    <w:p w14:paraId="244A13EA" w14:textId="77777777" w:rsidR="003E6CAE" w:rsidRPr="004438D6" w:rsidRDefault="003E6CAE" w:rsidP="003E6CAE">
      <w:pPr>
        <w:pStyle w:val="Default"/>
        <w:suppressAutoHyphens/>
        <w:spacing w:before="0" w:after="240" w:line="240" w:lineRule="auto"/>
        <w:rPr>
          <w:rFonts w:ascii="Times Roman" w:hAnsi="Times Roman"/>
        </w:rPr>
      </w:pPr>
      <w:r>
        <w:rPr>
          <w:rFonts w:ascii="Times Roman" w:eastAsia="Times Roman" w:hAnsi="Times Roman" w:cs="Times Roman"/>
        </w:rPr>
        <w:tab/>
      </w:r>
      <w:r>
        <w:rPr>
          <w:rFonts w:ascii="Times Roman" w:hAnsi="Times Roman"/>
        </w:rPr>
        <w:t xml:space="preserve">This SWOT analysis provides an assessment of the internal and external factors influencing the success of a planned technical project at </w:t>
      </w:r>
      <w:proofErr w:type="spellStart"/>
      <w:r>
        <w:rPr>
          <w:rFonts w:ascii="Times Roman" w:hAnsi="Times Roman"/>
        </w:rPr>
        <w:t>Arborwood</w:t>
      </w:r>
      <w:proofErr w:type="spellEnd"/>
      <w:r>
        <w:rPr>
          <w:rFonts w:ascii="Times Roman" w:hAnsi="Times Roman"/>
        </w:rPr>
        <w:t xml:space="preserve"> University. The project under consideration, a tool that would reside on </w:t>
      </w:r>
      <w:proofErr w:type="spellStart"/>
      <w:r>
        <w:rPr>
          <w:rFonts w:ascii="Times Roman" w:hAnsi="Times Roman"/>
        </w:rPr>
        <w:t>Arborwood’s</w:t>
      </w:r>
      <w:proofErr w:type="spellEnd"/>
      <w:r>
        <w:rPr>
          <w:rFonts w:ascii="Times Roman" w:hAnsi="Times Roman"/>
        </w:rPr>
        <w:t xml:space="preserve"> commercial websites used to calculate user-specific cost estimates for degree completion programs, is a strategic imperative whose concept was developed in response to extensive market research.</w:t>
      </w:r>
    </w:p>
    <w:p w14:paraId="48EAAC4F" w14:textId="77777777" w:rsidR="003E6CAE" w:rsidRDefault="003E6CAE" w:rsidP="003E6CAE">
      <w:pPr>
        <w:pStyle w:val="Default"/>
        <w:suppressAutoHyphens/>
        <w:spacing w:before="0" w:after="240" w:line="240" w:lineRule="auto"/>
        <w:rPr>
          <w:rFonts w:ascii="Times Roman" w:eastAsia="Times Roman" w:hAnsi="Times Roman" w:cs="Times Roman"/>
        </w:rPr>
      </w:pPr>
      <w:r>
        <w:rPr>
          <w:rFonts w:ascii="Times Roman" w:eastAsia="Times Roman" w:hAnsi="Times Roman" w:cs="Times Roman"/>
        </w:rPr>
        <w:tab/>
      </w:r>
      <w:r>
        <w:rPr>
          <w:rFonts w:ascii="Times Roman" w:hAnsi="Times Roman"/>
        </w:rPr>
        <w:t>The primary finding of this analysis is that a clear market opportunity for differentiation exists, supported by strong internal resources. However, the project's success is jeopardized by the organizational disconnect between constantly-shifting marketing priorities and resulting IT skepticism. It is also at risk of failure in the event that legal/compliance approval is not secured and maintained over the lifespan of the proposed solution.</w:t>
      </w:r>
    </w:p>
    <w:p w14:paraId="6DE1244B" w14:textId="77777777" w:rsidR="003E6CAE" w:rsidRDefault="003E6CAE" w:rsidP="003E6CAE">
      <w:pPr>
        <w:pStyle w:val="Default"/>
        <w:suppressAutoHyphens/>
        <w:spacing w:before="0" w:after="240" w:line="240" w:lineRule="auto"/>
        <w:rPr>
          <w:rFonts w:ascii="Times Roman" w:hAnsi="Times Roman"/>
        </w:rPr>
      </w:pPr>
      <w:r>
        <w:rPr>
          <w:rFonts w:ascii="Times Roman" w:eastAsia="Times Roman" w:hAnsi="Times Roman" w:cs="Times Roman"/>
        </w:rPr>
        <w:tab/>
      </w:r>
      <w:r>
        <w:rPr>
          <w:rFonts w:ascii="Times Roman" w:hAnsi="Times Roman"/>
        </w:rPr>
        <w:t>The calculator project is technically feasible, but its strategic viability is contingent upon leadership resolving the internal conflict and the establishment of formal processes by which legal approval is obtained and renewed over the tool’s lifespan before development proceeds.</w:t>
      </w:r>
    </w:p>
    <w:p w14:paraId="713A4A07" w14:textId="77777777" w:rsidR="003E6CAE" w:rsidRDefault="003E6CAE" w:rsidP="003E6CAE">
      <w:pPr>
        <w:pStyle w:val="Default"/>
        <w:suppressAutoHyphens/>
        <w:spacing w:before="0" w:after="240" w:line="240" w:lineRule="auto"/>
        <w:rPr>
          <w:rFonts w:ascii="Times Roman" w:eastAsia="Times Roman" w:hAnsi="Times Roman" w:cs="Times Roman"/>
        </w:rPr>
      </w:pPr>
    </w:p>
    <w:p w14:paraId="6436E740" w14:textId="77777777" w:rsidR="003E6CAE" w:rsidRPr="007E54E1" w:rsidRDefault="003E6CAE" w:rsidP="003E6CAE">
      <w:pPr>
        <w:pStyle w:val="Heading2"/>
        <w:rPr>
          <w:b w:val="0"/>
          <w:bCs w:val="0"/>
          <w:smallCaps/>
          <w:color w:val="5A5A5A" w:themeColor="text1" w:themeTint="A5"/>
          <w:sz w:val="24"/>
          <w:szCs w:val="24"/>
        </w:rPr>
      </w:pPr>
      <w:r w:rsidRPr="007E54E1">
        <w:rPr>
          <w:rStyle w:val="SubtleReference"/>
          <w:b w:val="0"/>
          <w:bCs w:val="0"/>
          <w:sz w:val="24"/>
          <w:szCs w:val="24"/>
        </w:rPr>
        <w:t>Detailed SWOT Quadrant Analysis</w:t>
      </w:r>
    </w:p>
    <w:p w14:paraId="29527411" w14:textId="77777777" w:rsidR="003E6CAE" w:rsidRDefault="003E6CAE" w:rsidP="003E6CAE">
      <w:pPr>
        <w:pStyle w:val="Body"/>
      </w:pPr>
    </w:p>
    <w:tbl>
      <w:tblPr>
        <w:tblStyle w:val="TableGrid"/>
        <w:tblW w:w="0" w:type="auto"/>
        <w:tblLook w:val="04A0" w:firstRow="1" w:lastRow="0" w:firstColumn="1" w:lastColumn="0" w:noHBand="0" w:noVBand="1"/>
      </w:tblPr>
      <w:tblGrid>
        <w:gridCol w:w="1536"/>
        <w:gridCol w:w="1619"/>
        <w:gridCol w:w="1080"/>
        <w:gridCol w:w="5115"/>
      </w:tblGrid>
      <w:tr w:rsidR="003E6CAE" w:rsidRPr="00584E4C" w14:paraId="08B1BC5D" w14:textId="77777777" w:rsidTr="005D03F3">
        <w:trPr>
          <w:tblHeader/>
        </w:trPr>
        <w:tc>
          <w:tcPr>
            <w:tcW w:w="1525" w:type="dxa"/>
            <w:shd w:val="clear" w:color="auto" w:fill="B2B2B2"/>
          </w:tcPr>
          <w:p w14:paraId="5B3B86A4" w14:textId="77777777" w:rsidR="003E6CAE" w:rsidRPr="00584E4C" w:rsidRDefault="003E6CAE" w:rsidP="005D03F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sidRPr="00584E4C">
              <w:rPr>
                <w:rFonts w:ascii="Times New Roman" w:hAnsi="Times New Roman" w:cs="Times New Roman"/>
                <w:sz w:val="24"/>
                <w:szCs w:val="24"/>
              </w:rPr>
              <w:t>Category</w:t>
            </w:r>
          </w:p>
        </w:tc>
        <w:tc>
          <w:tcPr>
            <w:tcW w:w="1620" w:type="dxa"/>
            <w:shd w:val="clear" w:color="auto" w:fill="B2B2B2"/>
          </w:tcPr>
          <w:p w14:paraId="15A932F3" w14:textId="77777777" w:rsidR="003E6CAE" w:rsidRPr="00584E4C" w:rsidRDefault="003E6CAE" w:rsidP="005D03F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sidRPr="00584E4C">
              <w:rPr>
                <w:rFonts w:ascii="Times New Roman" w:hAnsi="Times New Roman" w:cs="Times New Roman"/>
                <w:sz w:val="24"/>
                <w:szCs w:val="24"/>
              </w:rPr>
              <w:t>Assessment</w:t>
            </w:r>
          </w:p>
        </w:tc>
        <w:tc>
          <w:tcPr>
            <w:tcW w:w="1080" w:type="dxa"/>
            <w:shd w:val="clear" w:color="auto" w:fill="B2B2B2"/>
          </w:tcPr>
          <w:p w14:paraId="171440F0" w14:textId="77777777" w:rsidR="003E6CAE" w:rsidRPr="00584E4C" w:rsidRDefault="003E6CAE" w:rsidP="005D03F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sidRPr="00584E4C">
              <w:rPr>
                <w:rFonts w:ascii="Times New Roman" w:hAnsi="Times New Roman" w:cs="Times New Roman"/>
                <w:sz w:val="24"/>
                <w:szCs w:val="24"/>
              </w:rPr>
              <w:t>Focus</w:t>
            </w:r>
          </w:p>
        </w:tc>
        <w:tc>
          <w:tcPr>
            <w:tcW w:w="5125" w:type="dxa"/>
            <w:shd w:val="clear" w:color="auto" w:fill="B2B2B2"/>
          </w:tcPr>
          <w:p w14:paraId="7F0BF48D" w14:textId="77777777" w:rsidR="003E6CAE" w:rsidRPr="00584E4C" w:rsidRDefault="003E6CAE" w:rsidP="005D03F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sidRPr="00584E4C">
              <w:rPr>
                <w:rFonts w:ascii="Times New Roman" w:hAnsi="Times New Roman" w:cs="Times New Roman"/>
                <w:sz w:val="24"/>
                <w:szCs w:val="24"/>
              </w:rPr>
              <w:t>Key Findings</w:t>
            </w:r>
          </w:p>
        </w:tc>
      </w:tr>
      <w:tr w:rsidR="003E6CAE" w:rsidRPr="00584E4C" w14:paraId="47369303" w14:textId="77777777" w:rsidTr="005D03F3">
        <w:tc>
          <w:tcPr>
            <w:tcW w:w="1525" w:type="dxa"/>
          </w:tcPr>
          <w:p w14:paraId="2593E812" w14:textId="77777777" w:rsidR="003E6CAE" w:rsidRPr="00584E4C" w:rsidRDefault="003E6CAE" w:rsidP="005D03F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sidRPr="00584E4C">
              <w:rPr>
                <w:rFonts w:ascii="Times New Roman" w:hAnsi="Times New Roman" w:cs="Times New Roman"/>
                <w:sz w:val="24"/>
                <w:szCs w:val="24"/>
              </w:rPr>
              <w:t>Strengths</w:t>
            </w:r>
          </w:p>
        </w:tc>
        <w:tc>
          <w:tcPr>
            <w:tcW w:w="1620" w:type="dxa"/>
          </w:tcPr>
          <w:p w14:paraId="363ABB6E" w14:textId="77777777" w:rsidR="003E6CAE" w:rsidRPr="00584E4C" w:rsidRDefault="003E6CAE" w:rsidP="005D03F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sidRPr="00584E4C">
              <w:rPr>
                <w:rFonts w:ascii="Times New Roman" w:hAnsi="Times New Roman" w:cs="Times New Roman"/>
                <w:sz w:val="24"/>
                <w:szCs w:val="24"/>
              </w:rPr>
              <w:t>Helpful</w:t>
            </w:r>
          </w:p>
        </w:tc>
        <w:tc>
          <w:tcPr>
            <w:tcW w:w="1080" w:type="dxa"/>
          </w:tcPr>
          <w:p w14:paraId="063529FB" w14:textId="77777777" w:rsidR="003E6CAE" w:rsidRPr="00584E4C" w:rsidRDefault="003E6CAE" w:rsidP="005D03F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sidRPr="00584E4C">
              <w:rPr>
                <w:rFonts w:ascii="Times New Roman" w:hAnsi="Times New Roman" w:cs="Times New Roman"/>
                <w:sz w:val="24"/>
                <w:szCs w:val="24"/>
              </w:rPr>
              <w:t>Internal</w:t>
            </w:r>
          </w:p>
        </w:tc>
        <w:tc>
          <w:tcPr>
            <w:tcW w:w="5125" w:type="dxa"/>
          </w:tcPr>
          <w:p w14:paraId="40982C72" w14:textId="77777777" w:rsidR="003E6CAE" w:rsidRPr="00584E4C" w:rsidRDefault="003E6CAE" w:rsidP="005D03F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sidRPr="00584E4C">
              <w:rPr>
                <w:rFonts w:ascii="Times New Roman" w:hAnsi="Times New Roman" w:cs="Times New Roman"/>
                <w:sz w:val="24"/>
                <w:szCs w:val="24"/>
              </w:rPr>
              <w:t xml:space="preserve">Organizational stability, financial profitability, and a robust technical foundation. </w:t>
            </w:r>
            <w:r w:rsidRPr="00584E4C">
              <w:rPr>
                <w:rFonts w:ascii="Times New Roman" w:hAnsi="Times New Roman" w:cs="Times New Roman"/>
                <w:sz w:val="24"/>
                <w:szCs w:val="24"/>
              </w:rPr>
              <w:br/>
            </w:r>
          </w:p>
          <w:p w14:paraId="28EDD5FA" w14:textId="77777777" w:rsidR="003E6CAE" w:rsidRPr="00584E4C" w:rsidRDefault="003E6CAE" w:rsidP="005D03F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sidRPr="00584E4C">
              <w:rPr>
                <w:rFonts w:ascii="Times New Roman" w:hAnsi="Times New Roman" w:cs="Times New Roman"/>
                <w:sz w:val="24"/>
                <w:szCs w:val="24"/>
              </w:rPr>
              <w:t>The IT team is proficient, the organization is profitable, and the culture supports innovation. Stable IT/</w:t>
            </w:r>
            <w:r>
              <w:rPr>
                <w:rFonts w:ascii="Times New Roman" w:hAnsi="Times New Roman" w:cs="Times New Roman"/>
                <w:sz w:val="24"/>
                <w:szCs w:val="24"/>
              </w:rPr>
              <w:t>m</w:t>
            </w:r>
            <w:r w:rsidRPr="00584E4C">
              <w:rPr>
                <w:rFonts w:ascii="Times New Roman" w:hAnsi="Times New Roman" w:cs="Times New Roman"/>
                <w:sz w:val="24"/>
                <w:szCs w:val="24"/>
              </w:rPr>
              <w:t xml:space="preserve">arketing communication provides a strong foundation for executing the vision </w:t>
            </w:r>
            <w:r w:rsidRPr="0094437D">
              <w:rPr>
                <w:rFonts w:ascii="Times New Roman" w:hAnsi="Times New Roman" w:cs="Times New Roman"/>
                <w:i/>
                <w:iCs/>
                <w:sz w:val="24"/>
                <w:szCs w:val="24"/>
              </w:rPr>
              <w:t>when</w:t>
            </w:r>
            <w:r w:rsidRPr="00584E4C">
              <w:rPr>
                <w:rFonts w:ascii="Times New Roman" w:hAnsi="Times New Roman" w:cs="Times New Roman"/>
                <w:sz w:val="24"/>
                <w:szCs w:val="24"/>
              </w:rPr>
              <w:t xml:space="preserve"> clearly defined.</w:t>
            </w:r>
          </w:p>
        </w:tc>
      </w:tr>
      <w:tr w:rsidR="003E6CAE" w:rsidRPr="00584E4C" w14:paraId="0BB4A1B9" w14:textId="77777777" w:rsidTr="005D03F3">
        <w:tc>
          <w:tcPr>
            <w:tcW w:w="1525" w:type="dxa"/>
          </w:tcPr>
          <w:p w14:paraId="13B2C6F7" w14:textId="77777777" w:rsidR="003E6CAE" w:rsidRPr="00584E4C" w:rsidRDefault="003E6CAE" w:rsidP="005D03F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sidRPr="00584E4C">
              <w:rPr>
                <w:rFonts w:ascii="Times New Roman" w:hAnsi="Times New Roman" w:cs="Times New Roman"/>
                <w:sz w:val="24"/>
                <w:szCs w:val="24"/>
              </w:rPr>
              <w:t>Weaknesses</w:t>
            </w:r>
          </w:p>
        </w:tc>
        <w:tc>
          <w:tcPr>
            <w:tcW w:w="1620" w:type="dxa"/>
          </w:tcPr>
          <w:p w14:paraId="4C87A249" w14:textId="77777777" w:rsidR="003E6CAE" w:rsidRPr="00584E4C" w:rsidRDefault="003E6CAE" w:rsidP="005D03F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sidRPr="00584E4C">
              <w:rPr>
                <w:rFonts w:ascii="Times New Roman" w:hAnsi="Times New Roman" w:cs="Times New Roman"/>
                <w:sz w:val="24"/>
                <w:szCs w:val="24"/>
              </w:rPr>
              <w:t>Harmful</w:t>
            </w:r>
          </w:p>
        </w:tc>
        <w:tc>
          <w:tcPr>
            <w:tcW w:w="1080" w:type="dxa"/>
          </w:tcPr>
          <w:p w14:paraId="0A6998F9" w14:textId="77777777" w:rsidR="003E6CAE" w:rsidRPr="00584E4C" w:rsidRDefault="003E6CAE" w:rsidP="005D03F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sidRPr="00584E4C">
              <w:rPr>
                <w:rFonts w:ascii="Times New Roman" w:hAnsi="Times New Roman" w:cs="Times New Roman"/>
                <w:sz w:val="24"/>
                <w:szCs w:val="24"/>
              </w:rPr>
              <w:t>Internal</w:t>
            </w:r>
          </w:p>
        </w:tc>
        <w:tc>
          <w:tcPr>
            <w:tcW w:w="5125" w:type="dxa"/>
          </w:tcPr>
          <w:p w14:paraId="101E42C1" w14:textId="77777777" w:rsidR="003E6CAE" w:rsidRPr="00584E4C" w:rsidRDefault="003E6CAE" w:rsidP="005D03F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sidRPr="00584E4C">
              <w:rPr>
                <w:rFonts w:ascii="Times New Roman" w:hAnsi="Times New Roman" w:cs="Times New Roman"/>
                <w:sz w:val="24"/>
                <w:szCs w:val="24"/>
              </w:rPr>
              <w:t xml:space="preserve">Lack of strategic direction and high operational friction. </w:t>
            </w:r>
          </w:p>
          <w:p w14:paraId="73F3A5B9" w14:textId="77777777" w:rsidR="003E6CAE" w:rsidRPr="00584E4C" w:rsidRDefault="003E6CAE" w:rsidP="005D03F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p>
          <w:p w14:paraId="6529B293" w14:textId="77777777" w:rsidR="003E6CAE" w:rsidRPr="00584E4C" w:rsidRDefault="003E6CAE" w:rsidP="005D03F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sidRPr="00584E4C">
              <w:rPr>
                <w:rFonts w:ascii="Times New Roman" w:hAnsi="Times New Roman" w:cs="Times New Roman"/>
                <w:sz w:val="24"/>
                <w:szCs w:val="24"/>
              </w:rPr>
              <w:t xml:space="preserve">Churn in </w:t>
            </w:r>
            <w:r>
              <w:rPr>
                <w:rFonts w:ascii="Times New Roman" w:hAnsi="Times New Roman" w:cs="Times New Roman"/>
                <w:sz w:val="24"/>
                <w:szCs w:val="24"/>
              </w:rPr>
              <w:t>m</w:t>
            </w:r>
            <w:r w:rsidRPr="00584E4C">
              <w:rPr>
                <w:rFonts w:ascii="Times New Roman" w:hAnsi="Times New Roman" w:cs="Times New Roman"/>
                <w:sz w:val="24"/>
                <w:szCs w:val="24"/>
              </w:rPr>
              <w:t xml:space="preserve">arketing priorities and the absence of a clear strategic roadmap </w:t>
            </w:r>
            <w:proofErr w:type="gramStart"/>
            <w:r>
              <w:rPr>
                <w:rFonts w:ascii="Times New Roman" w:hAnsi="Times New Roman" w:cs="Times New Roman"/>
                <w:sz w:val="24"/>
                <w:szCs w:val="24"/>
              </w:rPr>
              <w:t>lead</w:t>
            </w:r>
            <w:proofErr w:type="gramEnd"/>
            <w:r>
              <w:rPr>
                <w:rFonts w:ascii="Times New Roman" w:hAnsi="Times New Roman" w:cs="Times New Roman"/>
                <w:sz w:val="24"/>
                <w:szCs w:val="24"/>
              </w:rPr>
              <w:t xml:space="preserve"> to frequent</w:t>
            </w:r>
            <w:r w:rsidRPr="00584E4C">
              <w:rPr>
                <w:rFonts w:ascii="Times New Roman" w:hAnsi="Times New Roman" w:cs="Times New Roman"/>
                <w:sz w:val="24"/>
                <w:szCs w:val="24"/>
              </w:rPr>
              <w:t xml:space="preserve"> refactoring, frustration in IT, and the potential for project abandonment.</w:t>
            </w:r>
            <w:r>
              <w:rPr>
                <w:rFonts w:ascii="Times New Roman" w:hAnsi="Times New Roman" w:cs="Times New Roman"/>
                <w:sz w:val="24"/>
                <w:szCs w:val="24"/>
              </w:rPr>
              <w:t xml:space="preserve"> An additional weakness that centers on l</w:t>
            </w:r>
            <w:r w:rsidRPr="00584E4C">
              <w:rPr>
                <w:rFonts w:ascii="Times New Roman" w:hAnsi="Times New Roman" w:cs="Times New Roman"/>
                <w:sz w:val="24"/>
                <w:szCs w:val="24"/>
              </w:rPr>
              <w:t xml:space="preserve">imited </w:t>
            </w:r>
            <w:r>
              <w:rPr>
                <w:rFonts w:ascii="Times New Roman" w:hAnsi="Times New Roman" w:cs="Times New Roman"/>
                <w:sz w:val="24"/>
                <w:szCs w:val="24"/>
              </w:rPr>
              <w:t>data</w:t>
            </w:r>
            <w:r w:rsidRPr="00584E4C">
              <w:rPr>
                <w:rFonts w:ascii="Times New Roman" w:hAnsi="Times New Roman" w:cs="Times New Roman"/>
                <w:sz w:val="24"/>
                <w:szCs w:val="24"/>
              </w:rPr>
              <w:t xml:space="preserve"> integration is a key technical bottleneck </w:t>
            </w:r>
            <w:r>
              <w:rPr>
                <w:rFonts w:ascii="Times New Roman" w:hAnsi="Times New Roman" w:cs="Times New Roman"/>
                <w:sz w:val="24"/>
                <w:szCs w:val="24"/>
              </w:rPr>
              <w:t>that impairs speed-to-market</w:t>
            </w:r>
            <w:r w:rsidRPr="00584E4C">
              <w:rPr>
                <w:rFonts w:ascii="Times New Roman" w:hAnsi="Times New Roman" w:cs="Times New Roman"/>
                <w:sz w:val="24"/>
                <w:szCs w:val="24"/>
              </w:rPr>
              <w:t xml:space="preserve"> and automation</w:t>
            </w:r>
            <w:r>
              <w:rPr>
                <w:rFonts w:ascii="Times New Roman" w:hAnsi="Times New Roman" w:cs="Times New Roman"/>
                <w:sz w:val="24"/>
                <w:szCs w:val="24"/>
              </w:rPr>
              <w:t>, and that risks data quality</w:t>
            </w:r>
            <w:r w:rsidRPr="00584E4C">
              <w:rPr>
                <w:rFonts w:ascii="Times New Roman" w:hAnsi="Times New Roman" w:cs="Times New Roman"/>
                <w:sz w:val="24"/>
                <w:szCs w:val="24"/>
              </w:rPr>
              <w:t>.</w:t>
            </w:r>
          </w:p>
        </w:tc>
      </w:tr>
      <w:tr w:rsidR="003E6CAE" w:rsidRPr="00584E4C" w14:paraId="0A1C202B" w14:textId="77777777" w:rsidTr="005D03F3">
        <w:tc>
          <w:tcPr>
            <w:tcW w:w="1525" w:type="dxa"/>
          </w:tcPr>
          <w:p w14:paraId="2BACF466" w14:textId="77777777" w:rsidR="003E6CAE" w:rsidRPr="00584E4C" w:rsidRDefault="003E6CAE" w:rsidP="005D03F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sidRPr="00584E4C">
              <w:rPr>
                <w:rFonts w:ascii="Times New Roman" w:hAnsi="Times New Roman" w:cs="Times New Roman"/>
                <w:sz w:val="24"/>
                <w:szCs w:val="24"/>
              </w:rPr>
              <w:t>Opportunities</w:t>
            </w:r>
          </w:p>
        </w:tc>
        <w:tc>
          <w:tcPr>
            <w:tcW w:w="1620" w:type="dxa"/>
          </w:tcPr>
          <w:p w14:paraId="2528BDC1" w14:textId="77777777" w:rsidR="003E6CAE" w:rsidRPr="00584E4C" w:rsidRDefault="003E6CAE" w:rsidP="005D03F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sidRPr="00584E4C">
              <w:rPr>
                <w:rFonts w:ascii="Times New Roman" w:hAnsi="Times New Roman" w:cs="Times New Roman"/>
                <w:sz w:val="24"/>
                <w:szCs w:val="24"/>
              </w:rPr>
              <w:t>Helpful</w:t>
            </w:r>
          </w:p>
        </w:tc>
        <w:tc>
          <w:tcPr>
            <w:tcW w:w="1080" w:type="dxa"/>
          </w:tcPr>
          <w:p w14:paraId="270460A5" w14:textId="77777777" w:rsidR="003E6CAE" w:rsidRPr="00584E4C" w:rsidRDefault="003E6CAE" w:rsidP="005D03F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sidRPr="00584E4C">
              <w:rPr>
                <w:rFonts w:ascii="Times New Roman" w:hAnsi="Times New Roman" w:cs="Times New Roman"/>
                <w:sz w:val="24"/>
                <w:szCs w:val="24"/>
              </w:rPr>
              <w:t>External</w:t>
            </w:r>
          </w:p>
        </w:tc>
        <w:tc>
          <w:tcPr>
            <w:tcW w:w="5125" w:type="dxa"/>
          </w:tcPr>
          <w:p w14:paraId="6DFC5103" w14:textId="77777777" w:rsidR="003E6CAE" w:rsidRPr="00584E4C" w:rsidRDefault="003E6CAE" w:rsidP="005D03F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sidRPr="00584E4C">
              <w:rPr>
                <w:rFonts w:ascii="Times New Roman" w:hAnsi="Times New Roman" w:cs="Times New Roman"/>
                <w:sz w:val="24"/>
                <w:szCs w:val="24"/>
              </w:rPr>
              <w:t xml:space="preserve">Clear market gap for transparency and a supportive technology platform. </w:t>
            </w:r>
          </w:p>
          <w:p w14:paraId="03BCCD57" w14:textId="77777777" w:rsidR="003E6CAE" w:rsidRPr="00584E4C" w:rsidRDefault="003E6CAE" w:rsidP="005D03F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p>
          <w:p w14:paraId="7D1E2FC9" w14:textId="77777777" w:rsidR="003E6CAE" w:rsidRPr="00584E4C" w:rsidRDefault="003E6CAE" w:rsidP="005D03F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sidRPr="00584E4C">
              <w:rPr>
                <w:rFonts w:ascii="Times New Roman" w:hAnsi="Times New Roman" w:cs="Times New Roman"/>
                <w:sz w:val="24"/>
                <w:szCs w:val="24"/>
              </w:rPr>
              <w:t xml:space="preserve">Competitors lack personalized cost tools. </w:t>
            </w:r>
            <w:proofErr w:type="spellStart"/>
            <w:r>
              <w:rPr>
                <w:rFonts w:ascii="Times New Roman" w:hAnsi="Times New Roman" w:cs="Times New Roman"/>
                <w:sz w:val="24"/>
                <w:szCs w:val="24"/>
              </w:rPr>
              <w:t>Arborwood’s</w:t>
            </w:r>
            <w:proofErr w:type="spellEnd"/>
            <w:r>
              <w:rPr>
                <w:rFonts w:ascii="Times New Roman" w:hAnsi="Times New Roman" w:cs="Times New Roman"/>
                <w:sz w:val="24"/>
                <w:szCs w:val="24"/>
              </w:rPr>
              <w:t xml:space="preserve"> content management solution recently furnished new off-the-self functionality that</w:t>
            </w:r>
            <w:r w:rsidRPr="00584E4C">
              <w:rPr>
                <w:rFonts w:ascii="Times New Roman" w:hAnsi="Times New Roman" w:cs="Times New Roman"/>
                <w:sz w:val="24"/>
                <w:szCs w:val="24"/>
              </w:rPr>
              <w:t xml:space="preserve"> offers a low-overhead path to automate content, enabling </w:t>
            </w:r>
            <w:proofErr w:type="spellStart"/>
            <w:r w:rsidRPr="00584E4C">
              <w:rPr>
                <w:rFonts w:ascii="Times New Roman" w:hAnsi="Times New Roman" w:cs="Times New Roman"/>
                <w:sz w:val="24"/>
                <w:szCs w:val="24"/>
              </w:rPr>
              <w:t>Arborwood</w:t>
            </w:r>
            <w:proofErr w:type="spellEnd"/>
            <w:r w:rsidRPr="00584E4C">
              <w:rPr>
                <w:rFonts w:ascii="Times New Roman" w:hAnsi="Times New Roman" w:cs="Times New Roman"/>
                <w:sz w:val="24"/>
                <w:szCs w:val="24"/>
              </w:rPr>
              <w:t xml:space="preserve"> to achieve best-in-class differentiation and capture significant revenue increases.</w:t>
            </w:r>
          </w:p>
        </w:tc>
      </w:tr>
      <w:tr w:rsidR="003E6CAE" w:rsidRPr="00584E4C" w14:paraId="78E947A8" w14:textId="77777777" w:rsidTr="005D03F3">
        <w:tc>
          <w:tcPr>
            <w:tcW w:w="1525" w:type="dxa"/>
          </w:tcPr>
          <w:p w14:paraId="740AC5B2" w14:textId="77777777" w:rsidR="003E6CAE" w:rsidRPr="00584E4C" w:rsidRDefault="003E6CAE" w:rsidP="005D03F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sidRPr="00584E4C">
              <w:rPr>
                <w:rFonts w:ascii="Times New Roman" w:hAnsi="Times New Roman" w:cs="Times New Roman"/>
                <w:sz w:val="24"/>
                <w:szCs w:val="24"/>
              </w:rPr>
              <w:t>Threats</w:t>
            </w:r>
          </w:p>
        </w:tc>
        <w:tc>
          <w:tcPr>
            <w:tcW w:w="1620" w:type="dxa"/>
          </w:tcPr>
          <w:p w14:paraId="5C4F20B8" w14:textId="77777777" w:rsidR="003E6CAE" w:rsidRPr="00584E4C" w:rsidRDefault="003E6CAE" w:rsidP="005D03F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sidRPr="00584E4C">
              <w:rPr>
                <w:rFonts w:ascii="Times New Roman" w:hAnsi="Times New Roman" w:cs="Times New Roman"/>
                <w:sz w:val="24"/>
                <w:szCs w:val="24"/>
              </w:rPr>
              <w:t>Harmful</w:t>
            </w:r>
          </w:p>
        </w:tc>
        <w:tc>
          <w:tcPr>
            <w:tcW w:w="1080" w:type="dxa"/>
          </w:tcPr>
          <w:p w14:paraId="62A711C7" w14:textId="77777777" w:rsidR="003E6CAE" w:rsidRPr="00584E4C" w:rsidRDefault="003E6CAE" w:rsidP="005D03F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sidRPr="00584E4C">
              <w:rPr>
                <w:rFonts w:ascii="Times New Roman" w:hAnsi="Times New Roman" w:cs="Times New Roman"/>
                <w:sz w:val="24"/>
                <w:szCs w:val="24"/>
              </w:rPr>
              <w:t>External</w:t>
            </w:r>
          </w:p>
        </w:tc>
        <w:tc>
          <w:tcPr>
            <w:tcW w:w="5125" w:type="dxa"/>
          </w:tcPr>
          <w:p w14:paraId="3E61DE74" w14:textId="77777777" w:rsidR="003E6CAE" w:rsidRPr="00584E4C" w:rsidRDefault="003E6CAE" w:rsidP="005D03F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sidRPr="00584E4C">
              <w:rPr>
                <w:rFonts w:ascii="Times New Roman" w:hAnsi="Times New Roman" w:cs="Times New Roman"/>
                <w:sz w:val="24"/>
                <w:szCs w:val="24"/>
              </w:rPr>
              <w:t xml:space="preserve">High regulatory risk and market volatility. </w:t>
            </w:r>
          </w:p>
          <w:p w14:paraId="4B9FD5D7" w14:textId="77777777" w:rsidR="003E6CAE" w:rsidRPr="00584E4C" w:rsidRDefault="003E6CAE" w:rsidP="005D03F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p>
          <w:p w14:paraId="4DDB80CE" w14:textId="77777777" w:rsidR="003E6CAE" w:rsidRPr="00584E4C" w:rsidRDefault="003E6CAE" w:rsidP="005D03F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sidRPr="00584E4C">
              <w:rPr>
                <w:rFonts w:ascii="Times New Roman" w:hAnsi="Times New Roman" w:cs="Times New Roman"/>
                <w:sz w:val="24"/>
                <w:szCs w:val="24"/>
              </w:rPr>
              <w:t>The most immediate threat is the failure to secure</w:t>
            </w:r>
            <w:r>
              <w:rPr>
                <w:rFonts w:ascii="Times New Roman" w:hAnsi="Times New Roman" w:cs="Times New Roman"/>
                <w:sz w:val="24"/>
                <w:szCs w:val="24"/>
              </w:rPr>
              <w:t xml:space="preserve"> and maintain</w:t>
            </w:r>
            <w:r w:rsidRPr="00584E4C">
              <w:rPr>
                <w:rFonts w:ascii="Times New Roman" w:hAnsi="Times New Roman" w:cs="Times New Roman"/>
                <w:sz w:val="24"/>
                <w:szCs w:val="24"/>
              </w:rPr>
              <w:t xml:space="preserve"> legal approval, exposing the project to litigation risk. Other threats include the dependence on external technology and the eventual stabilization/saturation of the post-COVID online learning market.</w:t>
            </w:r>
          </w:p>
        </w:tc>
      </w:tr>
    </w:tbl>
    <w:p w14:paraId="286EFCA8" w14:textId="77777777" w:rsidR="003E6CAE" w:rsidRDefault="003E6CAE" w:rsidP="003E6CAE">
      <w:pPr>
        <w:pStyle w:val="Body"/>
      </w:pPr>
    </w:p>
    <w:p w14:paraId="44DF7FFD" w14:textId="77777777" w:rsidR="003E6CAE" w:rsidRDefault="003E6CAE" w:rsidP="003E6CAE">
      <w:pPr>
        <w:pStyle w:val="Body"/>
      </w:pPr>
    </w:p>
    <w:p w14:paraId="4D3DE746" w14:textId="77777777" w:rsidR="003E6CAE" w:rsidRDefault="003E6CAE" w:rsidP="003E6CAE">
      <w:pPr>
        <w:pStyle w:val="Body"/>
      </w:pPr>
    </w:p>
    <w:p w14:paraId="5ADE4484" w14:textId="77777777" w:rsidR="003E6CAE" w:rsidRPr="007E54E1" w:rsidRDefault="003E6CAE" w:rsidP="003E6CAE">
      <w:pPr>
        <w:pStyle w:val="Heading2"/>
        <w:rPr>
          <w:rStyle w:val="SubtleReference"/>
          <w:b w:val="0"/>
          <w:bCs w:val="0"/>
          <w:sz w:val="24"/>
          <w:szCs w:val="24"/>
        </w:rPr>
      </w:pPr>
      <w:r w:rsidRPr="007E54E1">
        <w:rPr>
          <w:rStyle w:val="SubtleReference"/>
          <w:b w:val="0"/>
          <w:bCs w:val="0"/>
          <w:sz w:val="24"/>
          <w:szCs w:val="24"/>
        </w:rPr>
        <w:t>Discussion Points and Strategic Action Basis</w:t>
      </w:r>
    </w:p>
    <w:p w14:paraId="1BF75EDC" w14:textId="77777777" w:rsidR="003E6CAE" w:rsidRDefault="003E6CAE" w:rsidP="003E6CAE">
      <w:pPr>
        <w:pStyle w:val="Body"/>
      </w:pPr>
    </w:p>
    <w:p w14:paraId="7BFEEEC4" w14:textId="77777777" w:rsidR="003E6CAE" w:rsidRDefault="003E6CAE" w:rsidP="003E6CAE">
      <w:pPr>
        <w:pStyle w:val="Default"/>
        <w:suppressAutoHyphens/>
        <w:spacing w:before="0" w:after="240" w:line="240" w:lineRule="auto"/>
        <w:rPr>
          <w:rFonts w:ascii="Times Roman" w:hAnsi="Times Roman"/>
        </w:rPr>
      </w:pPr>
      <w:r>
        <w:rPr>
          <w:rFonts w:ascii="Times Roman" w:eastAsia="Times Roman" w:hAnsi="Times Roman" w:cs="Times Roman"/>
        </w:rPr>
        <w:tab/>
      </w:r>
      <w:r>
        <w:rPr>
          <w:rFonts w:ascii="Times Roman" w:hAnsi="Times Roman"/>
        </w:rPr>
        <w:t>This section outlines the areas that will be addressed with the site supervisor to ensure the project aligns with organizational goals and mitigates known risks.</w:t>
      </w:r>
    </w:p>
    <w:p w14:paraId="7E1AD507" w14:textId="77777777" w:rsidR="003E6CAE" w:rsidRDefault="003E6CAE" w:rsidP="003E6CAE">
      <w:pPr>
        <w:pStyle w:val="Default"/>
        <w:suppressAutoHyphens/>
        <w:spacing w:before="0" w:after="240" w:line="240" w:lineRule="auto"/>
        <w:rPr>
          <w:rFonts w:ascii="Times Roman" w:eastAsia="Times Roman" w:hAnsi="Times Roman" w:cs="Times Roman"/>
        </w:rPr>
      </w:pPr>
    </w:p>
    <w:p w14:paraId="666B693F" w14:textId="77777777" w:rsidR="003E6CAE" w:rsidRPr="00392351" w:rsidRDefault="003E6CAE" w:rsidP="003E6CAE">
      <w:pPr>
        <w:pStyle w:val="Caption"/>
        <w:rPr>
          <w:b w:val="0"/>
          <w:bCs w:val="0"/>
          <w:i/>
          <w:iCs/>
        </w:rPr>
      </w:pPr>
      <w:r w:rsidRPr="00392351">
        <w:rPr>
          <w:b w:val="0"/>
          <w:bCs w:val="0"/>
          <w:i/>
          <w:iCs/>
        </w:rPr>
        <w:t>The Core Conflict: Aspiration vs. Execution</w:t>
      </w:r>
    </w:p>
    <w:p w14:paraId="41B191E5" w14:textId="77777777" w:rsidR="003E6CAE" w:rsidRDefault="003E6CAE" w:rsidP="003E6CAE">
      <w:pPr>
        <w:pStyle w:val="Caption"/>
        <w:rPr>
          <w:b w:val="0"/>
          <w:bCs w:val="0"/>
        </w:rPr>
      </w:pPr>
    </w:p>
    <w:p w14:paraId="5436C945" w14:textId="77777777" w:rsidR="003E6CAE" w:rsidRDefault="003E6CAE" w:rsidP="003E6CAE">
      <w:pPr>
        <w:pStyle w:val="Default"/>
        <w:suppressAutoHyphens/>
        <w:spacing w:before="0" w:after="240" w:line="240" w:lineRule="auto"/>
        <w:rPr>
          <w:rFonts w:ascii="Times Roman" w:eastAsia="Times Roman" w:hAnsi="Times Roman" w:cs="Times Roman"/>
        </w:rPr>
      </w:pPr>
      <w:r>
        <w:rPr>
          <w:rFonts w:ascii="Times Roman" w:eastAsia="Times Roman" w:hAnsi="Times Roman" w:cs="Times Roman"/>
        </w:rPr>
        <w:tab/>
      </w:r>
      <w:r>
        <w:rPr>
          <w:rFonts w:ascii="Times Roman" w:hAnsi="Times Roman"/>
        </w:rPr>
        <w:t>The biggest internal risk is the disconnect between aspiration and execution. Leadership encourages innovation, but the lack of a clear strategic vision results in a lack of commitment to proposed projects. This, in turn, leads to conflict that undermines trust and interrupts the processes that support deliverables.</w:t>
      </w:r>
    </w:p>
    <w:p w14:paraId="54D4360E" w14:textId="77777777" w:rsidR="003E6CAE" w:rsidRDefault="003E6CAE" w:rsidP="003E6CAE">
      <w:pPr>
        <w:pStyle w:val="Default"/>
        <w:numPr>
          <w:ilvl w:val="0"/>
          <w:numId w:val="4"/>
        </w:numPr>
        <w:suppressAutoHyphens/>
        <w:spacing w:before="0" w:after="240" w:line="240" w:lineRule="auto"/>
        <w:rPr>
          <w:rFonts w:ascii="Times Roman" w:hAnsi="Times Roman"/>
        </w:rPr>
      </w:pPr>
      <w:r>
        <w:rPr>
          <w:rFonts w:ascii="Times Roman" w:hAnsi="Times Roman"/>
        </w:rPr>
        <w:t>Discussion Point: How can the organization establish a singular, annual product roadmap that transcends marketing shifts to ensure IT efforts are focused and not abandoned or a subject to constant deltas?</w:t>
      </w:r>
    </w:p>
    <w:p w14:paraId="6C2A96B1" w14:textId="77777777" w:rsidR="003E6CAE" w:rsidRDefault="003E6CAE" w:rsidP="003E6CAE">
      <w:pPr>
        <w:pStyle w:val="Default"/>
        <w:suppressAutoHyphens/>
        <w:spacing w:before="0" w:after="240" w:line="240" w:lineRule="auto"/>
        <w:rPr>
          <w:rFonts w:ascii="Times Roman" w:hAnsi="Times Roman"/>
        </w:rPr>
      </w:pPr>
    </w:p>
    <w:p w14:paraId="38E3FBD0" w14:textId="77777777" w:rsidR="003E6CAE" w:rsidRDefault="003E6CAE" w:rsidP="003E6CAE">
      <w:pPr>
        <w:pStyle w:val="Caption"/>
        <w:rPr>
          <w:b w:val="0"/>
          <w:bCs w:val="0"/>
        </w:rPr>
      </w:pPr>
      <w:r>
        <w:rPr>
          <w:b w:val="0"/>
          <w:bCs w:val="0"/>
        </w:rPr>
        <w:t>Strategic Urgency and Competitive Advantage</w:t>
      </w:r>
    </w:p>
    <w:p w14:paraId="1D40299D" w14:textId="77777777" w:rsidR="003E6CAE" w:rsidRDefault="003E6CAE" w:rsidP="003E6CAE">
      <w:pPr>
        <w:pStyle w:val="Caption"/>
        <w:rPr>
          <w:b w:val="0"/>
          <w:bCs w:val="0"/>
        </w:rPr>
      </w:pPr>
    </w:p>
    <w:p w14:paraId="418937B7" w14:textId="77777777" w:rsidR="003E6CAE" w:rsidRDefault="003E6CAE" w:rsidP="003E6CAE">
      <w:pPr>
        <w:pStyle w:val="Default"/>
        <w:suppressAutoHyphens/>
        <w:spacing w:before="0" w:after="240" w:line="240" w:lineRule="auto"/>
        <w:ind w:firstLine="720"/>
        <w:rPr>
          <w:rFonts w:ascii="Times Roman" w:hAnsi="Times Roman"/>
        </w:rPr>
      </w:pPr>
      <w:r>
        <w:rPr>
          <w:rFonts w:ascii="Times Roman" w:hAnsi="Times Roman"/>
        </w:rPr>
        <w:t>There is a current, clear, and profitable opportunity to build a best-in-class solution. Market analysis suggests that implementation of the planned solution would yield an estimated $35 million per year revenue increase in the first year, which is a 10% increase in corporate revenue growth.  This opportunity must be acted on quickly, as the threat of competitors implementing similar or superior solutions is imminent.</w:t>
      </w:r>
    </w:p>
    <w:p w14:paraId="482B2C7D" w14:textId="77777777" w:rsidR="003E6CAE" w:rsidRDefault="003E6CAE" w:rsidP="003E6CAE">
      <w:pPr>
        <w:pStyle w:val="Default"/>
        <w:numPr>
          <w:ilvl w:val="0"/>
          <w:numId w:val="4"/>
        </w:numPr>
        <w:suppressAutoHyphens/>
        <w:spacing w:before="0" w:after="240" w:line="240" w:lineRule="auto"/>
        <w:rPr>
          <w:rFonts w:ascii="Times Roman" w:hAnsi="Times Roman"/>
        </w:rPr>
      </w:pPr>
      <w:r>
        <w:rPr>
          <w:rFonts w:ascii="Times Roman" w:hAnsi="Times Roman"/>
        </w:rPr>
        <w:t>Discussion Point: Given the competitive urgency, what process can be adapted for achieving approval for the project by legal and compliance resources and for maintaining that approval over the lifespan of the solutions?</w:t>
      </w:r>
    </w:p>
    <w:p w14:paraId="3B569C6A" w14:textId="77777777" w:rsidR="003E6CAE" w:rsidRDefault="003E6CAE" w:rsidP="003E6CAE">
      <w:pPr>
        <w:pStyle w:val="Default"/>
        <w:suppressAutoHyphens/>
        <w:spacing w:before="0" w:after="240" w:line="240" w:lineRule="auto"/>
        <w:ind w:left="720"/>
        <w:rPr>
          <w:rFonts w:ascii="Times Roman" w:hAnsi="Times Roman"/>
        </w:rPr>
      </w:pPr>
    </w:p>
    <w:p w14:paraId="04BB62A8" w14:textId="77777777" w:rsidR="003E6CAE" w:rsidRDefault="003E6CAE" w:rsidP="003E6CAE">
      <w:pPr>
        <w:pStyle w:val="Caption"/>
        <w:rPr>
          <w:b w:val="0"/>
          <w:bCs w:val="0"/>
        </w:rPr>
      </w:pPr>
      <w:r>
        <w:rPr>
          <w:b w:val="0"/>
          <w:bCs w:val="0"/>
        </w:rPr>
        <w:t>Critical Threats Requiring Mitigation</w:t>
      </w:r>
    </w:p>
    <w:p w14:paraId="23C479D6" w14:textId="77777777" w:rsidR="003E6CAE" w:rsidRDefault="003E6CAE" w:rsidP="003E6CAE">
      <w:pPr>
        <w:pStyle w:val="Caption"/>
        <w:rPr>
          <w:b w:val="0"/>
          <w:bCs w:val="0"/>
        </w:rPr>
      </w:pPr>
    </w:p>
    <w:tbl>
      <w:tblPr>
        <w:tblStyle w:val="TableGrid"/>
        <w:tblW w:w="0" w:type="auto"/>
        <w:tblLook w:val="04A0" w:firstRow="1" w:lastRow="0" w:firstColumn="1" w:lastColumn="0" w:noHBand="0" w:noVBand="1"/>
      </w:tblPr>
      <w:tblGrid>
        <w:gridCol w:w="3235"/>
        <w:gridCol w:w="6115"/>
      </w:tblGrid>
      <w:tr w:rsidR="003E6CAE" w:rsidRPr="0077571D" w14:paraId="7C305E50" w14:textId="77777777" w:rsidTr="005D03F3">
        <w:trPr>
          <w:trHeight w:val="60"/>
          <w:tblHeader/>
        </w:trPr>
        <w:tc>
          <w:tcPr>
            <w:tcW w:w="3235" w:type="dxa"/>
            <w:shd w:val="clear" w:color="auto" w:fill="D9D9D9" w:themeFill="background1" w:themeFillShade="D9"/>
          </w:tcPr>
          <w:p w14:paraId="4382C010" w14:textId="77777777" w:rsidR="003E6CAE" w:rsidRPr="0077571D" w:rsidRDefault="003E6CAE" w:rsidP="005D03F3">
            <w:r w:rsidRPr="0077571D">
              <w:t>Threat Detail</w:t>
            </w:r>
          </w:p>
        </w:tc>
        <w:tc>
          <w:tcPr>
            <w:tcW w:w="6115" w:type="dxa"/>
            <w:shd w:val="clear" w:color="auto" w:fill="D9D9D9" w:themeFill="background1" w:themeFillShade="D9"/>
          </w:tcPr>
          <w:p w14:paraId="0A0EFDEF" w14:textId="77777777" w:rsidR="003E6CAE" w:rsidRPr="0077571D" w:rsidRDefault="003E6CAE" w:rsidP="005D03F3">
            <w:r w:rsidRPr="0077571D">
              <w:t>Recommended Mitigation Strategy</w:t>
            </w:r>
          </w:p>
        </w:tc>
      </w:tr>
      <w:tr w:rsidR="003E6CAE" w:rsidRPr="0077571D" w14:paraId="36DC17B2" w14:textId="77777777" w:rsidTr="005D03F3">
        <w:tc>
          <w:tcPr>
            <w:tcW w:w="3235" w:type="dxa"/>
          </w:tcPr>
          <w:p w14:paraId="669F0E82" w14:textId="77777777" w:rsidR="003E6CAE" w:rsidRPr="0077571D" w:rsidRDefault="003E6CAE" w:rsidP="005D03F3">
            <w:r>
              <w:t>Regulatory and Litigation Risk</w:t>
            </w:r>
          </w:p>
        </w:tc>
        <w:tc>
          <w:tcPr>
            <w:tcW w:w="6115" w:type="dxa"/>
          </w:tcPr>
          <w:p w14:paraId="7EFC7D58" w14:textId="77777777" w:rsidR="003E6CAE" w:rsidRDefault="003E6CAE" w:rsidP="003E6CAE">
            <w:pPr>
              <w:pStyle w:val="ListParagraph"/>
              <w:numPr>
                <w:ilvl w:val="0"/>
                <w:numId w:val="5"/>
              </w:numPr>
            </w:pPr>
            <w:r>
              <w:t xml:space="preserve">The project will require a formal approval process applied to legal and compliance review of the solution before development begins and will apply rigorous change management processes to protect the legal/compliance approval. </w:t>
            </w:r>
          </w:p>
          <w:p w14:paraId="37619D4B" w14:textId="77777777" w:rsidR="003E6CAE" w:rsidRPr="0077571D" w:rsidRDefault="003E6CAE" w:rsidP="003E6CAE">
            <w:pPr>
              <w:pStyle w:val="ListParagraph"/>
              <w:numPr>
                <w:ilvl w:val="0"/>
                <w:numId w:val="5"/>
              </w:numPr>
            </w:pPr>
            <w:r>
              <w:t>The business owner of the solution will establish an ongoing means by which legal and compliance requirements are evaluated and met to ensure that approvals are maintained over the lifespan of the solution.</w:t>
            </w:r>
          </w:p>
        </w:tc>
      </w:tr>
      <w:tr w:rsidR="003E6CAE" w:rsidRPr="0077571D" w14:paraId="6A49F551" w14:textId="77777777" w:rsidTr="005D03F3">
        <w:tc>
          <w:tcPr>
            <w:tcW w:w="3235" w:type="dxa"/>
          </w:tcPr>
          <w:p w14:paraId="3485CC26" w14:textId="77777777" w:rsidR="003E6CAE" w:rsidRPr="0077571D" w:rsidRDefault="003E6CAE" w:rsidP="005D03F3">
            <w:r>
              <w:t>Data Integration Bottleneck</w:t>
            </w:r>
          </w:p>
        </w:tc>
        <w:tc>
          <w:tcPr>
            <w:tcW w:w="6115" w:type="dxa"/>
          </w:tcPr>
          <w:p w14:paraId="0BF5A866" w14:textId="77777777" w:rsidR="003E6CAE" w:rsidRPr="0077571D" w:rsidRDefault="003E6CAE" w:rsidP="005D03F3">
            <w:r>
              <w:t>IT will dedicate immediate and protected developer resources to build the required infrastructure to enable automated data fetch from source systems for use in the content management system, converting a key weakness into a strength that supports automation and provides more rigorous data integrity.</w:t>
            </w:r>
          </w:p>
        </w:tc>
      </w:tr>
    </w:tbl>
    <w:p w14:paraId="32552155" w14:textId="77777777" w:rsidR="003E6CAE" w:rsidRPr="003B0C4B" w:rsidRDefault="003E6CAE" w:rsidP="003E6CAE">
      <w:pPr>
        <w:rPr>
          <w:rStyle w:val="SubtleReference"/>
        </w:rPr>
      </w:pPr>
    </w:p>
    <w:p w14:paraId="06EC8BDB" w14:textId="77777777" w:rsidR="003E6CAE" w:rsidRDefault="003E6CAE" w:rsidP="003E6CAE">
      <w:pPr>
        <w:pStyle w:val="Default"/>
        <w:suppressAutoHyphens/>
        <w:spacing w:before="0" w:after="299" w:line="240" w:lineRule="auto"/>
        <w:rPr>
          <w:rFonts w:ascii="Times Roman" w:hAnsi="Times Roman"/>
          <w:b/>
          <w:bCs/>
          <w:sz w:val="36"/>
          <w:szCs w:val="36"/>
        </w:rPr>
      </w:pPr>
    </w:p>
    <w:p w14:paraId="3BBDF918" w14:textId="77777777" w:rsidR="003E6CAE" w:rsidRPr="009A272B" w:rsidRDefault="003E6CAE" w:rsidP="003E6CAE">
      <w:pPr>
        <w:pStyle w:val="Default"/>
        <w:suppressAutoHyphens/>
        <w:spacing w:before="0" w:after="299" w:line="240" w:lineRule="auto"/>
        <w:rPr>
          <w:rStyle w:val="SubtleReference"/>
        </w:rPr>
      </w:pPr>
      <w:r w:rsidRPr="009A272B">
        <w:rPr>
          <w:rStyle w:val="SubtleReference"/>
        </w:rPr>
        <w:t>Environmental Scan for the Cost Calculator Project</w:t>
      </w:r>
    </w:p>
    <w:p w14:paraId="0209F1D4" w14:textId="77777777" w:rsidR="003E6CAE" w:rsidRDefault="003E6CAE" w:rsidP="003E6CAE">
      <w:pPr>
        <w:pStyle w:val="Default"/>
        <w:suppressAutoHyphens/>
        <w:spacing w:before="0" w:after="240" w:line="240" w:lineRule="auto"/>
        <w:rPr>
          <w:rFonts w:ascii="Times Roman" w:hAnsi="Times Roman"/>
        </w:rPr>
      </w:pPr>
      <w:r>
        <w:rPr>
          <w:rFonts w:ascii="Times Roman" w:eastAsia="Times Roman" w:hAnsi="Times Roman" w:cs="Times Roman"/>
        </w:rPr>
        <w:tab/>
        <w:t>This</w:t>
      </w:r>
      <w:r>
        <w:rPr>
          <w:rFonts w:ascii="Times Roman" w:hAnsi="Times Roman"/>
        </w:rPr>
        <w:t xml:space="preserve"> Environmental Scan reviews external factors that impact the organization and the proposed solution. The analysis formalizes the Opportunities (O) and Threats (T) identified in the SWOT, providing context for designing a solution that is both technically viable and strategically resilient. The proposed IT solution for the development of a compliant cost calculator component must address the risks and capitalize on the opportunities presented by the external environment.</w:t>
      </w:r>
    </w:p>
    <w:p w14:paraId="528EF8E7" w14:textId="77777777" w:rsidR="003E6CAE" w:rsidRDefault="003E6CAE" w:rsidP="003E6CAE">
      <w:pPr>
        <w:pStyle w:val="Default"/>
        <w:suppressAutoHyphens/>
        <w:spacing w:before="0" w:after="240" w:line="240" w:lineRule="auto"/>
        <w:rPr>
          <w:rFonts w:ascii="Times Roman" w:eastAsia="Times Roman" w:hAnsi="Times Roman" w:cs="Times Roman"/>
        </w:rPr>
      </w:pPr>
    </w:p>
    <w:p w14:paraId="51EF9A2C" w14:textId="77777777" w:rsidR="003E6CAE" w:rsidRDefault="003E6CAE" w:rsidP="003E6CAE">
      <w:pPr>
        <w:pStyle w:val="Caption"/>
        <w:numPr>
          <w:ilvl w:val="0"/>
          <w:numId w:val="2"/>
        </w:numPr>
      </w:pPr>
      <w:r>
        <w:t>Regulatory &amp; Legal Landscape</w:t>
      </w:r>
    </w:p>
    <w:p w14:paraId="6FFA7C2C" w14:textId="77777777" w:rsidR="003E6CAE" w:rsidRDefault="003E6CAE" w:rsidP="003E6CAE">
      <w:pPr>
        <w:pStyle w:val="Body"/>
      </w:pPr>
    </w:p>
    <w:p w14:paraId="777A9D4A" w14:textId="77777777" w:rsidR="003E6CAE" w:rsidRDefault="003E6CAE" w:rsidP="003E6CAE">
      <w:pPr>
        <w:pStyle w:val="Default"/>
        <w:suppressAutoHyphens/>
        <w:spacing w:before="0" w:after="240" w:line="240" w:lineRule="auto"/>
        <w:rPr>
          <w:rFonts w:ascii="Times Roman" w:eastAsia="Times Roman" w:hAnsi="Times Roman" w:cs="Times Roman"/>
        </w:rPr>
      </w:pPr>
      <w:r>
        <w:rPr>
          <w:rFonts w:ascii="Times Roman" w:eastAsia="Times Roman" w:hAnsi="Times Roman" w:cs="Times Roman"/>
        </w:rPr>
        <w:tab/>
      </w:r>
      <w:r>
        <w:rPr>
          <w:rFonts w:ascii="Times Roman" w:hAnsi="Times Roman"/>
        </w:rPr>
        <w:t>The most significant external threat to the project</w:t>
      </w:r>
      <w:r>
        <w:rPr>
          <w:rFonts w:ascii="Times Roman" w:hAnsi="Times Roman"/>
          <w:rtl/>
        </w:rPr>
        <w:t>’</w:t>
      </w:r>
      <w:r>
        <w:rPr>
          <w:rFonts w:ascii="Times Roman" w:hAnsi="Times Roman"/>
        </w:rPr>
        <w:t>s success is the complexity of government oversight and consumer protection laws surrounding educational costs and financial projections.</w:t>
      </w:r>
    </w:p>
    <w:tbl>
      <w:tblPr>
        <w:tblW w:w="935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072"/>
        <w:gridCol w:w="2610"/>
        <w:gridCol w:w="4671"/>
      </w:tblGrid>
      <w:tr w:rsidR="003E6CAE" w14:paraId="3148FE2F" w14:textId="77777777" w:rsidTr="005D03F3">
        <w:trPr>
          <w:trHeight w:val="360"/>
          <w:tblHeader/>
        </w:trPr>
        <w:tc>
          <w:tcPr>
            <w:tcW w:w="2071"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top w:w="20" w:type="dxa"/>
              <w:left w:w="20" w:type="dxa"/>
              <w:bottom w:w="20" w:type="dxa"/>
              <w:right w:w="20" w:type="dxa"/>
            </w:tcMar>
            <w:vAlign w:val="center"/>
          </w:tcPr>
          <w:p w14:paraId="35F12315" w14:textId="77777777" w:rsidR="003E6CAE" w:rsidRDefault="003E6CAE" w:rsidP="005D03F3">
            <w:pPr>
              <w:pStyle w:val="TableStyle2"/>
              <w:suppressAutoHyphens/>
              <w:spacing w:after="240"/>
              <w:jc w:val="center"/>
            </w:pPr>
            <w:r>
              <w:rPr>
                <w:rFonts w:ascii="Times Roman" w:hAnsi="Times Roman"/>
                <w:b/>
                <w:bCs/>
                <w:sz w:val="24"/>
                <w:szCs w:val="24"/>
              </w:rPr>
              <w:t>Focus Area</w:t>
            </w:r>
          </w:p>
        </w:tc>
        <w:tc>
          <w:tcPr>
            <w:tcW w:w="2610"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top w:w="20" w:type="dxa"/>
              <w:left w:w="20" w:type="dxa"/>
              <w:bottom w:w="20" w:type="dxa"/>
              <w:right w:w="20" w:type="dxa"/>
            </w:tcMar>
            <w:vAlign w:val="center"/>
          </w:tcPr>
          <w:p w14:paraId="7EDBB890" w14:textId="77777777" w:rsidR="003E6CAE" w:rsidRDefault="003E6CAE" w:rsidP="005D03F3">
            <w:pPr>
              <w:pStyle w:val="TableStyle2"/>
              <w:suppressAutoHyphens/>
              <w:spacing w:after="240"/>
              <w:jc w:val="center"/>
            </w:pPr>
            <w:r>
              <w:rPr>
                <w:rFonts w:ascii="Times Roman" w:hAnsi="Times Roman"/>
                <w:b/>
                <w:bCs/>
                <w:sz w:val="24"/>
                <w:szCs w:val="24"/>
              </w:rPr>
              <w:t>Key External Factors</w:t>
            </w:r>
          </w:p>
        </w:tc>
        <w:tc>
          <w:tcPr>
            <w:tcW w:w="4671"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top w:w="20" w:type="dxa"/>
              <w:left w:w="20" w:type="dxa"/>
              <w:bottom w:w="20" w:type="dxa"/>
              <w:right w:w="20" w:type="dxa"/>
            </w:tcMar>
            <w:vAlign w:val="center"/>
          </w:tcPr>
          <w:p w14:paraId="4E4467A5" w14:textId="77777777" w:rsidR="003E6CAE" w:rsidRDefault="003E6CAE" w:rsidP="005D03F3">
            <w:pPr>
              <w:pStyle w:val="TableStyle2"/>
              <w:suppressAutoHyphens/>
              <w:spacing w:after="240"/>
              <w:jc w:val="center"/>
            </w:pPr>
            <w:r>
              <w:rPr>
                <w:rFonts w:ascii="Times Roman" w:hAnsi="Times Roman"/>
                <w:b/>
                <w:bCs/>
                <w:sz w:val="24"/>
                <w:szCs w:val="24"/>
              </w:rPr>
              <w:t>Project Impact &amp; Risk</w:t>
            </w:r>
          </w:p>
        </w:tc>
      </w:tr>
      <w:tr w:rsidR="003E6CAE" w14:paraId="03680D08" w14:textId="77777777" w:rsidTr="005D03F3">
        <w:trPr>
          <w:trHeight w:val="1687"/>
        </w:trPr>
        <w:tc>
          <w:tcPr>
            <w:tcW w:w="2071" w:type="dxa"/>
            <w:tcBorders>
              <w:top w:val="single" w:sz="2" w:space="0" w:color="000000"/>
              <w:left w:val="single" w:sz="2" w:space="0" w:color="000000"/>
              <w:bottom w:val="single" w:sz="2" w:space="0" w:color="000000"/>
              <w:right w:val="single" w:sz="2" w:space="0" w:color="000000"/>
            </w:tcBorders>
            <w:tcMar>
              <w:top w:w="20" w:type="dxa"/>
              <w:left w:w="20" w:type="dxa"/>
              <w:bottom w:w="20" w:type="dxa"/>
              <w:right w:w="20" w:type="dxa"/>
            </w:tcMar>
          </w:tcPr>
          <w:p w14:paraId="584C115D" w14:textId="77777777" w:rsidR="003E6CAE" w:rsidRPr="00BD2FE1" w:rsidRDefault="003E6CAE" w:rsidP="005D03F3">
            <w:pPr>
              <w:pStyle w:val="TableStyle2"/>
              <w:suppressAutoHyphens/>
              <w:spacing w:after="240"/>
            </w:pPr>
            <w:r w:rsidRPr="00BD2FE1">
              <w:rPr>
                <w:rFonts w:ascii="Times Roman" w:hAnsi="Times Roman"/>
                <w:sz w:val="24"/>
                <w:szCs w:val="24"/>
              </w:rPr>
              <w:t>Federal and State Financial Aid</w:t>
            </w:r>
          </w:p>
        </w:tc>
        <w:tc>
          <w:tcPr>
            <w:tcW w:w="2610" w:type="dxa"/>
            <w:tcBorders>
              <w:top w:val="single" w:sz="2" w:space="0" w:color="000000"/>
              <w:left w:val="single" w:sz="2" w:space="0" w:color="000000"/>
              <w:bottom w:val="single" w:sz="2" w:space="0" w:color="000000"/>
              <w:right w:val="single" w:sz="2" w:space="0" w:color="000000"/>
            </w:tcBorders>
            <w:tcMar>
              <w:top w:w="20" w:type="dxa"/>
              <w:left w:w="20" w:type="dxa"/>
              <w:bottom w:w="20" w:type="dxa"/>
              <w:right w:w="20" w:type="dxa"/>
            </w:tcMar>
            <w:vAlign w:val="center"/>
          </w:tcPr>
          <w:p w14:paraId="7942F0C7" w14:textId="77777777" w:rsidR="003E6CAE" w:rsidRDefault="003E6CAE" w:rsidP="005D03F3">
            <w:pPr>
              <w:pStyle w:val="TableStyle2"/>
              <w:suppressAutoHyphens/>
              <w:spacing w:after="240"/>
            </w:pPr>
            <w:r>
              <w:rPr>
                <w:rFonts w:ascii="Times Roman" w:hAnsi="Times Roman"/>
                <w:sz w:val="24"/>
                <w:szCs w:val="24"/>
              </w:rPr>
              <w:t>Legislation such as the Higher Education Act (HEA) and specific state-level laws governing tuition, fees, and disclosure rules.</w:t>
            </w:r>
          </w:p>
        </w:tc>
        <w:tc>
          <w:tcPr>
            <w:tcW w:w="4671" w:type="dxa"/>
            <w:tcBorders>
              <w:top w:val="single" w:sz="2" w:space="0" w:color="000000"/>
              <w:left w:val="single" w:sz="2" w:space="0" w:color="000000"/>
              <w:bottom w:val="single" w:sz="2" w:space="0" w:color="000000"/>
              <w:right w:val="single" w:sz="2" w:space="0" w:color="000000"/>
            </w:tcBorders>
            <w:tcMar>
              <w:top w:w="20" w:type="dxa"/>
              <w:left w:w="20" w:type="dxa"/>
              <w:bottom w:w="20" w:type="dxa"/>
              <w:right w:w="20" w:type="dxa"/>
            </w:tcMar>
            <w:vAlign w:val="center"/>
          </w:tcPr>
          <w:p w14:paraId="181BF3E3" w14:textId="77777777" w:rsidR="003E6CAE" w:rsidRDefault="003E6CAE" w:rsidP="005D03F3">
            <w:pPr>
              <w:pStyle w:val="TableStyle2"/>
              <w:suppressAutoHyphens/>
              <w:spacing w:after="240"/>
            </w:pPr>
            <w:r>
              <w:rPr>
                <w:rFonts w:ascii="Times Roman" w:hAnsi="Times Roman"/>
                <w:b/>
                <w:bCs/>
                <w:sz w:val="24"/>
                <w:szCs w:val="24"/>
              </w:rPr>
              <w:t>High Risk.</w:t>
            </w:r>
            <w:r>
              <w:rPr>
                <w:rFonts w:ascii="Times Roman" w:hAnsi="Times Roman"/>
                <w:sz w:val="24"/>
                <w:szCs w:val="24"/>
              </w:rPr>
              <w:t xml:space="preserve"> Changes in federal definitions related to student loan interest rates, grant eligibility criteria can instantly render the calculator's core logic or its required disclaimers obsolete, necessitating immediate, costly code and content updates.</w:t>
            </w:r>
          </w:p>
        </w:tc>
      </w:tr>
      <w:tr w:rsidR="003E6CAE" w14:paraId="0C8C91D4" w14:textId="77777777" w:rsidTr="005D03F3">
        <w:trPr>
          <w:trHeight w:val="3087"/>
        </w:trPr>
        <w:tc>
          <w:tcPr>
            <w:tcW w:w="2071" w:type="dxa"/>
            <w:tcBorders>
              <w:top w:val="single" w:sz="2" w:space="0" w:color="000000"/>
              <w:left w:val="single" w:sz="2" w:space="0" w:color="000000"/>
              <w:bottom w:val="single" w:sz="2" w:space="0" w:color="000000"/>
              <w:right w:val="single" w:sz="2" w:space="0" w:color="000000"/>
            </w:tcBorders>
            <w:tcMar>
              <w:top w:w="20" w:type="dxa"/>
              <w:left w:w="20" w:type="dxa"/>
              <w:bottom w:w="20" w:type="dxa"/>
              <w:right w:w="20" w:type="dxa"/>
            </w:tcMar>
          </w:tcPr>
          <w:p w14:paraId="49C89CE9" w14:textId="77777777" w:rsidR="003E6CAE" w:rsidRPr="00B27FBF" w:rsidRDefault="003E6CAE" w:rsidP="005D03F3">
            <w:pPr>
              <w:pStyle w:val="TableStyle2"/>
              <w:suppressAutoHyphens/>
              <w:spacing w:after="240"/>
            </w:pPr>
            <w:r w:rsidRPr="00B27FBF">
              <w:rPr>
                <w:rFonts w:ascii="Times Roman" w:hAnsi="Times Roman"/>
                <w:sz w:val="24"/>
                <w:szCs w:val="24"/>
              </w:rPr>
              <w:t xml:space="preserve">Consumer Protection </w:t>
            </w:r>
            <w:r>
              <w:rPr>
                <w:rFonts w:ascii="Times Roman" w:hAnsi="Times Roman"/>
                <w:sz w:val="24"/>
                <w:szCs w:val="24"/>
              </w:rPr>
              <w:t>and</w:t>
            </w:r>
            <w:r w:rsidRPr="00B27FBF">
              <w:rPr>
                <w:rFonts w:ascii="Times Roman" w:hAnsi="Times Roman"/>
                <w:sz w:val="24"/>
                <w:szCs w:val="24"/>
              </w:rPr>
              <w:t xml:space="preserve"> Transparency</w:t>
            </w:r>
          </w:p>
        </w:tc>
        <w:tc>
          <w:tcPr>
            <w:tcW w:w="2610" w:type="dxa"/>
            <w:tcBorders>
              <w:top w:val="single" w:sz="2" w:space="0" w:color="000000"/>
              <w:left w:val="single" w:sz="2" w:space="0" w:color="000000"/>
              <w:bottom w:val="single" w:sz="2" w:space="0" w:color="000000"/>
              <w:right w:val="single" w:sz="2" w:space="0" w:color="000000"/>
            </w:tcBorders>
            <w:tcMar>
              <w:top w:w="20" w:type="dxa"/>
              <w:left w:w="20" w:type="dxa"/>
              <w:bottom w:w="20" w:type="dxa"/>
              <w:right w:w="20" w:type="dxa"/>
            </w:tcMar>
            <w:vAlign w:val="center"/>
          </w:tcPr>
          <w:p w14:paraId="3038688B" w14:textId="77777777" w:rsidR="003E6CAE" w:rsidRDefault="003E6CAE" w:rsidP="005D03F3">
            <w:pPr>
              <w:pStyle w:val="TableStyle2"/>
              <w:suppressAutoHyphens/>
              <w:spacing w:after="240"/>
            </w:pPr>
            <w:r>
              <w:rPr>
                <w:rFonts w:ascii="Times Roman" w:hAnsi="Times Roman"/>
                <w:sz w:val="24"/>
                <w:szCs w:val="24"/>
              </w:rPr>
              <w:t>Regulations from the Department of Education and the Federal Trade Commission (FTC) mandate accuracy and prohibit misleading advertising regarding degree costs and completion times, especially for for-profit institutions.</w:t>
            </w:r>
          </w:p>
        </w:tc>
        <w:tc>
          <w:tcPr>
            <w:tcW w:w="4671" w:type="dxa"/>
            <w:tcBorders>
              <w:top w:val="single" w:sz="2" w:space="0" w:color="000000"/>
              <w:left w:val="single" w:sz="2" w:space="0" w:color="000000"/>
              <w:bottom w:val="single" w:sz="2" w:space="0" w:color="000000"/>
              <w:right w:val="single" w:sz="2" w:space="0" w:color="000000"/>
            </w:tcBorders>
            <w:tcMar>
              <w:top w:w="20" w:type="dxa"/>
              <w:left w:w="20" w:type="dxa"/>
              <w:bottom w:w="20" w:type="dxa"/>
              <w:right w:w="20" w:type="dxa"/>
            </w:tcMar>
          </w:tcPr>
          <w:p w14:paraId="7F0F646C" w14:textId="77777777" w:rsidR="003E6CAE" w:rsidRDefault="003E6CAE" w:rsidP="005D03F3">
            <w:pPr>
              <w:pStyle w:val="TableStyle2"/>
              <w:suppressAutoHyphens/>
              <w:spacing w:after="240"/>
            </w:pPr>
            <w:r>
              <w:rPr>
                <w:rFonts w:ascii="Times Roman" w:hAnsi="Times Roman"/>
                <w:b/>
                <w:bCs/>
                <w:sz w:val="24"/>
                <w:szCs w:val="24"/>
                <w:lang w:val="it-IT"/>
              </w:rPr>
              <w:t>Critical Risk.</w:t>
            </w:r>
            <w:r>
              <w:rPr>
                <w:rFonts w:ascii="Times Roman" w:hAnsi="Times Roman"/>
                <w:sz w:val="24"/>
                <w:szCs w:val="24"/>
              </w:rPr>
              <w:t xml:space="preserve"> As a custom calculator provides an individualized </w:t>
            </w:r>
            <w:r>
              <w:rPr>
                <w:rFonts w:ascii="Times Roman" w:hAnsi="Times Roman"/>
                <w:i/>
                <w:iCs/>
                <w:sz w:val="24"/>
                <w:szCs w:val="24"/>
                <w:lang w:val="it-IT"/>
              </w:rPr>
              <w:t>estimate</w:t>
            </w:r>
            <w:r>
              <w:rPr>
                <w:rFonts w:ascii="Times Roman" w:hAnsi="Times Roman"/>
                <w:sz w:val="24"/>
                <w:szCs w:val="24"/>
              </w:rPr>
              <w:t xml:space="preserve">, strict legal sign-off is required to ensure the output cannot be construed as a binding quote or a guarantee, thus protecting </w:t>
            </w:r>
            <w:proofErr w:type="spellStart"/>
            <w:r>
              <w:rPr>
                <w:rFonts w:ascii="Times Roman" w:hAnsi="Times Roman"/>
                <w:sz w:val="24"/>
                <w:szCs w:val="24"/>
              </w:rPr>
              <w:t>Arborwood</w:t>
            </w:r>
            <w:proofErr w:type="spellEnd"/>
            <w:r>
              <w:rPr>
                <w:rFonts w:ascii="Times Roman" w:hAnsi="Times Roman"/>
                <w:sz w:val="24"/>
                <w:szCs w:val="24"/>
              </w:rPr>
              <w:t xml:space="preserve"> from litigation and fines.</w:t>
            </w:r>
          </w:p>
        </w:tc>
      </w:tr>
    </w:tbl>
    <w:p w14:paraId="07C3189C" w14:textId="77777777" w:rsidR="003E6CAE" w:rsidRDefault="003E6CAE" w:rsidP="003E6CAE">
      <w:pPr>
        <w:pStyle w:val="Default"/>
        <w:suppressAutoHyphens/>
        <w:spacing w:before="0" w:after="281" w:line="240" w:lineRule="auto"/>
        <w:rPr>
          <w:rFonts w:ascii="Times Roman" w:eastAsia="Times Roman" w:hAnsi="Times Roman" w:cs="Times Roman"/>
          <w:b/>
          <w:bCs/>
          <w:sz w:val="28"/>
          <w:szCs w:val="28"/>
        </w:rPr>
      </w:pPr>
    </w:p>
    <w:p w14:paraId="6293BAB0" w14:textId="77777777" w:rsidR="003E6CAE" w:rsidRPr="00085D90" w:rsidRDefault="003E6CAE" w:rsidP="003E6CAE">
      <w:pPr>
        <w:pStyle w:val="Default"/>
        <w:suppressAutoHyphens/>
        <w:spacing w:before="0" w:after="281" w:line="240" w:lineRule="auto"/>
        <w:rPr>
          <w:rStyle w:val="SubtleReference"/>
        </w:rPr>
      </w:pPr>
      <w:r w:rsidRPr="00085D90">
        <w:rPr>
          <w:rStyle w:val="SubtleReference"/>
        </w:rPr>
        <w:t>2. Market and Competitive Forces</w:t>
      </w:r>
    </w:p>
    <w:p w14:paraId="586DDD9C" w14:textId="77777777" w:rsidR="003E6CAE" w:rsidRDefault="003E6CAE" w:rsidP="003E6CAE">
      <w:pPr>
        <w:pStyle w:val="Caption"/>
      </w:pPr>
    </w:p>
    <w:p w14:paraId="09DB8430" w14:textId="77777777" w:rsidR="003E6CAE" w:rsidRDefault="003E6CAE" w:rsidP="003E6CAE">
      <w:pPr>
        <w:pStyle w:val="Default"/>
        <w:suppressAutoHyphens/>
        <w:spacing w:before="0" w:after="240" w:line="240" w:lineRule="auto"/>
        <w:rPr>
          <w:rFonts w:ascii="Times Roman" w:eastAsia="Times Roman" w:hAnsi="Times Roman" w:cs="Times Roman"/>
        </w:rPr>
      </w:pPr>
      <w:r>
        <w:rPr>
          <w:rFonts w:ascii="Times Roman" w:eastAsia="Times Roman" w:hAnsi="Times Roman" w:cs="Times Roman"/>
        </w:rPr>
        <w:tab/>
      </w:r>
      <w:r>
        <w:rPr>
          <w:rFonts w:ascii="Times Roman" w:hAnsi="Times Roman"/>
        </w:rPr>
        <w:t>This analysis confirms the market need for greater transparency while acknowledging the intensifying competition in the online higher education sector.</w:t>
      </w:r>
    </w:p>
    <w:tbl>
      <w:tblPr>
        <w:tblW w:w="935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991"/>
        <w:gridCol w:w="2443"/>
        <w:gridCol w:w="4919"/>
      </w:tblGrid>
      <w:tr w:rsidR="003E6CAE" w:rsidRPr="00085D90" w14:paraId="33FBF3F8" w14:textId="77777777" w:rsidTr="005D03F3">
        <w:trPr>
          <w:trHeight w:val="360"/>
          <w:tblHeader/>
        </w:trPr>
        <w:tc>
          <w:tcPr>
            <w:tcW w:w="1991"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top w:w="20" w:type="dxa"/>
              <w:left w:w="20" w:type="dxa"/>
              <w:bottom w:w="20" w:type="dxa"/>
              <w:right w:w="20" w:type="dxa"/>
            </w:tcMar>
          </w:tcPr>
          <w:p w14:paraId="456AE919" w14:textId="77777777" w:rsidR="003E6CAE" w:rsidRPr="00085D90" w:rsidRDefault="003E6CAE" w:rsidP="005D03F3">
            <w:pPr>
              <w:pStyle w:val="TableStyle2"/>
              <w:suppressAutoHyphens/>
              <w:spacing w:after="240"/>
              <w:rPr>
                <w:b/>
                <w:bCs/>
              </w:rPr>
            </w:pPr>
            <w:r w:rsidRPr="00085D90">
              <w:rPr>
                <w:rFonts w:ascii="Times Roman" w:hAnsi="Times Roman"/>
                <w:b/>
                <w:bCs/>
                <w:sz w:val="24"/>
                <w:szCs w:val="24"/>
              </w:rPr>
              <w:t>Focus Area</w:t>
            </w:r>
          </w:p>
        </w:tc>
        <w:tc>
          <w:tcPr>
            <w:tcW w:w="2443"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top w:w="20" w:type="dxa"/>
              <w:left w:w="20" w:type="dxa"/>
              <w:bottom w:w="20" w:type="dxa"/>
              <w:right w:w="20" w:type="dxa"/>
            </w:tcMar>
          </w:tcPr>
          <w:p w14:paraId="317D3EBF" w14:textId="77777777" w:rsidR="003E6CAE" w:rsidRPr="00085D90" w:rsidRDefault="003E6CAE" w:rsidP="005D03F3">
            <w:pPr>
              <w:pStyle w:val="TableStyle2"/>
              <w:suppressAutoHyphens/>
              <w:spacing w:after="240"/>
              <w:rPr>
                <w:b/>
                <w:bCs/>
              </w:rPr>
            </w:pPr>
            <w:r w:rsidRPr="00085D90">
              <w:rPr>
                <w:rFonts w:ascii="Times Roman" w:hAnsi="Times Roman"/>
                <w:b/>
                <w:bCs/>
                <w:sz w:val="24"/>
                <w:szCs w:val="24"/>
              </w:rPr>
              <w:t>Key External Factors</w:t>
            </w:r>
          </w:p>
        </w:tc>
        <w:tc>
          <w:tcPr>
            <w:tcW w:w="4918"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top w:w="20" w:type="dxa"/>
              <w:left w:w="20" w:type="dxa"/>
              <w:bottom w:w="20" w:type="dxa"/>
              <w:right w:w="20" w:type="dxa"/>
            </w:tcMar>
          </w:tcPr>
          <w:p w14:paraId="2CDCF6FC" w14:textId="77777777" w:rsidR="003E6CAE" w:rsidRPr="00085D90" w:rsidRDefault="003E6CAE" w:rsidP="005D03F3">
            <w:pPr>
              <w:pStyle w:val="TableStyle2"/>
              <w:suppressAutoHyphens/>
              <w:spacing w:after="240"/>
              <w:rPr>
                <w:b/>
                <w:bCs/>
              </w:rPr>
            </w:pPr>
            <w:r w:rsidRPr="00085D90">
              <w:rPr>
                <w:rFonts w:ascii="Times Roman" w:hAnsi="Times Roman"/>
                <w:b/>
                <w:bCs/>
                <w:sz w:val="24"/>
                <w:szCs w:val="24"/>
              </w:rPr>
              <w:t>Project Opportunity/Threat</w:t>
            </w:r>
          </w:p>
        </w:tc>
      </w:tr>
      <w:tr w:rsidR="003E6CAE" w:rsidRPr="00085D90" w14:paraId="48DE15FE" w14:textId="77777777" w:rsidTr="005D03F3">
        <w:trPr>
          <w:trHeight w:val="1687"/>
        </w:trPr>
        <w:tc>
          <w:tcPr>
            <w:tcW w:w="1991" w:type="dxa"/>
            <w:tcBorders>
              <w:top w:val="single" w:sz="2" w:space="0" w:color="000000"/>
              <w:left w:val="single" w:sz="2" w:space="0" w:color="000000"/>
              <w:bottom w:val="single" w:sz="2" w:space="0" w:color="000000"/>
              <w:right w:val="single" w:sz="2" w:space="0" w:color="000000"/>
            </w:tcBorders>
            <w:tcMar>
              <w:top w:w="20" w:type="dxa"/>
              <w:left w:w="20" w:type="dxa"/>
              <w:bottom w:w="20" w:type="dxa"/>
              <w:right w:w="20" w:type="dxa"/>
            </w:tcMar>
          </w:tcPr>
          <w:p w14:paraId="63CB4370" w14:textId="77777777" w:rsidR="003E6CAE" w:rsidRPr="00085D90" w:rsidRDefault="003E6CAE" w:rsidP="005D03F3">
            <w:pPr>
              <w:pStyle w:val="TableStyle2"/>
              <w:suppressAutoHyphens/>
              <w:spacing w:after="240"/>
            </w:pPr>
            <w:r w:rsidRPr="00085D90">
              <w:rPr>
                <w:rFonts w:ascii="Times Roman" w:hAnsi="Times Roman"/>
                <w:sz w:val="24"/>
                <w:szCs w:val="24"/>
              </w:rPr>
              <w:t>Competitive Differentiation</w:t>
            </w:r>
          </w:p>
        </w:tc>
        <w:tc>
          <w:tcPr>
            <w:tcW w:w="2443" w:type="dxa"/>
            <w:tcBorders>
              <w:top w:val="single" w:sz="2" w:space="0" w:color="000000"/>
              <w:left w:val="single" w:sz="2" w:space="0" w:color="000000"/>
              <w:bottom w:val="single" w:sz="2" w:space="0" w:color="000000"/>
              <w:right w:val="single" w:sz="2" w:space="0" w:color="000000"/>
            </w:tcBorders>
            <w:tcMar>
              <w:top w:w="20" w:type="dxa"/>
              <w:left w:w="20" w:type="dxa"/>
              <w:bottom w:w="20" w:type="dxa"/>
              <w:right w:w="20" w:type="dxa"/>
            </w:tcMar>
          </w:tcPr>
          <w:p w14:paraId="07E7116F" w14:textId="77777777" w:rsidR="003E6CAE" w:rsidRPr="00085D90" w:rsidRDefault="003E6CAE" w:rsidP="005D03F3">
            <w:pPr>
              <w:pStyle w:val="TableStyle2"/>
              <w:suppressAutoHyphens/>
              <w:spacing w:after="240"/>
            </w:pPr>
            <w:r w:rsidRPr="00085D90">
              <w:rPr>
                <w:rFonts w:ascii="Times Roman" w:hAnsi="Times Roman"/>
                <w:sz w:val="24"/>
                <w:szCs w:val="24"/>
              </w:rPr>
              <w:t>Competitors lack personalized, transparent tools for cost and time estimates. Most rely on static tuition tables.</w:t>
            </w:r>
          </w:p>
        </w:tc>
        <w:tc>
          <w:tcPr>
            <w:tcW w:w="4918" w:type="dxa"/>
            <w:tcBorders>
              <w:top w:val="single" w:sz="2" w:space="0" w:color="000000"/>
              <w:left w:val="single" w:sz="2" w:space="0" w:color="000000"/>
              <w:bottom w:val="single" w:sz="2" w:space="0" w:color="000000"/>
              <w:right w:val="single" w:sz="2" w:space="0" w:color="000000"/>
            </w:tcBorders>
            <w:tcMar>
              <w:top w:w="20" w:type="dxa"/>
              <w:left w:w="20" w:type="dxa"/>
              <w:bottom w:w="20" w:type="dxa"/>
              <w:right w:w="20" w:type="dxa"/>
            </w:tcMar>
          </w:tcPr>
          <w:p w14:paraId="46947876" w14:textId="77777777" w:rsidR="003E6CAE" w:rsidRPr="00085D90" w:rsidRDefault="003E6CAE" w:rsidP="005D03F3">
            <w:pPr>
              <w:pStyle w:val="TableStyle2"/>
              <w:suppressAutoHyphens/>
              <w:spacing w:after="240"/>
            </w:pPr>
            <w:r w:rsidRPr="00085D90">
              <w:rPr>
                <w:rFonts w:ascii="Times Roman" w:hAnsi="Times Roman"/>
                <w:sz w:val="24"/>
                <w:szCs w:val="24"/>
              </w:rPr>
              <w:t>Opportunity. Developing a best-in-class, personalized calculator will fulfill a clear market need, serving as a significant competitive differentiator and driving conversion rates, as identified by Marketing's research.</w:t>
            </w:r>
          </w:p>
        </w:tc>
      </w:tr>
      <w:tr w:rsidR="003E6CAE" w:rsidRPr="00085D90" w14:paraId="321D87B4" w14:textId="77777777" w:rsidTr="005D03F3">
        <w:trPr>
          <w:trHeight w:val="2527"/>
        </w:trPr>
        <w:tc>
          <w:tcPr>
            <w:tcW w:w="1991" w:type="dxa"/>
            <w:tcBorders>
              <w:top w:val="single" w:sz="2" w:space="0" w:color="000000"/>
              <w:left w:val="single" w:sz="2" w:space="0" w:color="000000"/>
              <w:bottom w:val="single" w:sz="2" w:space="0" w:color="000000"/>
              <w:right w:val="single" w:sz="2" w:space="0" w:color="000000"/>
            </w:tcBorders>
            <w:tcMar>
              <w:top w:w="20" w:type="dxa"/>
              <w:left w:w="20" w:type="dxa"/>
              <w:bottom w:w="20" w:type="dxa"/>
              <w:right w:w="20" w:type="dxa"/>
            </w:tcMar>
          </w:tcPr>
          <w:p w14:paraId="0AFE83EC" w14:textId="77777777" w:rsidR="003E6CAE" w:rsidRPr="00085D90" w:rsidRDefault="003E6CAE" w:rsidP="005D03F3">
            <w:pPr>
              <w:pStyle w:val="TableStyle2"/>
              <w:suppressAutoHyphens/>
              <w:spacing w:after="240"/>
            </w:pPr>
            <w:r w:rsidRPr="00085D90">
              <w:rPr>
                <w:rFonts w:ascii="Times Roman" w:hAnsi="Times Roman"/>
                <w:sz w:val="24"/>
                <w:szCs w:val="24"/>
              </w:rPr>
              <w:t>Market Saturation and Parity</w:t>
            </w:r>
          </w:p>
        </w:tc>
        <w:tc>
          <w:tcPr>
            <w:tcW w:w="2443" w:type="dxa"/>
            <w:tcBorders>
              <w:top w:val="single" w:sz="2" w:space="0" w:color="000000"/>
              <w:left w:val="single" w:sz="2" w:space="0" w:color="000000"/>
              <w:bottom w:val="single" w:sz="2" w:space="0" w:color="000000"/>
              <w:right w:val="single" w:sz="2" w:space="0" w:color="000000"/>
            </w:tcBorders>
            <w:tcMar>
              <w:top w:w="20" w:type="dxa"/>
              <w:left w:w="20" w:type="dxa"/>
              <w:bottom w:w="20" w:type="dxa"/>
              <w:right w:w="20" w:type="dxa"/>
            </w:tcMar>
          </w:tcPr>
          <w:p w14:paraId="6117B59F" w14:textId="77777777" w:rsidR="003E6CAE" w:rsidRPr="00085D90" w:rsidRDefault="003E6CAE" w:rsidP="005D03F3">
            <w:pPr>
              <w:pStyle w:val="TableStyle2"/>
              <w:suppressAutoHyphens/>
              <w:spacing w:after="240"/>
            </w:pPr>
            <w:r w:rsidRPr="00085D90">
              <w:rPr>
                <w:rFonts w:ascii="Times Roman" w:hAnsi="Times Roman"/>
                <w:sz w:val="24"/>
                <w:szCs w:val="24"/>
              </w:rPr>
              <w:t xml:space="preserve">The pandemic accelerated online adoption, eliminating </w:t>
            </w:r>
            <w:proofErr w:type="spellStart"/>
            <w:r w:rsidRPr="00085D90">
              <w:rPr>
                <w:rFonts w:ascii="Times Roman" w:hAnsi="Times Roman"/>
                <w:sz w:val="24"/>
                <w:szCs w:val="24"/>
              </w:rPr>
              <w:t>Arborwood's</w:t>
            </w:r>
            <w:proofErr w:type="spellEnd"/>
            <w:r w:rsidRPr="00085D90">
              <w:rPr>
                <w:rFonts w:ascii="Times Roman" w:hAnsi="Times Roman"/>
                <w:sz w:val="24"/>
                <w:szCs w:val="24"/>
              </w:rPr>
              <w:t xml:space="preserve"> early advantage. Many competitors now offer comparable online degree completion programs.</w:t>
            </w:r>
          </w:p>
        </w:tc>
        <w:tc>
          <w:tcPr>
            <w:tcW w:w="4918" w:type="dxa"/>
            <w:tcBorders>
              <w:top w:val="single" w:sz="2" w:space="0" w:color="000000"/>
              <w:left w:val="single" w:sz="2" w:space="0" w:color="000000"/>
              <w:bottom w:val="single" w:sz="2" w:space="0" w:color="000000"/>
              <w:right w:val="single" w:sz="2" w:space="0" w:color="000000"/>
            </w:tcBorders>
            <w:tcMar>
              <w:top w:w="20" w:type="dxa"/>
              <w:left w:w="20" w:type="dxa"/>
              <w:bottom w:w="20" w:type="dxa"/>
              <w:right w:w="20" w:type="dxa"/>
            </w:tcMar>
          </w:tcPr>
          <w:p w14:paraId="659F7A23" w14:textId="77777777" w:rsidR="003E6CAE" w:rsidRPr="00085D90" w:rsidRDefault="003E6CAE" w:rsidP="005D03F3">
            <w:pPr>
              <w:pStyle w:val="TableStyle2"/>
              <w:suppressAutoHyphens/>
              <w:spacing w:after="240"/>
            </w:pPr>
            <w:r w:rsidRPr="00085D90">
              <w:rPr>
                <w:rFonts w:ascii="Times Roman" w:hAnsi="Times Roman"/>
                <w:sz w:val="24"/>
                <w:szCs w:val="24"/>
              </w:rPr>
              <w:t xml:space="preserve">Threat. Competitors are actively working to close the transparency gap. The project must be delivered with alacrity (as noted in the SWOT) before a major rival launches a similar tool, negating </w:t>
            </w:r>
            <w:proofErr w:type="spellStart"/>
            <w:r w:rsidRPr="00085D90">
              <w:rPr>
                <w:rFonts w:ascii="Times Roman" w:hAnsi="Times Roman"/>
                <w:sz w:val="24"/>
                <w:szCs w:val="24"/>
              </w:rPr>
              <w:t>Arborwood's</w:t>
            </w:r>
            <w:proofErr w:type="spellEnd"/>
            <w:r w:rsidRPr="00085D90">
              <w:rPr>
                <w:rFonts w:ascii="Times Roman" w:hAnsi="Times Roman"/>
                <w:sz w:val="24"/>
                <w:szCs w:val="24"/>
              </w:rPr>
              <w:t xml:space="preserve"> first-mover advantage.</w:t>
            </w:r>
          </w:p>
        </w:tc>
      </w:tr>
      <w:tr w:rsidR="003E6CAE" w:rsidRPr="00085D90" w14:paraId="5B5EB12A" w14:textId="77777777" w:rsidTr="005D03F3">
        <w:trPr>
          <w:trHeight w:val="2527"/>
        </w:trPr>
        <w:tc>
          <w:tcPr>
            <w:tcW w:w="1991" w:type="dxa"/>
            <w:tcBorders>
              <w:top w:val="single" w:sz="2" w:space="0" w:color="000000"/>
              <w:left w:val="single" w:sz="2" w:space="0" w:color="000000"/>
              <w:bottom w:val="single" w:sz="2" w:space="0" w:color="000000"/>
              <w:right w:val="single" w:sz="2" w:space="0" w:color="000000"/>
            </w:tcBorders>
            <w:tcMar>
              <w:top w:w="20" w:type="dxa"/>
              <w:left w:w="20" w:type="dxa"/>
              <w:bottom w:w="20" w:type="dxa"/>
              <w:right w:w="20" w:type="dxa"/>
            </w:tcMar>
          </w:tcPr>
          <w:p w14:paraId="31EBC8F4" w14:textId="77777777" w:rsidR="003E6CAE" w:rsidRPr="00085D90" w:rsidRDefault="003E6CAE" w:rsidP="005D03F3">
            <w:pPr>
              <w:pStyle w:val="TableStyle2"/>
              <w:suppressAutoHyphens/>
              <w:spacing w:after="240"/>
            </w:pPr>
            <w:r w:rsidRPr="00085D90">
              <w:rPr>
                <w:rFonts w:ascii="Times Roman" w:hAnsi="Times Roman"/>
                <w:sz w:val="24"/>
                <w:szCs w:val="24"/>
              </w:rPr>
              <w:t>Changing Prospect Demographics</w:t>
            </w:r>
          </w:p>
        </w:tc>
        <w:tc>
          <w:tcPr>
            <w:tcW w:w="2443" w:type="dxa"/>
            <w:tcBorders>
              <w:top w:val="single" w:sz="2" w:space="0" w:color="000000"/>
              <w:left w:val="single" w:sz="2" w:space="0" w:color="000000"/>
              <w:bottom w:val="single" w:sz="2" w:space="0" w:color="000000"/>
              <w:right w:val="single" w:sz="2" w:space="0" w:color="000000"/>
            </w:tcBorders>
            <w:tcMar>
              <w:top w:w="20" w:type="dxa"/>
              <w:left w:w="20" w:type="dxa"/>
              <w:bottom w:w="20" w:type="dxa"/>
              <w:right w:w="20" w:type="dxa"/>
            </w:tcMar>
          </w:tcPr>
          <w:p w14:paraId="3D88F3D6" w14:textId="77777777" w:rsidR="003E6CAE" w:rsidRPr="00085D90" w:rsidRDefault="003E6CAE" w:rsidP="005D03F3">
            <w:pPr>
              <w:pStyle w:val="TableStyle2"/>
              <w:suppressAutoHyphens/>
              <w:spacing w:after="240"/>
            </w:pPr>
            <w:r w:rsidRPr="00085D90">
              <w:rPr>
                <w:rFonts w:ascii="Times Roman" w:hAnsi="Times Roman"/>
                <w:sz w:val="24"/>
                <w:szCs w:val="24"/>
              </w:rPr>
              <w:t xml:space="preserve">Growing national skepticism regarding the ROI of higher education and increasing cost sensitivity among adult learners who are </w:t>
            </w:r>
            <w:proofErr w:type="spellStart"/>
            <w:r w:rsidRPr="00085D90">
              <w:rPr>
                <w:rFonts w:ascii="Times Roman" w:hAnsi="Times Roman"/>
                <w:sz w:val="24"/>
                <w:szCs w:val="24"/>
              </w:rPr>
              <w:t>Arborwood's</w:t>
            </w:r>
            <w:proofErr w:type="spellEnd"/>
            <w:r w:rsidRPr="00085D90">
              <w:rPr>
                <w:rFonts w:ascii="Times Roman" w:hAnsi="Times Roman"/>
                <w:sz w:val="24"/>
                <w:szCs w:val="24"/>
              </w:rPr>
              <w:t xml:space="preserve"> target audience.</w:t>
            </w:r>
          </w:p>
        </w:tc>
        <w:tc>
          <w:tcPr>
            <w:tcW w:w="4918" w:type="dxa"/>
            <w:tcBorders>
              <w:top w:val="single" w:sz="2" w:space="0" w:color="000000"/>
              <w:left w:val="single" w:sz="2" w:space="0" w:color="000000"/>
              <w:bottom w:val="single" w:sz="2" w:space="0" w:color="000000"/>
              <w:right w:val="single" w:sz="2" w:space="0" w:color="000000"/>
            </w:tcBorders>
            <w:tcMar>
              <w:top w:w="20" w:type="dxa"/>
              <w:left w:w="20" w:type="dxa"/>
              <w:bottom w:w="20" w:type="dxa"/>
              <w:right w:w="20" w:type="dxa"/>
            </w:tcMar>
          </w:tcPr>
          <w:p w14:paraId="49FF1F40" w14:textId="77777777" w:rsidR="003E6CAE" w:rsidRPr="00085D90" w:rsidRDefault="003E6CAE" w:rsidP="005D03F3">
            <w:pPr>
              <w:pStyle w:val="TableStyle2"/>
              <w:suppressAutoHyphens/>
              <w:spacing w:after="240"/>
            </w:pPr>
            <w:r w:rsidRPr="00085D90">
              <w:rPr>
                <w:rFonts w:ascii="Times Roman" w:hAnsi="Times Roman"/>
                <w:sz w:val="24"/>
                <w:szCs w:val="24"/>
              </w:rPr>
              <w:t>Opportunity. A transparent calculator directly counters public skepticism by proving the value proposition. It empowers cost-sensitive prospects by giving them control over the estimated time and cost of their degree.</w:t>
            </w:r>
          </w:p>
        </w:tc>
      </w:tr>
    </w:tbl>
    <w:p w14:paraId="5ABF8D12" w14:textId="77777777" w:rsidR="003E6CAE" w:rsidRDefault="003E6CAE" w:rsidP="003E6CAE">
      <w:pPr>
        <w:pStyle w:val="Caption"/>
      </w:pPr>
    </w:p>
    <w:p w14:paraId="0193CC33" w14:textId="77777777" w:rsidR="003E6CAE" w:rsidRDefault="003E6CAE" w:rsidP="003E6CAE">
      <w:pPr>
        <w:pStyle w:val="Caption"/>
      </w:pPr>
    </w:p>
    <w:p w14:paraId="1E0D8025" w14:textId="77777777" w:rsidR="003E6CAE" w:rsidRPr="00085D90" w:rsidRDefault="003E6CAE" w:rsidP="003E6CAE">
      <w:pPr>
        <w:pStyle w:val="Caption"/>
        <w:numPr>
          <w:ilvl w:val="0"/>
          <w:numId w:val="5"/>
        </w:numPr>
        <w:rPr>
          <w:rStyle w:val="SubtleReference"/>
        </w:rPr>
      </w:pPr>
      <w:r w:rsidRPr="00085D90">
        <w:rPr>
          <w:rStyle w:val="SubtleReference"/>
        </w:rPr>
        <w:t>Technological and Platform Trends</w:t>
      </w:r>
    </w:p>
    <w:p w14:paraId="06F9C717" w14:textId="77777777" w:rsidR="003E6CAE" w:rsidRDefault="003E6CAE" w:rsidP="003E6CAE">
      <w:pPr>
        <w:pStyle w:val="Caption"/>
      </w:pPr>
    </w:p>
    <w:p w14:paraId="37576C73" w14:textId="77777777" w:rsidR="003E6CAE" w:rsidRDefault="003E6CAE" w:rsidP="003E6CAE">
      <w:pPr>
        <w:pStyle w:val="Default"/>
        <w:suppressAutoHyphens/>
        <w:spacing w:before="0" w:after="240" w:line="240" w:lineRule="auto"/>
        <w:rPr>
          <w:rFonts w:ascii="Times Roman" w:eastAsia="Times Roman" w:hAnsi="Times Roman" w:cs="Times Roman"/>
        </w:rPr>
      </w:pPr>
      <w:r>
        <w:rPr>
          <w:rFonts w:ascii="Times Roman" w:eastAsia="Times Roman" w:hAnsi="Times Roman" w:cs="Times Roman"/>
        </w:rPr>
        <w:tab/>
      </w:r>
      <w:r>
        <w:rPr>
          <w:rFonts w:ascii="Times Roman" w:hAnsi="Times Roman"/>
        </w:rPr>
        <w:t>This section examines the external technical ecosystem and platform dependencies.</w:t>
      </w:r>
    </w:p>
    <w:tbl>
      <w:tblPr>
        <w:tblW w:w="935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001"/>
        <w:gridCol w:w="2442"/>
        <w:gridCol w:w="4910"/>
      </w:tblGrid>
      <w:tr w:rsidR="003E6CAE" w:rsidRPr="00085D90" w14:paraId="3F58B3A3" w14:textId="77777777" w:rsidTr="005D03F3">
        <w:trPr>
          <w:trHeight w:val="360"/>
        </w:trPr>
        <w:tc>
          <w:tcPr>
            <w:tcW w:w="2001"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top w:w="20" w:type="dxa"/>
              <w:left w:w="20" w:type="dxa"/>
              <w:bottom w:w="20" w:type="dxa"/>
              <w:right w:w="20" w:type="dxa"/>
            </w:tcMar>
          </w:tcPr>
          <w:p w14:paraId="2FE8449E" w14:textId="77777777" w:rsidR="003E6CAE" w:rsidRPr="00085D90" w:rsidRDefault="003E6CAE" w:rsidP="005D03F3">
            <w:pPr>
              <w:pStyle w:val="TableStyle2"/>
              <w:suppressAutoHyphens/>
              <w:spacing w:after="240"/>
              <w:rPr>
                <w:b/>
                <w:bCs/>
              </w:rPr>
            </w:pPr>
            <w:r w:rsidRPr="00085D90">
              <w:rPr>
                <w:rFonts w:ascii="Times Roman" w:hAnsi="Times Roman"/>
                <w:b/>
                <w:bCs/>
                <w:sz w:val="24"/>
                <w:szCs w:val="24"/>
              </w:rPr>
              <w:t>Focus Area</w:t>
            </w:r>
          </w:p>
        </w:tc>
        <w:tc>
          <w:tcPr>
            <w:tcW w:w="2441"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top w:w="20" w:type="dxa"/>
              <w:left w:w="20" w:type="dxa"/>
              <w:bottom w:w="20" w:type="dxa"/>
              <w:right w:w="20" w:type="dxa"/>
            </w:tcMar>
          </w:tcPr>
          <w:p w14:paraId="7C9D3278" w14:textId="77777777" w:rsidR="003E6CAE" w:rsidRPr="00085D90" w:rsidRDefault="003E6CAE" w:rsidP="005D03F3">
            <w:pPr>
              <w:pStyle w:val="TableStyle2"/>
              <w:suppressAutoHyphens/>
              <w:spacing w:after="240"/>
              <w:rPr>
                <w:b/>
                <w:bCs/>
              </w:rPr>
            </w:pPr>
            <w:r w:rsidRPr="00085D90">
              <w:rPr>
                <w:rFonts w:ascii="Times Roman" w:hAnsi="Times Roman"/>
                <w:b/>
                <w:bCs/>
                <w:sz w:val="24"/>
                <w:szCs w:val="24"/>
              </w:rPr>
              <w:t>Key External Factors</w:t>
            </w:r>
          </w:p>
        </w:tc>
        <w:tc>
          <w:tcPr>
            <w:tcW w:w="4909"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top w:w="20" w:type="dxa"/>
              <w:left w:w="20" w:type="dxa"/>
              <w:bottom w:w="20" w:type="dxa"/>
              <w:right w:w="20" w:type="dxa"/>
            </w:tcMar>
          </w:tcPr>
          <w:p w14:paraId="35A613F7" w14:textId="77777777" w:rsidR="003E6CAE" w:rsidRPr="00085D90" w:rsidRDefault="003E6CAE" w:rsidP="005D03F3">
            <w:pPr>
              <w:pStyle w:val="TableStyle2"/>
              <w:suppressAutoHyphens/>
              <w:spacing w:after="240"/>
              <w:rPr>
                <w:b/>
                <w:bCs/>
              </w:rPr>
            </w:pPr>
            <w:r w:rsidRPr="00085D90">
              <w:rPr>
                <w:rFonts w:ascii="Times Roman" w:hAnsi="Times Roman"/>
                <w:b/>
                <w:bCs/>
                <w:sz w:val="24"/>
                <w:szCs w:val="24"/>
              </w:rPr>
              <w:t>Project Opportunity/Threat</w:t>
            </w:r>
          </w:p>
        </w:tc>
      </w:tr>
      <w:tr w:rsidR="003E6CAE" w:rsidRPr="00085D90" w14:paraId="40256680" w14:textId="77777777" w:rsidTr="005D03F3">
        <w:trPr>
          <w:trHeight w:val="1967"/>
        </w:trPr>
        <w:tc>
          <w:tcPr>
            <w:tcW w:w="2001" w:type="dxa"/>
            <w:tcBorders>
              <w:top w:val="single" w:sz="2" w:space="0" w:color="000000"/>
              <w:left w:val="single" w:sz="2" w:space="0" w:color="000000"/>
              <w:bottom w:val="single" w:sz="2" w:space="0" w:color="000000"/>
              <w:right w:val="single" w:sz="2" w:space="0" w:color="000000"/>
            </w:tcBorders>
            <w:tcMar>
              <w:top w:w="20" w:type="dxa"/>
              <w:left w:w="20" w:type="dxa"/>
              <w:bottom w:w="20" w:type="dxa"/>
              <w:right w:w="20" w:type="dxa"/>
            </w:tcMar>
          </w:tcPr>
          <w:p w14:paraId="48F043F0" w14:textId="77777777" w:rsidR="003E6CAE" w:rsidRPr="00085D90" w:rsidRDefault="003E6CAE" w:rsidP="005D03F3">
            <w:pPr>
              <w:pStyle w:val="TableStyle2"/>
              <w:suppressAutoHyphens/>
              <w:spacing w:after="240"/>
            </w:pPr>
            <w:r>
              <w:rPr>
                <w:rFonts w:ascii="Times Roman" w:hAnsi="Times Roman"/>
                <w:sz w:val="24"/>
                <w:szCs w:val="24"/>
              </w:rPr>
              <w:t>Data</w:t>
            </w:r>
            <w:r w:rsidRPr="00085D90">
              <w:rPr>
                <w:rFonts w:ascii="Times Roman" w:hAnsi="Times Roman"/>
                <w:sz w:val="24"/>
                <w:szCs w:val="24"/>
              </w:rPr>
              <w:t xml:space="preserve"> Economy and Source Systems</w:t>
            </w:r>
          </w:p>
        </w:tc>
        <w:tc>
          <w:tcPr>
            <w:tcW w:w="2441" w:type="dxa"/>
            <w:tcBorders>
              <w:top w:val="single" w:sz="2" w:space="0" w:color="000000"/>
              <w:left w:val="single" w:sz="2" w:space="0" w:color="000000"/>
              <w:bottom w:val="single" w:sz="2" w:space="0" w:color="000000"/>
              <w:right w:val="single" w:sz="2" w:space="0" w:color="000000"/>
            </w:tcBorders>
            <w:tcMar>
              <w:top w:w="20" w:type="dxa"/>
              <w:left w:w="20" w:type="dxa"/>
              <w:bottom w:w="20" w:type="dxa"/>
              <w:right w:w="20" w:type="dxa"/>
            </w:tcMar>
          </w:tcPr>
          <w:p w14:paraId="446B3238" w14:textId="77777777" w:rsidR="003E6CAE" w:rsidRPr="00085D90" w:rsidRDefault="003E6CAE" w:rsidP="005D03F3">
            <w:pPr>
              <w:pStyle w:val="TableStyle2"/>
              <w:suppressAutoHyphens/>
              <w:spacing w:after="240"/>
            </w:pPr>
            <w:r w:rsidRPr="00085D90">
              <w:rPr>
                <w:rFonts w:ascii="Times Roman" w:hAnsi="Times Roman"/>
                <w:sz w:val="24"/>
                <w:szCs w:val="24"/>
              </w:rPr>
              <w:t>A market trend toward using data</w:t>
            </w:r>
            <w:r>
              <w:rPr>
                <w:rFonts w:ascii="Times Roman" w:hAnsi="Times Roman"/>
                <w:sz w:val="24"/>
                <w:szCs w:val="24"/>
              </w:rPr>
              <w:t xml:space="preserve"> integrations</w:t>
            </w:r>
            <w:r w:rsidRPr="00085D90">
              <w:rPr>
                <w:rFonts w:ascii="Times Roman" w:hAnsi="Times Roman"/>
                <w:sz w:val="24"/>
                <w:szCs w:val="24"/>
              </w:rPr>
              <w:t xml:space="preserve"> across enterprise systems for real-time information retrieval.</w:t>
            </w:r>
          </w:p>
        </w:tc>
        <w:tc>
          <w:tcPr>
            <w:tcW w:w="4909" w:type="dxa"/>
            <w:tcBorders>
              <w:top w:val="single" w:sz="2" w:space="0" w:color="000000"/>
              <w:left w:val="single" w:sz="2" w:space="0" w:color="000000"/>
              <w:bottom w:val="single" w:sz="2" w:space="0" w:color="000000"/>
              <w:right w:val="single" w:sz="2" w:space="0" w:color="000000"/>
            </w:tcBorders>
            <w:tcMar>
              <w:top w:w="20" w:type="dxa"/>
              <w:left w:w="20" w:type="dxa"/>
              <w:bottom w:w="20" w:type="dxa"/>
              <w:right w:w="20" w:type="dxa"/>
            </w:tcMar>
          </w:tcPr>
          <w:p w14:paraId="5F7254A0" w14:textId="77777777" w:rsidR="003E6CAE" w:rsidRPr="00085D90" w:rsidRDefault="003E6CAE" w:rsidP="005D03F3">
            <w:pPr>
              <w:pStyle w:val="TableStyle2"/>
              <w:suppressAutoHyphens/>
              <w:spacing w:after="240"/>
            </w:pPr>
            <w:r w:rsidRPr="00085D90">
              <w:rPr>
                <w:rFonts w:ascii="Times Roman" w:hAnsi="Times Roman"/>
                <w:sz w:val="24"/>
                <w:szCs w:val="24"/>
              </w:rPr>
              <w:t xml:space="preserve">Opportunity. The new </w:t>
            </w:r>
            <w:r>
              <w:rPr>
                <w:rFonts w:ascii="Times Roman" w:hAnsi="Times Roman"/>
                <w:sz w:val="24"/>
                <w:szCs w:val="24"/>
              </w:rPr>
              <w:t>content management system</w:t>
            </w:r>
            <w:r w:rsidRPr="00085D90">
              <w:rPr>
                <w:rFonts w:ascii="Times Roman" w:hAnsi="Times Roman"/>
                <w:sz w:val="24"/>
                <w:szCs w:val="24"/>
              </w:rPr>
              <w:t xml:space="preserve"> component functionality offers the ability to build seamless </w:t>
            </w:r>
            <w:r>
              <w:rPr>
                <w:rFonts w:ascii="Times Roman" w:hAnsi="Times Roman"/>
                <w:sz w:val="24"/>
                <w:szCs w:val="24"/>
              </w:rPr>
              <w:t>data</w:t>
            </w:r>
            <w:r w:rsidRPr="00085D90">
              <w:rPr>
                <w:rFonts w:ascii="Times Roman" w:hAnsi="Times Roman"/>
                <w:sz w:val="24"/>
                <w:szCs w:val="24"/>
              </w:rPr>
              <w:t xml:space="preserve"> integrations to internal data source systems (for example, academic management and financial systems), enabling the calculator to pull accurate, real-time data and reducing manual data management.</w:t>
            </w:r>
          </w:p>
        </w:tc>
      </w:tr>
      <w:tr w:rsidR="003E6CAE" w:rsidRPr="00085D90" w14:paraId="2D7B95CF" w14:textId="77777777" w:rsidTr="005D03F3">
        <w:trPr>
          <w:trHeight w:val="1687"/>
        </w:trPr>
        <w:tc>
          <w:tcPr>
            <w:tcW w:w="2001" w:type="dxa"/>
            <w:tcBorders>
              <w:top w:val="single" w:sz="2" w:space="0" w:color="000000"/>
              <w:left w:val="single" w:sz="2" w:space="0" w:color="000000"/>
              <w:bottom w:val="single" w:sz="2" w:space="0" w:color="000000"/>
              <w:right w:val="single" w:sz="2" w:space="0" w:color="000000"/>
            </w:tcBorders>
            <w:tcMar>
              <w:top w:w="20" w:type="dxa"/>
              <w:left w:w="20" w:type="dxa"/>
              <w:bottom w:w="20" w:type="dxa"/>
              <w:right w:w="20" w:type="dxa"/>
            </w:tcMar>
          </w:tcPr>
          <w:p w14:paraId="75DA174F" w14:textId="77777777" w:rsidR="003E6CAE" w:rsidRPr="00085D90" w:rsidRDefault="003E6CAE" w:rsidP="005D03F3">
            <w:pPr>
              <w:pStyle w:val="TableStyle2"/>
              <w:suppressAutoHyphens/>
              <w:spacing w:after="240"/>
            </w:pPr>
            <w:r w:rsidRPr="00085D90">
              <w:rPr>
                <w:rFonts w:ascii="Times Roman" w:hAnsi="Times Roman"/>
                <w:sz w:val="24"/>
                <w:szCs w:val="24"/>
              </w:rPr>
              <w:t>Emergence of AI in Content Generation</w:t>
            </w:r>
          </w:p>
        </w:tc>
        <w:tc>
          <w:tcPr>
            <w:tcW w:w="2441" w:type="dxa"/>
            <w:tcBorders>
              <w:top w:val="single" w:sz="2" w:space="0" w:color="000000"/>
              <w:left w:val="single" w:sz="2" w:space="0" w:color="000000"/>
              <w:bottom w:val="single" w:sz="2" w:space="0" w:color="000000"/>
              <w:right w:val="single" w:sz="2" w:space="0" w:color="000000"/>
            </w:tcBorders>
            <w:tcMar>
              <w:top w:w="20" w:type="dxa"/>
              <w:left w:w="20" w:type="dxa"/>
              <w:bottom w:w="20" w:type="dxa"/>
              <w:right w:w="20" w:type="dxa"/>
            </w:tcMar>
          </w:tcPr>
          <w:p w14:paraId="4ABD3799" w14:textId="77777777" w:rsidR="003E6CAE" w:rsidRPr="00085D90" w:rsidRDefault="003E6CAE" w:rsidP="005D03F3">
            <w:pPr>
              <w:pStyle w:val="TableStyle2"/>
              <w:suppressAutoHyphens/>
              <w:spacing w:after="240"/>
            </w:pPr>
            <w:r w:rsidRPr="00085D90">
              <w:rPr>
                <w:rFonts w:ascii="Times Roman" w:hAnsi="Times Roman"/>
                <w:sz w:val="24"/>
                <w:szCs w:val="24"/>
              </w:rPr>
              <w:t>The broader use of generative AI tools to create and maintain website copy, FAQs, and content-at-scale.</w:t>
            </w:r>
          </w:p>
        </w:tc>
        <w:tc>
          <w:tcPr>
            <w:tcW w:w="4909" w:type="dxa"/>
            <w:tcBorders>
              <w:top w:val="single" w:sz="2" w:space="0" w:color="000000"/>
              <w:left w:val="single" w:sz="2" w:space="0" w:color="000000"/>
              <w:bottom w:val="single" w:sz="2" w:space="0" w:color="000000"/>
              <w:right w:val="single" w:sz="2" w:space="0" w:color="000000"/>
            </w:tcBorders>
            <w:tcMar>
              <w:top w:w="20" w:type="dxa"/>
              <w:left w:w="20" w:type="dxa"/>
              <w:bottom w:w="20" w:type="dxa"/>
              <w:right w:w="20" w:type="dxa"/>
            </w:tcMar>
          </w:tcPr>
          <w:p w14:paraId="580AB2D6" w14:textId="77777777" w:rsidR="003E6CAE" w:rsidRPr="00085D90" w:rsidRDefault="003E6CAE" w:rsidP="005D03F3">
            <w:pPr>
              <w:pStyle w:val="TableStyle2"/>
              <w:suppressAutoHyphens/>
              <w:spacing w:after="240"/>
            </w:pPr>
            <w:r w:rsidRPr="00085D90">
              <w:rPr>
                <w:rFonts w:ascii="Times Roman" w:hAnsi="Times Roman"/>
                <w:sz w:val="24"/>
                <w:szCs w:val="24"/>
              </w:rPr>
              <w:t>Opportunity. The ability to automate content production and leverage data fetched by the calculator can free up Marketing Content Strategists to focus on the high-level strategy and UI/UX, rather than low-value manual content updates.</w:t>
            </w:r>
          </w:p>
        </w:tc>
      </w:tr>
    </w:tbl>
    <w:p w14:paraId="792EE669" w14:textId="77777777" w:rsidR="003E6CAE" w:rsidRDefault="003E6CAE" w:rsidP="003E6CAE">
      <w:pPr>
        <w:pStyle w:val="Default"/>
        <w:suppressAutoHyphens/>
        <w:spacing w:before="0" w:after="281" w:line="240" w:lineRule="auto"/>
        <w:rPr>
          <w:rFonts w:ascii="Times Roman" w:eastAsia="Times Roman" w:hAnsi="Times Roman" w:cs="Times Roman"/>
          <w:b/>
          <w:bCs/>
          <w:sz w:val="28"/>
          <w:szCs w:val="28"/>
        </w:rPr>
      </w:pPr>
    </w:p>
    <w:p w14:paraId="174A3D89" w14:textId="77777777" w:rsidR="003E6CAE" w:rsidRDefault="003E6CAE" w:rsidP="003E6CAE">
      <w:pPr>
        <w:pStyle w:val="Caption"/>
      </w:pPr>
      <w:r>
        <w:t>Conclusion and Next Steps</w:t>
      </w:r>
    </w:p>
    <w:p w14:paraId="1627801F" w14:textId="77777777" w:rsidR="003E6CAE" w:rsidRDefault="003E6CAE" w:rsidP="003E6CAE">
      <w:pPr>
        <w:pStyle w:val="Caption"/>
      </w:pPr>
    </w:p>
    <w:p w14:paraId="046AE674" w14:textId="77777777" w:rsidR="003E6CAE" w:rsidRPr="00846A96" w:rsidRDefault="003E6CAE" w:rsidP="003E6CAE">
      <w:pPr>
        <w:pStyle w:val="Default"/>
        <w:suppressAutoHyphens/>
        <w:spacing w:before="0" w:after="240" w:line="240" w:lineRule="auto"/>
        <w:rPr>
          <w:rFonts w:ascii="Times Roman" w:eastAsia="Times Roman" w:hAnsi="Times Roman" w:cs="Times Roman"/>
        </w:rPr>
      </w:pPr>
      <w:r>
        <w:rPr>
          <w:rFonts w:ascii="Times Roman" w:eastAsia="Times Roman" w:hAnsi="Times Roman" w:cs="Times Roman"/>
        </w:rPr>
        <w:tab/>
      </w:r>
      <w:r>
        <w:rPr>
          <w:rFonts w:ascii="Times Roman" w:hAnsi="Times Roman"/>
        </w:rPr>
        <w:t>The Environmental Scan confirms that the market demands the proposed solution, but the regulatory environment poses a critical threat that cannot be managed solely by the IT team. The primary finding is the necessity of formalizing the legal approval process as a mandatory, early-stage project gateway.</w:t>
      </w:r>
    </w:p>
    <w:p w14:paraId="6074BDCA" w14:textId="77777777" w:rsidR="009D5DD6" w:rsidRDefault="009D5DD6">
      <w:pPr>
        <w:pStyle w:val="Default"/>
        <w:suppressAutoHyphens/>
        <w:spacing w:before="0" w:after="240" w:line="240" w:lineRule="auto"/>
      </w:pPr>
    </w:p>
    <w:sectPr w:rsidR="009D5DD6">
      <w:headerReference w:type="default" r:id="rId7"/>
      <w:footerReference w:type="default" r:id="rId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74BDD1" w14:textId="77777777" w:rsidR="003E6CAE" w:rsidRDefault="003E6CAE">
      <w:r>
        <w:separator/>
      </w:r>
    </w:p>
  </w:endnote>
  <w:endnote w:type="continuationSeparator" w:id="0">
    <w:p w14:paraId="6074BDD3" w14:textId="77777777" w:rsidR="003E6CAE" w:rsidRDefault="003E6C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Roman">
    <w:altName w:val="Times New Roman"/>
    <w:charset w:val="00"/>
    <w:family w:val="roman"/>
    <w:pitch w:val="default"/>
  </w:font>
  <w:font w:name="Arial Unicode MS">
    <w:altName w:val="Arial"/>
    <w:panose1 w:val="020B0604020202020204"/>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74BDCC" w14:textId="77777777" w:rsidR="009D5DD6" w:rsidRDefault="009D5DD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74BDCD" w14:textId="77777777" w:rsidR="003E6CAE" w:rsidRDefault="003E6CAE">
      <w:r>
        <w:separator/>
      </w:r>
    </w:p>
  </w:footnote>
  <w:footnote w:type="continuationSeparator" w:id="0">
    <w:p w14:paraId="6074BDCF" w14:textId="77777777" w:rsidR="003E6CAE" w:rsidRDefault="003E6C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74BDCB" w14:textId="77777777" w:rsidR="009D5DD6" w:rsidRDefault="009D5DD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CF7608"/>
    <w:multiLevelType w:val="hybridMultilevel"/>
    <w:tmpl w:val="642200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7442D1"/>
    <w:multiLevelType w:val="hybridMultilevel"/>
    <w:tmpl w:val="DFD0E722"/>
    <w:numStyleLink w:val="Bullet"/>
  </w:abstractNum>
  <w:abstractNum w:abstractNumId="2" w15:restartNumberingAfterBreak="0">
    <w:nsid w:val="35A0742B"/>
    <w:multiLevelType w:val="hybridMultilevel"/>
    <w:tmpl w:val="DFD0E722"/>
    <w:styleLink w:val="Bullet"/>
    <w:lvl w:ilvl="0" w:tplc="ADBE04D0">
      <w:start w:val="1"/>
      <w:numFmt w:val="bullet"/>
      <w:lvlText w:val="•"/>
      <w:lvlJc w:val="left"/>
      <w:pPr>
        <w:ind w:left="7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 w:ilvl="1" w:tplc="0512D92E">
      <w:start w:val="1"/>
      <w:numFmt w:val="bullet"/>
      <w:lvlText w:val="•"/>
      <w:lvlJc w:val="left"/>
      <w:pPr>
        <w:ind w:left="9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2" w:tplc="37D42EDA">
      <w:start w:val="1"/>
      <w:numFmt w:val="bullet"/>
      <w:lvlText w:val="•"/>
      <w:lvlJc w:val="left"/>
      <w:pPr>
        <w:ind w:left="11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3" w:tplc="CBA29C6C">
      <w:start w:val="1"/>
      <w:numFmt w:val="bullet"/>
      <w:lvlText w:val="•"/>
      <w:lvlJc w:val="left"/>
      <w:pPr>
        <w:ind w:left="13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4" w:tplc="414A1F38">
      <w:start w:val="1"/>
      <w:numFmt w:val="bullet"/>
      <w:lvlText w:val="•"/>
      <w:lvlJc w:val="left"/>
      <w:pPr>
        <w:ind w:left="160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5" w:tplc="0DDCEE0C">
      <w:start w:val="1"/>
      <w:numFmt w:val="bullet"/>
      <w:lvlText w:val="•"/>
      <w:lvlJc w:val="left"/>
      <w:pPr>
        <w:ind w:left="18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6" w:tplc="F230C122">
      <w:start w:val="1"/>
      <w:numFmt w:val="bullet"/>
      <w:lvlText w:val="•"/>
      <w:lvlJc w:val="left"/>
      <w:pPr>
        <w:ind w:left="20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7" w:tplc="CAEA1090">
      <w:start w:val="1"/>
      <w:numFmt w:val="bullet"/>
      <w:lvlText w:val="•"/>
      <w:lvlJc w:val="left"/>
      <w:pPr>
        <w:ind w:left="22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8" w:tplc="DB8657D6">
      <w:start w:val="1"/>
      <w:numFmt w:val="bullet"/>
      <w:lvlText w:val="•"/>
      <w:lvlJc w:val="left"/>
      <w:pPr>
        <w:ind w:left="24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abstractNum>
  <w:abstractNum w:abstractNumId="3" w15:restartNumberingAfterBreak="0">
    <w:nsid w:val="44F47D23"/>
    <w:multiLevelType w:val="hybridMultilevel"/>
    <w:tmpl w:val="0AD04CA2"/>
    <w:numStyleLink w:val="Numbered"/>
  </w:abstractNum>
  <w:abstractNum w:abstractNumId="4" w15:restartNumberingAfterBreak="0">
    <w:nsid w:val="5F5C0878"/>
    <w:multiLevelType w:val="hybridMultilevel"/>
    <w:tmpl w:val="0AD04CA2"/>
    <w:styleLink w:val="Numbered"/>
    <w:lvl w:ilvl="0" w:tplc="411C41BE">
      <w:start w:val="1"/>
      <w:numFmt w:val="decimal"/>
      <w:lvlText w:val="%1."/>
      <w:lvlJc w:val="left"/>
      <w:pPr>
        <w:ind w:left="327" w:hanging="327"/>
      </w:pPr>
      <w:rPr>
        <w:rFonts w:hAnsi="Arial Unicode MS"/>
        <w:b/>
        <w:bCs/>
        <w:caps w:val="0"/>
        <w:smallCaps w:val="0"/>
        <w:strike w:val="0"/>
        <w:dstrike w:val="0"/>
        <w:outline w:val="0"/>
        <w:emboss w:val="0"/>
        <w:imprint w:val="0"/>
        <w:spacing w:val="0"/>
        <w:w w:val="100"/>
        <w:kern w:val="0"/>
        <w:position w:val="0"/>
        <w:highlight w:val="none"/>
        <w:vertAlign w:val="baseline"/>
      </w:rPr>
    </w:lvl>
    <w:lvl w:ilvl="1" w:tplc="7CF6673C">
      <w:start w:val="1"/>
      <w:numFmt w:val="decimal"/>
      <w:lvlText w:val="%2."/>
      <w:lvlJc w:val="left"/>
      <w:pPr>
        <w:ind w:left="687" w:hanging="327"/>
      </w:pPr>
      <w:rPr>
        <w:rFonts w:hAnsi="Arial Unicode MS"/>
        <w:b/>
        <w:bCs/>
        <w:caps w:val="0"/>
        <w:smallCaps w:val="0"/>
        <w:strike w:val="0"/>
        <w:dstrike w:val="0"/>
        <w:outline w:val="0"/>
        <w:emboss w:val="0"/>
        <w:imprint w:val="0"/>
        <w:spacing w:val="0"/>
        <w:w w:val="100"/>
        <w:kern w:val="0"/>
        <w:position w:val="0"/>
        <w:highlight w:val="none"/>
        <w:vertAlign w:val="baseline"/>
      </w:rPr>
    </w:lvl>
    <w:lvl w:ilvl="2" w:tplc="C938EF70">
      <w:start w:val="1"/>
      <w:numFmt w:val="decimal"/>
      <w:lvlText w:val="%3."/>
      <w:lvlJc w:val="left"/>
      <w:pPr>
        <w:ind w:left="1047" w:hanging="327"/>
      </w:pPr>
      <w:rPr>
        <w:rFonts w:hAnsi="Arial Unicode MS"/>
        <w:b/>
        <w:bCs/>
        <w:caps w:val="0"/>
        <w:smallCaps w:val="0"/>
        <w:strike w:val="0"/>
        <w:dstrike w:val="0"/>
        <w:outline w:val="0"/>
        <w:emboss w:val="0"/>
        <w:imprint w:val="0"/>
        <w:spacing w:val="0"/>
        <w:w w:val="100"/>
        <w:kern w:val="0"/>
        <w:position w:val="0"/>
        <w:highlight w:val="none"/>
        <w:vertAlign w:val="baseline"/>
      </w:rPr>
    </w:lvl>
    <w:lvl w:ilvl="3" w:tplc="4C48C3DC">
      <w:start w:val="1"/>
      <w:numFmt w:val="decimal"/>
      <w:lvlText w:val="%4."/>
      <w:lvlJc w:val="left"/>
      <w:pPr>
        <w:ind w:left="1407" w:hanging="327"/>
      </w:pPr>
      <w:rPr>
        <w:rFonts w:hAnsi="Arial Unicode MS"/>
        <w:b/>
        <w:bCs/>
        <w:caps w:val="0"/>
        <w:smallCaps w:val="0"/>
        <w:strike w:val="0"/>
        <w:dstrike w:val="0"/>
        <w:outline w:val="0"/>
        <w:emboss w:val="0"/>
        <w:imprint w:val="0"/>
        <w:spacing w:val="0"/>
        <w:w w:val="100"/>
        <w:kern w:val="0"/>
        <w:position w:val="0"/>
        <w:highlight w:val="none"/>
        <w:vertAlign w:val="baseline"/>
      </w:rPr>
    </w:lvl>
    <w:lvl w:ilvl="4" w:tplc="58C6F95E">
      <w:start w:val="1"/>
      <w:numFmt w:val="decimal"/>
      <w:lvlText w:val="%5."/>
      <w:lvlJc w:val="left"/>
      <w:pPr>
        <w:ind w:left="1767" w:hanging="327"/>
      </w:pPr>
      <w:rPr>
        <w:rFonts w:hAnsi="Arial Unicode MS"/>
        <w:b/>
        <w:bCs/>
        <w:caps w:val="0"/>
        <w:smallCaps w:val="0"/>
        <w:strike w:val="0"/>
        <w:dstrike w:val="0"/>
        <w:outline w:val="0"/>
        <w:emboss w:val="0"/>
        <w:imprint w:val="0"/>
        <w:spacing w:val="0"/>
        <w:w w:val="100"/>
        <w:kern w:val="0"/>
        <w:position w:val="0"/>
        <w:highlight w:val="none"/>
        <w:vertAlign w:val="baseline"/>
      </w:rPr>
    </w:lvl>
    <w:lvl w:ilvl="5" w:tplc="3D007ADA">
      <w:start w:val="1"/>
      <w:numFmt w:val="decimal"/>
      <w:lvlText w:val="%6."/>
      <w:lvlJc w:val="left"/>
      <w:pPr>
        <w:ind w:left="2127" w:hanging="327"/>
      </w:pPr>
      <w:rPr>
        <w:rFonts w:hAnsi="Arial Unicode MS"/>
        <w:b/>
        <w:bCs/>
        <w:caps w:val="0"/>
        <w:smallCaps w:val="0"/>
        <w:strike w:val="0"/>
        <w:dstrike w:val="0"/>
        <w:outline w:val="0"/>
        <w:emboss w:val="0"/>
        <w:imprint w:val="0"/>
        <w:spacing w:val="0"/>
        <w:w w:val="100"/>
        <w:kern w:val="0"/>
        <w:position w:val="0"/>
        <w:highlight w:val="none"/>
        <w:vertAlign w:val="baseline"/>
      </w:rPr>
    </w:lvl>
    <w:lvl w:ilvl="6" w:tplc="9ABA7EA2">
      <w:start w:val="1"/>
      <w:numFmt w:val="decimal"/>
      <w:lvlText w:val="%7."/>
      <w:lvlJc w:val="left"/>
      <w:pPr>
        <w:ind w:left="2487" w:hanging="327"/>
      </w:pPr>
      <w:rPr>
        <w:rFonts w:hAnsi="Arial Unicode MS"/>
        <w:b/>
        <w:bCs/>
        <w:caps w:val="0"/>
        <w:smallCaps w:val="0"/>
        <w:strike w:val="0"/>
        <w:dstrike w:val="0"/>
        <w:outline w:val="0"/>
        <w:emboss w:val="0"/>
        <w:imprint w:val="0"/>
        <w:spacing w:val="0"/>
        <w:w w:val="100"/>
        <w:kern w:val="0"/>
        <w:position w:val="0"/>
        <w:highlight w:val="none"/>
        <w:vertAlign w:val="baseline"/>
      </w:rPr>
    </w:lvl>
    <w:lvl w:ilvl="7" w:tplc="9816F118">
      <w:start w:val="1"/>
      <w:numFmt w:val="decimal"/>
      <w:lvlText w:val="%8."/>
      <w:lvlJc w:val="left"/>
      <w:pPr>
        <w:ind w:left="2847" w:hanging="327"/>
      </w:pPr>
      <w:rPr>
        <w:rFonts w:hAnsi="Arial Unicode MS"/>
        <w:b/>
        <w:bCs/>
        <w:caps w:val="0"/>
        <w:smallCaps w:val="0"/>
        <w:strike w:val="0"/>
        <w:dstrike w:val="0"/>
        <w:outline w:val="0"/>
        <w:emboss w:val="0"/>
        <w:imprint w:val="0"/>
        <w:spacing w:val="0"/>
        <w:w w:val="100"/>
        <w:kern w:val="0"/>
        <w:position w:val="0"/>
        <w:highlight w:val="none"/>
        <w:vertAlign w:val="baseline"/>
      </w:rPr>
    </w:lvl>
    <w:lvl w:ilvl="8" w:tplc="D4FEB43C">
      <w:start w:val="1"/>
      <w:numFmt w:val="decimal"/>
      <w:lvlText w:val="%9."/>
      <w:lvlJc w:val="left"/>
      <w:pPr>
        <w:ind w:left="3207" w:hanging="327"/>
      </w:pPr>
      <w:rPr>
        <w:rFonts w:hAnsi="Arial Unicode MS"/>
        <w:b/>
        <w:bCs/>
        <w:caps w:val="0"/>
        <w:smallCaps w:val="0"/>
        <w:strike w:val="0"/>
        <w:dstrike w:val="0"/>
        <w:outline w:val="0"/>
        <w:emboss w:val="0"/>
        <w:imprint w:val="0"/>
        <w:spacing w:val="0"/>
        <w:w w:val="100"/>
        <w:kern w:val="0"/>
        <w:position w:val="0"/>
        <w:highlight w:val="none"/>
        <w:vertAlign w:val="baseline"/>
      </w:rPr>
    </w:lvl>
  </w:abstractNum>
  <w:num w:numId="1" w16cid:durableId="1910456803">
    <w:abstractNumId w:val="4"/>
  </w:num>
  <w:num w:numId="2" w16cid:durableId="1805153639">
    <w:abstractNumId w:val="3"/>
  </w:num>
  <w:num w:numId="3" w16cid:durableId="747001691">
    <w:abstractNumId w:val="2"/>
  </w:num>
  <w:num w:numId="4" w16cid:durableId="1170870248">
    <w:abstractNumId w:val="1"/>
  </w:num>
  <w:num w:numId="5" w16cid:durableId="17919001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7"/>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5DD6"/>
    <w:rsid w:val="003E6CAE"/>
    <w:rsid w:val="009D5DD6"/>
    <w:rsid w:val="00B940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74BDB6"/>
  <w15:docId w15:val="{E2CF4C93-36A2-4677-82FC-87F92AFD2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
    <w:link w:val="Heading2Char"/>
    <w:uiPriority w:val="9"/>
    <w:unhideWhenUsed/>
    <w:qFormat/>
    <w:rsid w:val="003E6CAE"/>
    <w:pPr>
      <w:keepNext/>
      <w:outlineLvl w:val="1"/>
    </w:pPr>
    <w:rPr>
      <w:rFonts w:ascii="Helvetica Neue" w:hAnsi="Helvetica Neue" w:cs="Arial Unicode MS"/>
      <w:b/>
      <w:bCs/>
      <w:color w:val="000000"/>
      <w:sz w:val="32"/>
      <w:szCs w:val="32"/>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character" w:customStyle="1" w:styleId="Heading2Char">
    <w:name w:val="Heading 2 Char"/>
    <w:basedOn w:val="DefaultParagraphFont"/>
    <w:link w:val="Heading2"/>
    <w:uiPriority w:val="9"/>
    <w:rsid w:val="003E6CAE"/>
    <w:rPr>
      <w:rFonts w:ascii="Helvetica Neue" w:hAnsi="Helvetica Neue" w:cs="Arial Unicode MS"/>
      <w:b/>
      <w:bCs/>
      <w:color w:val="000000"/>
      <w:sz w:val="32"/>
      <w:szCs w:val="32"/>
      <w14:textOutline w14:w="0" w14:cap="flat" w14:cmpd="sng" w14:algn="ctr">
        <w14:noFill/>
        <w14:prstDash w14:val="solid"/>
        <w14:bevel/>
      </w14:textOutline>
    </w:rPr>
  </w:style>
  <w:style w:type="paragraph" w:styleId="Caption">
    <w:name w:val="caption"/>
    <w:rsid w:val="003E6CAE"/>
    <w:pPr>
      <w:tabs>
        <w:tab w:val="left" w:pos="1150"/>
      </w:tabs>
    </w:pPr>
    <w:rPr>
      <w:rFonts w:ascii="Helvetica Neue" w:hAnsi="Helvetica Neue" w:cs="Arial Unicode MS"/>
      <w:b/>
      <w:bCs/>
      <w:caps/>
      <w:color w:val="000000"/>
      <w14:textOutline w14:w="0" w14:cap="flat" w14:cmpd="sng" w14:algn="ctr">
        <w14:noFill/>
        <w14:prstDash w14:val="solid"/>
        <w14:bevel/>
      </w14:textOutline>
    </w:rPr>
  </w:style>
  <w:style w:type="numbering" w:customStyle="1" w:styleId="Numbered">
    <w:name w:val="Numbered"/>
    <w:rsid w:val="003E6CAE"/>
    <w:pPr>
      <w:numPr>
        <w:numId w:val="1"/>
      </w:numPr>
    </w:pPr>
  </w:style>
  <w:style w:type="paragraph" w:customStyle="1" w:styleId="Body">
    <w:name w:val="Body"/>
    <w:rsid w:val="003E6CAE"/>
    <w:rPr>
      <w:rFonts w:ascii="Helvetica Neue" w:eastAsia="Helvetica Neue" w:hAnsi="Helvetica Neue" w:cs="Helvetica Neue"/>
      <w:color w:val="000000"/>
      <w:sz w:val="22"/>
      <w:szCs w:val="22"/>
      <w14:textOutline w14:w="0" w14:cap="flat" w14:cmpd="sng" w14:algn="ctr">
        <w14:noFill/>
        <w14:prstDash w14:val="solid"/>
        <w14:bevel/>
      </w14:textOutline>
    </w:rPr>
  </w:style>
  <w:style w:type="paragraph" w:customStyle="1" w:styleId="TableStyle2">
    <w:name w:val="Table Style 2"/>
    <w:rsid w:val="003E6CAE"/>
    <w:rPr>
      <w:rFonts w:ascii="Helvetica Neue" w:eastAsia="Helvetica Neue" w:hAnsi="Helvetica Neue" w:cs="Helvetica Neue"/>
      <w:color w:val="000000"/>
      <w14:textOutline w14:w="0" w14:cap="flat" w14:cmpd="sng" w14:algn="ctr">
        <w14:noFill/>
        <w14:prstDash w14:val="solid"/>
        <w14:bevel/>
      </w14:textOutline>
    </w:rPr>
  </w:style>
  <w:style w:type="character" w:styleId="SubtleReference">
    <w:name w:val="Subtle Reference"/>
    <w:basedOn w:val="DefaultParagraphFont"/>
    <w:uiPriority w:val="31"/>
    <w:qFormat/>
    <w:rsid w:val="003E6CAE"/>
    <w:rPr>
      <w:smallCaps/>
      <w:color w:val="5A5A5A" w:themeColor="text1" w:themeTint="A5"/>
    </w:rPr>
  </w:style>
  <w:style w:type="numbering" w:customStyle="1" w:styleId="Bullet">
    <w:name w:val="Bullet"/>
    <w:rsid w:val="003E6CAE"/>
    <w:pPr>
      <w:numPr>
        <w:numId w:val="3"/>
      </w:numPr>
    </w:pPr>
  </w:style>
  <w:style w:type="table" w:styleId="TableGrid">
    <w:name w:val="Table Grid"/>
    <w:basedOn w:val="TableNormal"/>
    <w:uiPriority w:val="39"/>
    <w:rsid w:val="003E6C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E6C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1674</Words>
  <Characters>10394</Characters>
  <Application>Microsoft Office Word</Application>
  <DocSecurity>0</DocSecurity>
  <Lines>1154</Lines>
  <Paragraphs>524</Paragraphs>
  <ScaleCrop>false</ScaleCrop>
  <Company/>
  <LinksUpToDate>false</LinksUpToDate>
  <CharactersWithSpaces>11544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Slothk8 Herrick</cp:lastModifiedBy>
  <cp:revision>2</cp:revision>
  <dcterms:created xsi:type="dcterms:W3CDTF">2025-10-21T21:03:00Z</dcterms:created>
  <dcterms:modified xsi:type="dcterms:W3CDTF">2025-10-21T21:03:00Z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fa81b11c-e8bc-4e91-b644-265c6efa604f</vt:lpwstr>
  </property>
</Properties>
</file>