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240" w:line="240" w:lineRule="auto"/>
        <w:jc w:val="center"/>
        <w:rPr>
          <w:rFonts w:ascii="Times Roman" w:hAnsi="Times Roman"/>
        </w:rPr>
      </w:pPr>
    </w:p>
    <w:p>
      <w:pPr>
        <w:pStyle w:val="Default"/>
        <w:suppressAutoHyphens w:val="1"/>
        <w:spacing w:before="0" w:after="240" w:line="240" w:lineRule="auto"/>
        <w:jc w:val="center"/>
        <w:rPr>
          <w:rFonts w:ascii="Times Roman" w:hAnsi="Times Roman"/>
          <w:b w:val="1"/>
          <w:bCs w:val="1"/>
        </w:rPr>
      </w:pPr>
    </w:p>
    <w:p>
      <w:pPr>
        <w:pStyle w:val="Default"/>
        <w:suppressAutoHyphens w:val="1"/>
        <w:spacing w:before="0" w:after="240" w:line="240" w:lineRule="auto"/>
        <w:jc w:val="center"/>
        <w:rPr>
          <w:rFonts w:ascii="Times Roman" w:hAnsi="Times Roman"/>
          <w:b w:val="1"/>
          <w:bCs w:val="1"/>
        </w:rPr>
      </w:pPr>
    </w:p>
    <w:p>
      <w:pPr>
        <w:pStyle w:val="Default"/>
        <w:suppressAutoHyphens w:val="1"/>
        <w:spacing w:before="0" w:after="240" w:line="240" w:lineRule="auto"/>
        <w:jc w:val="center"/>
        <w:rPr>
          <w:rFonts w:ascii="Times Roman" w:hAnsi="Times Roman"/>
          <w:b w:val="1"/>
          <w:bCs w:val="1"/>
        </w:rPr>
      </w:pPr>
    </w:p>
    <w:p>
      <w:pPr>
        <w:pStyle w:val="Default"/>
        <w:suppressAutoHyphens w:val="1"/>
        <w:spacing w:before="0" w:after="240" w:line="240" w:lineRule="auto"/>
        <w:jc w:val="center"/>
        <w:rPr>
          <w:rFonts w:ascii="Times Roman" w:hAnsi="Times Roman"/>
          <w:b w:val="1"/>
          <w:bCs w:val="1"/>
        </w:rPr>
      </w:pPr>
    </w:p>
    <w:p>
      <w:pPr>
        <w:pStyle w:val="Default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Mitigating Regulatory Risk: </w:t>
      </w:r>
    </w:p>
    <w:p>
      <w:pPr>
        <w:pStyle w:val="Default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A Comprehensive Compliance and IT Strategy for 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the </w:t>
      </w:r>
    </w:p>
    <w:p>
      <w:pPr>
        <w:pStyle w:val="Default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Development of a Cost </w:t>
      </w:r>
      <w:r>
        <w:rPr>
          <w:rFonts w:ascii="Times Roman" w:hAnsi="Times Roman"/>
          <w:b w:val="1"/>
          <w:bCs w:val="1"/>
          <w:rtl w:val="0"/>
        </w:rPr>
        <w:t>Calculator</w:t>
      </w:r>
    </w:p>
    <w:p>
      <w:pPr>
        <w:pStyle w:val="Default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Kate Herrick</w:t>
      </w:r>
    </w:p>
    <w:p>
      <w:pPr>
        <w:pStyle w:val="Default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Capella</w:t>
      </w:r>
      <w:r>
        <w:rPr>
          <w:rFonts w:ascii="Times Roman" w:hAnsi="Times Roman"/>
          <w:rtl w:val="0"/>
          <w:lang w:val="en-US"/>
        </w:rPr>
        <w:t xml:space="preserve"> University</w:t>
      </w:r>
    </w:p>
    <w:p>
      <w:pPr>
        <w:pStyle w:val="Default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IT</w:t>
      </w:r>
      <w:r>
        <w:rPr>
          <w:rFonts w:ascii="Times Roman" w:hAnsi="Times Roman"/>
          <w:rtl w:val="0"/>
          <w:lang w:val="en-US"/>
        </w:rPr>
        <w:t>-FPX</w:t>
      </w:r>
      <w:r>
        <w:rPr>
          <w:rFonts w:ascii="Times Roman" w:hAnsi="Times Roman"/>
          <w:rtl w:val="0"/>
        </w:rPr>
        <w:t xml:space="preserve"> 499</w:t>
      </w:r>
      <w:r>
        <w:rPr>
          <w:rFonts w:ascii="Times Roman" w:hAnsi="Times Roman"/>
          <w:rtl w:val="0"/>
          <w:lang w:val="en-US"/>
        </w:rPr>
        <w:t>7</w:t>
      </w:r>
      <w:r>
        <w:rPr>
          <w:rFonts w:ascii="Times Roman" w:hAnsi="Times Roman"/>
          <w:rtl w:val="0"/>
          <w:lang w:val="de-DE"/>
        </w:rPr>
        <w:t>: Capstone</w:t>
      </w:r>
      <w:r>
        <w:rPr>
          <w:rFonts w:ascii="Times Roman" w:hAnsi="Times Roman"/>
          <w:rtl w:val="0"/>
          <w:lang w:val="en-US"/>
        </w:rPr>
        <w:t xml:space="preserve"> I</w:t>
      </w:r>
    </w:p>
    <w:p>
      <w:pPr>
        <w:pStyle w:val="Default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Site Supervisor: Mike Goettl</w:t>
      </w:r>
    </w:p>
    <w:p>
      <w:pPr>
        <w:pStyle w:val="Default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October 2</w:t>
      </w:r>
      <w:r>
        <w:rPr>
          <w:rFonts w:ascii="Times Roman" w:hAnsi="Times Roman"/>
          <w:rtl w:val="0"/>
          <w:lang w:val="en-US"/>
        </w:rPr>
        <w:t>4</w:t>
      </w:r>
      <w:r>
        <w:rPr>
          <w:rFonts w:ascii="Times Roman" w:hAnsi="Times Roman"/>
          <w:rtl w:val="0"/>
        </w:rPr>
        <w:t>, 2025</w:t>
      </w:r>
    </w:p>
    <w:p>
      <w:pPr>
        <w:pStyle w:val="Default"/>
        <w:suppressAutoHyphens w:val="1"/>
        <w:spacing w:before="0" w:after="240" w:line="24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Default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</w:pPr>
      <w:r>
        <w:rPr>
          <w:rFonts w:ascii="Times Roman" w:cs="Times Roman" w:hAnsi="Times Roman" w:eastAsia="Times Roman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