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Project Planning Reflection: Governance, Tools, and Learning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This document reflects on the planning and development process for the Arborwood Cost Calculator project proposal (The </w:t>
      </w:r>
      <w:r>
        <w:rPr>
          <w:rFonts w:ascii="Times Roman" w:hAnsi="Times Roman"/>
          <w:b w:val="1"/>
          <w:bCs w:val="1"/>
          <w:rtl w:val="0"/>
          <w:lang w:val="en-US"/>
        </w:rPr>
        <w:t>"Gateway"</w:t>
      </w:r>
      <w:r>
        <w:rPr>
          <w:rFonts w:ascii="Times Roman" w:hAnsi="Times Roman"/>
          <w:rtl w:val="0"/>
          <w:lang w:val="en-US"/>
        </w:rPr>
        <w:t xml:space="preserve"> initiative), focusing on the use of business communication, collaboration, decision support tools, and the value brought by educational and professional background.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Communication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Effective communication was the central mechanism for translating the project's existential risk (regulatory non-compliance) into a manageable technical scope. My approach relied on high-fidelity, tailored messaging, which is a core skill from my project management background.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Business Communication in Proposal Development:</w:t>
      </w:r>
      <w:r>
        <w:rPr>
          <w:rFonts w:ascii="Times Roman" w:hAnsi="Times Roman"/>
          <w:rtl w:val="0"/>
          <w:lang w:val="en-US"/>
        </w:rPr>
        <w:t xml:space="preserve"> I utilized </w:t>
      </w:r>
      <w:r>
        <w:rPr>
          <w:rFonts w:ascii="Times Roman" w:hAnsi="Times Roman"/>
          <w:b w:val="1"/>
          <w:bCs w:val="1"/>
          <w:rtl w:val="0"/>
          <w:lang w:val="en-US"/>
        </w:rPr>
        <w:t>formal business writing</w:t>
      </w:r>
      <w:r>
        <w:rPr>
          <w:rFonts w:ascii="Times Roman" w:hAnsi="Times Roman"/>
          <w:rtl w:val="0"/>
          <w:lang w:val="en-US"/>
        </w:rPr>
        <w:t xml:space="preserve"> to clearly articulate the project's </w:t>
      </w:r>
      <w:r>
        <w:rPr>
          <w:rFonts w:ascii="Times Roman" w:hAnsi="Times Roman"/>
          <w:b w:val="1"/>
          <w:bCs w:val="1"/>
          <w:rtl w:val="0"/>
          <w:lang w:val="en-US"/>
        </w:rPr>
        <w:t>Business Case</w:t>
      </w:r>
      <w:r>
        <w:rPr>
          <w:rFonts w:ascii="Times Roman" w:hAnsi="Times Roman"/>
          <w:rtl w:val="0"/>
          <w:lang w:val="en-US"/>
        </w:rPr>
        <w:t>, ensuring it shifted the focus from an "IT build" to a "compliance intervention." This required citing the specific legal source (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20 U.S.C. </w:t>
      </w:r>
      <w:r>
        <w:rPr>
          <w:rFonts w:ascii="Times Roman" w:hAnsi="Times Roman" w:hint="default"/>
          <w:b w:val="1"/>
          <w:bCs w:val="1"/>
          <w:rtl w:val="0"/>
        </w:rPr>
        <w:t xml:space="preserve">§ </w:t>
      </w:r>
      <w:r>
        <w:rPr>
          <w:rFonts w:ascii="Times Roman" w:hAnsi="Times Roman"/>
          <w:b w:val="1"/>
          <w:bCs w:val="1"/>
          <w:rtl w:val="0"/>
          <w:lang w:val="en-US"/>
        </w:rPr>
        <w:t>1094 of the HEA</w:t>
      </w:r>
      <w:r>
        <w:rPr>
          <w:rFonts w:ascii="Times Roman" w:hAnsi="Times Roman"/>
          <w:rtl w:val="0"/>
          <w:lang w:val="en-US"/>
        </w:rPr>
        <w:t>) to the relevant stakeholders, establishing a non-negotiable legal basis for the work.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Tool-Based Communication:</w:t>
      </w:r>
      <w:r>
        <w:rPr>
          <w:rFonts w:ascii="Times Roman" w:hAnsi="Times Roman"/>
          <w:rtl w:val="0"/>
          <w:lang w:val="en-US"/>
        </w:rPr>
        <w:t xml:space="preserve"> The primary communication tool was the </w:t>
      </w:r>
      <w:r>
        <w:rPr>
          <w:rFonts w:ascii="Times Roman" w:hAnsi="Times Roman"/>
          <w:b w:val="1"/>
          <w:bCs w:val="1"/>
          <w:rtl w:val="0"/>
          <w:lang w:val="en-US"/>
        </w:rPr>
        <w:t>Project Charter</w:t>
      </w:r>
      <w:r>
        <w:rPr>
          <w:rFonts w:ascii="Times Roman" w:hAnsi="Times Roman"/>
          <w:rtl w:val="0"/>
          <w:lang w:val="en-US"/>
        </w:rPr>
        <w:t xml:space="preserve"> itself, serving as the single source of truth for scope and objectives. Throughout the planning phase, formal document sharing and review processes were employed to gather consensus and document sign-off (e.g., the </w:t>
      </w:r>
      <w:r>
        <w:rPr>
          <w:rFonts w:ascii="Times Roman" w:hAnsi="Times Roman"/>
          <w:b w:val="1"/>
          <w:bCs w:val="1"/>
          <w:rtl w:val="0"/>
          <w:lang w:val="en-US"/>
        </w:rPr>
        <w:t>Legal/Compliance Gateway</w:t>
      </w:r>
      <w:r>
        <w:rPr>
          <w:rFonts w:ascii="Times Roman" w:hAnsi="Times Roman"/>
          <w:rtl w:val="0"/>
          <w:lang w:val="en-US"/>
        </w:rPr>
        <w:t>), ensuring written communication prevented verbal ambiguity regarding the project's non-negotiable compliance requirements.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Decision Tools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development of the </w:t>
      </w:r>
      <w:r>
        <w:rPr>
          <w:rFonts w:ascii="Times Roman" w:hAnsi="Times Roman"/>
          <w:i w:val="1"/>
          <w:iCs w:val="1"/>
          <w:rtl w:val="0"/>
          <w:lang w:val="en-US"/>
        </w:rPr>
        <w:t>Gateway</w:t>
      </w:r>
      <w:r>
        <w:rPr>
          <w:rFonts w:ascii="Times Roman" w:hAnsi="Times Roman"/>
          <w:rtl w:val="0"/>
          <w:lang w:val="en-US"/>
        </w:rPr>
        <w:t xml:space="preserve"> proposal was driven by using analytical and governance tools to structure the solution and mitigate historical risk.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IT Decision Tools:</w:t>
      </w:r>
      <w:r>
        <w:rPr>
          <w:rFonts w:ascii="Times Roman" w:hAnsi="Times Roman"/>
          <w:rtl w:val="0"/>
          <w:lang w:val="en-US"/>
        </w:rPr>
        <w:t xml:space="preserve"> The most critical IT decision tools employed during planning were the </w:t>
      </w:r>
      <w:r>
        <w:rPr>
          <w:rFonts w:ascii="Times Roman" w:hAnsi="Times Roman"/>
          <w:b w:val="1"/>
          <w:bCs w:val="1"/>
          <w:rtl w:val="0"/>
          <w:lang w:val="en-US"/>
        </w:rPr>
        <w:t>literature review and academic synthesis</w:t>
      </w:r>
      <w:r>
        <w:rPr>
          <w:rFonts w:ascii="Times Roman" w:hAnsi="Times Roman"/>
          <w:rtl w:val="0"/>
          <w:lang w:val="en-US"/>
        </w:rPr>
        <w:t xml:space="preserve">. By researching frameworks like </w:t>
      </w:r>
      <w:r>
        <w:rPr>
          <w:rFonts w:ascii="Times Roman" w:hAnsi="Times Roman"/>
          <w:b w:val="1"/>
          <w:bCs w:val="1"/>
          <w:rtl w:val="0"/>
          <w:lang w:val="en-US"/>
        </w:rPr>
        <w:t>COBIT</w:t>
      </w:r>
      <w:r>
        <w:rPr>
          <w:rFonts w:ascii="Times Roman" w:hAnsi="Times Roman"/>
          <w:rtl w:val="0"/>
          <w:lang w:val="en-US"/>
        </w:rPr>
        <w:t xml:space="preserve"> and academic papers on </w:t>
      </w:r>
      <w:r>
        <w:rPr>
          <w:rFonts w:ascii="Times Roman" w:hAnsi="Times Roman"/>
          <w:b w:val="1"/>
          <w:bCs w:val="1"/>
          <w:rtl w:val="0"/>
          <w:lang w:val="en-US"/>
        </w:rPr>
        <w:t>real-time data architecture</w:t>
      </w:r>
      <w:r>
        <w:rPr>
          <w:rFonts w:ascii="Times Roman" w:hAnsi="Times Roman"/>
          <w:rtl w:val="0"/>
          <w:lang w:val="en-US"/>
        </w:rPr>
        <w:t>, I was able to make data-driven decisions that went beyond organizational politics. The research confirmed that the project's successful execution demanded: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 formal </w:t>
      </w:r>
      <w:r>
        <w:rPr>
          <w:rFonts w:ascii="Times Roman" w:hAnsi="Times Roman"/>
          <w:b w:val="1"/>
          <w:bCs w:val="1"/>
          <w:rtl w:val="0"/>
          <w:lang w:val="en-US"/>
        </w:rPr>
        <w:t>compliance checkpoint</w:t>
      </w:r>
      <w:r>
        <w:rPr>
          <w:rFonts w:ascii="Times Roman" w:hAnsi="Times Roman"/>
          <w:rtl w:val="0"/>
          <w:lang w:val="en-US"/>
        </w:rPr>
        <w:t xml:space="preserve"> (the Legal/Compliance Gateway) to ensure governance.</w:t>
      </w:r>
    </w:p>
    <w:p>
      <w:pPr>
        <w:pStyle w:val="Default"/>
        <w:numPr>
          <w:ilvl w:val="1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rtl w:val="0"/>
          <w:lang w:val="en-US"/>
        </w:rPr>
        <w:t>real-time API/data integration</w:t>
      </w:r>
      <w:r>
        <w:rPr>
          <w:rFonts w:ascii="Times Roman" w:hAnsi="Times Roman"/>
          <w:rtl w:val="0"/>
          <w:lang w:val="en-US"/>
        </w:rPr>
        <w:t xml:space="preserve"> solution to address the root cause of the previous failure (manual data entry risk).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Collaboration Tools (WBS/Schedule):</w:t>
      </w:r>
      <w:r>
        <w:rPr>
          <w:rFonts w:ascii="Times Roman" w:hAnsi="Times Roman"/>
          <w:rtl w:val="0"/>
          <w:lang w:val="en-US"/>
        </w:rPr>
        <w:t xml:space="preserve"> Standard project management scheduling tools were used to construct the </w:t>
      </w:r>
      <w:r>
        <w:rPr>
          <w:rFonts w:ascii="Times Roman" w:hAnsi="Times Roman"/>
          <w:b w:val="1"/>
          <w:bCs w:val="1"/>
          <w:rtl w:val="0"/>
          <w:lang w:val="en-US"/>
        </w:rPr>
        <w:t>Milestone Schedule</w:t>
      </w:r>
      <w:r>
        <w:rPr>
          <w:rFonts w:ascii="Times Roman" w:hAnsi="Times Roman"/>
          <w:rtl w:val="0"/>
          <w:lang w:val="en-US"/>
        </w:rPr>
        <w:t>, providing a visual and chronological decision framework. This schedule positioned the high-risk milestones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b w:val="1"/>
          <w:bCs w:val="1"/>
          <w:rtl w:val="0"/>
          <w:lang w:val="en-US"/>
        </w:rPr>
        <w:t>Legal/Compliance Gateway Sign-Off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API/Data Integration Build Completion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sequentially, ensuring that the legal check occurred </w:t>
      </w:r>
      <w:r>
        <w:rPr>
          <w:rFonts w:ascii="Times Roman" w:hAnsi="Times Roman"/>
          <w:i w:val="1"/>
          <w:iCs w:val="1"/>
          <w:rtl w:val="0"/>
          <w:lang w:val="en-US"/>
        </w:rPr>
        <w:t>before</w:t>
      </w:r>
      <w:r>
        <w:rPr>
          <w:rFonts w:ascii="Times Roman" w:hAnsi="Times Roman"/>
          <w:rtl w:val="0"/>
          <w:lang w:val="en-US"/>
        </w:rPr>
        <w:t xml:space="preserve"> the significant investment in the technical build began.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Collaboration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Collaboration was essential not only for planning the project, but for designing the </w:t>
      </w:r>
      <w:r>
        <w:rPr>
          <w:rFonts w:ascii="Times Roman" w:hAnsi="Times Roman"/>
          <w:b w:val="1"/>
          <w:bCs w:val="1"/>
          <w:rtl w:val="0"/>
          <w:lang w:val="en-US"/>
        </w:rPr>
        <w:t>governance structure</w:t>
      </w:r>
      <w:r>
        <w:rPr>
          <w:rFonts w:ascii="Times Roman" w:hAnsi="Times Roman"/>
          <w:rtl w:val="0"/>
          <w:lang w:val="en-US"/>
        </w:rPr>
        <w:t xml:space="preserve"> that the project itself would implement.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Role of Collaboration:</w:t>
      </w:r>
      <w:r>
        <w:rPr>
          <w:rFonts w:ascii="Times Roman" w:hAnsi="Times Roman"/>
          <w:rtl w:val="0"/>
          <w:lang w:val="en-US"/>
        </w:rPr>
        <w:t xml:space="preserve"> The project required </w:t>
      </w:r>
      <w:r>
        <w:rPr>
          <w:rFonts w:ascii="Times Roman" w:hAnsi="Times Roman"/>
          <w:b w:val="1"/>
          <w:bCs w:val="1"/>
          <w:rtl w:val="0"/>
          <w:lang w:val="en-US"/>
        </w:rPr>
        <w:t>cross-functional stakeholder alignment</w:t>
      </w:r>
      <w:r>
        <w:rPr>
          <w:rFonts w:ascii="Times Roman" w:hAnsi="Times Roman"/>
          <w:rtl w:val="0"/>
          <w:lang w:val="en-US"/>
        </w:rPr>
        <w:t xml:space="preserve"> between Legal, Marketing, and IT. Collaboration was not just about sharing documents; it was about achieving a </w:t>
      </w:r>
      <w:r>
        <w:rPr>
          <w:rFonts w:ascii="Times Roman" w:hAnsi="Times Roman"/>
          <w:b w:val="1"/>
          <w:bCs w:val="1"/>
          <w:rtl w:val="0"/>
          <w:lang w:val="en-US"/>
        </w:rPr>
        <w:t>shared definition of risk</w:t>
      </w:r>
      <w:r>
        <w:rPr>
          <w:rFonts w:ascii="Times Roman" w:hAnsi="Times Roman"/>
          <w:rtl w:val="0"/>
          <w:lang w:val="en-US"/>
        </w:rPr>
        <w:t>. I actively collaborated with the Marketing business owner and the Site Supervisor (IT Director) to ensure the scope was ambitious yet legally sound.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Shaping the Proposal:</w:t>
      </w:r>
      <w:r>
        <w:rPr>
          <w:rFonts w:ascii="Times Roman" w:hAnsi="Times Roman"/>
          <w:rtl w:val="0"/>
          <w:lang w:val="en-US"/>
        </w:rPr>
        <w:t xml:space="preserve"> The connection with the </w:t>
      </w:r>
      <w:r>
        <w:rPr>
          <w:rFonts w:ascii="Times Roman" w:hAnsi="Times Roman"/>
          <w:b w:val="1"/>
          <w:bCs w:val="1"/>
          <w:rtl w:val="0"/>
          <w:lang w:val="en-US"/>
        </w:rPr>
        <w:t>Site Supervisor (IT Director)</w:t>
      </w:r>
      <w:r>
        <w:rPr>
          <w:rFonts w:ascii="Times Roman" w:hAnsi="Times Roman"/>
          <w:rtl w:val="0"/>
          <w:lang w:val="en-US"/>
        </w:rPr>
        <w:t xml:space="preserve"> was crucial. His operational perspective on the previous project's failure allowed us to agree that the solution had to be a </w:t>
      </w:r>
      <w:r>
        <w:rPr>
          <w:rFonts w:ascii="Times Roman" w:hAnsi="Times Roman"/>
          <w:b w:val="1"/>
          <w:bCs w:val="1"/>
          <w:rtl w:val="0"/>
          <w:lang w:val="en-US"/>
        </w:rPr>
        <w:t>governance change</w:t>
      </w:r>
      <w:r>
        <w:rPr>
          <w:rFonts w:ascii="Times Roman" w:hAnsi="Times Roman"/>
          <w:rtl w:val="0"/>
          <w:lang w:val="en-US"/>
        </w:rPr>
        <w:t xml:space="preserve">first and an </w:t>
      </w:r>
      <w:r>
        <w:rPr>
          <w:rFonts w:ascii="Times Roman" w:hAnsi="Times Roman"/>
          <w:b w:val="1"/>
          <w:bCs w:val="1"/>
          <w:rtl w:val="0"/>
          <w:lang w:val="en-US"/>
        </w:rPr>
        <w:t>IT build</w:t>
      </w:r>
      <w:r>
        <w:rPr>
          <w:rFonts w:ascii="Times Roman" w:hAnsi="Times Roman"/>
          <w:rtl w:val="0"/>
          <w:lang w:val="en-US"/>
        </w:rPr>
        <w:t xml:space="preserve"> second. This collaboration directly resulted in the creation and placement of the </w:t>
      </w:r>
      <w:r>
        <w:rPr>
          <w:rFonts w:ascii="Times Roman" w:hAnsi="Times Roman"/>
          <w:b w:val="1"/>
          <w:bCs w:val="1"/>
          <w:rtl w:val="0"/>
          <w:lang w:val="en-US"/>
        </w:rPr>
        <w:t>Legal/Compliance Gateway</w:t>
      </w:r>
      <w:r>
        <w:rPr>
          <w:rFonts w:ascii="Times Roman" w:hAnsi="Times Roman"/>
          <w:rtl w:val="0"/>
          <w:lang w:val="en-US"/>
        </w:rPr>
        <w:t xml:space="preserve"> milestone, which is the most distinguishing feature of the proposal.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Feedback Contribution:</w:t>
      </w:r>
      <w:r>
        <w:rPr>
          <w:rFonts w:ascii="Times Roman" w:hAnsi="Times Roman"/>
          <w:rtl w:val="0"/>
          <w:lang w:val="en-US"/>
        </w:rPr>
        <w:t xml:space="preserve"> Feedback from the </w:t>
      </w:r>
      <w:r>
        <w:rPr>
          <w:rFonts w:ascii="Times Roman" w:hAnsi="Times Roman"/>
          <w:b w:val="1"/>
          <w:bCs w:val="1"/>
          <w:rtl w:val="0"/>
          <w:lang w:val="en-US"/>
        </w:rPr>
        <w:t>Site Supervisor</w:t>
      </w:r>
      <w:r>
        <w:rPr>
          <w:rFonts w:ascii="Times Roman" w:hAnsi="Times Roman"/>
          <w:rtl w:val="0"/>
          <w:lang w:val="en-US"/>
        </w:rPr>
        <w:t xml:space="preserve"> emphasized the need to make the technical solution </w:t>
      </w:r>
      <w:r>
        <w:rPr>
          <w:rFonts w:ascii="Times Roman" w:hAnsi="Times Roman"/>
          <w:b w:val="1"/>
          <w:bCs w:val="1"/>
          <w:rtl w:val="0"/>
          <w:lang w:val="en-US"/>
        </w:rPr>
        <w:t>robust and maintainable</w:t>
      </w:r>
      <w:r>
        <w:rPr>
          <w:rFonts w:ascii="Times Roman" w:hAnsi="Times Roman"/>
          <w:rtl w:val="0"/>
          <w:lang w:val="en-US"/>
        </w:rPr>
        <w:t>, leading to the use of academic literature that justified a microservice/API architecture over a simpler, but riskier, point-to-point integration. This elevated the technical sophistication and long-term value proposition of the entire proposal.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Reflective Learning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My educational and professional background brought a unique perspective that directly addressed the Capstone project's core challenge.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Value of Educational and Personal Background:</w:t>
      </w:r>
      <w:r>
        <w:rPr>
          <w:rFonts w:ascii="Times Roman" w:hAnsi="Times Roman"/>
          <w:rtl w:val="0"/>
          <w:lang w:val="en-US"/>
        </w:rPr>
        <w:t xml:space="preserve"> My </w:t>
      </w:r>
      <w:r>
        <w:rPr>
          <w:rFonts w:ascii="Times Roman" w:hAnsi="Times Roman"/>
          <w:b w:val="1"/>
          <w:bCs w:val="1"/>
          <w:rtl w:val="0"/>
          <w:lang w:val="en-US"/>
        </w:rPr>
        <w:t>25+ years of experience</w:t>
      </w:r>
      <w:r>
        <w:rPr>
          <w:rFonts w:ascii="Times Roman" w:hAnsi="Times Roman"/>
          <w:rtl w:val="0"/>
          <w:lang w:val="en-US"/>
        </w:rPr>
        <w:t xml:space="preserve"> as a Business Analyst provided the practical skill to deconstruct legacy systems and structure a complex plan. However, the </w:t>
      </w:r>
      <w:r>
        <w:rPr>
          <w:rFonts w:ascii="Times Roman" w:hAnsi="Times Roman"/>
          <w:b w:val="1"/>
          <w:bCs w:val="1"/>
          <w:rtl w:val="0"/>
          <w:lang w:val="en-US"/>
        </w:rPr>
        <w:t>Capella program's coursework</w:t>
      </w:r>
      <w:r>
        <w:rPr>
          <w:rFonts w:ascii="Times Roman" w:hAnsi="Times Roman"/>
          <w:rtl w:val="0"/>
          <w:lang w:val="en-US"/>
        </w:rPr>
        <w:t xml:space="preserve"> was vital in applying formal theoretical frameworks (like COBIT, risk modeling, and academic synthesis) to that experience. This blend allowed me to identify that the previous project's issue was a </w:t>
      </w:r>
      <w:r>
        <w:rPr>
          <w:rFonts w:ascii="Times Roman" w:hAnsi="Times Roman"/>
          <w:b w:val="1"/>
          <w:bCs w:val="1"/>
          <w:rtl w:val="0"/>
          <w:lang w:val="en-US"/>
        </w:rPr>
        <w:t>failure in governance and compliance modeling</w:t>
      </w:r>
      <w:r>
        <w:rPr>
          <w:rFonts w:ascii="Times Roman" w:hAnsi="Times Roman"/>
          <w:rtl w:val="0"/>
          <w:lang w:val="en-US"/>
        </w:rPr>
        <w:t>, not just poor code or slow execution.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Program Contribution:</w:t>
      </w:r>
      <w:r>
        <w:rPr>
          <w:rFonts w:ascii="Times Roman" w:hAnsi="Times Roman"/>
          <w:rtl w:val="0"/>
          <w:lang w:val="en-US"/>
        </w:rPr>
        <w:t xml:space="preserve"> My learning process contributed a </w:t>
      </w:r>
      <w:r>
        <w:rPr>
          <w:rFonts w:ascii="Times Roman" w:hAnsi="Times Roman"/>
          <w:b w:val="1"/>
          <w:bCs w:val="1"/>
          <w:rtl w:val="0"/>
          <w:lang w:val="en-US"/>
        </w:rPr>
        <w:t>disciplined, research-first approach</w:t>
      </w:r>
      <w:r>
        <w:rPr>
          <w:rFonts w:ascii="Times Roman" w:hAnsi="Times Roman"/>
          <w:rtl w:val="0"/>
          <w:lang w:val="en-US"/>
        </w:rPr>
        <w:t>. I refused to accept anecdotal evidence for the solution, instead grounding every major decision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from the legal basis (HEA) to the technical architecture (real-time data best practices)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in high-quality academic and policy literature.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Hindrances and Lessons Learned:</w:t>
      </w:r>
      <w:r>
        <w:rPr>
          <w:rFonts w:ascii="Times Roman" w:hAnsi="Times Roman"/>
          <w:rtl w:val="0"/>
          <w:lang w:val="en-US"/>
        </w:rPr>
        <w:t xml:space="preserve"> My personal </w:t>
      </w:r>
      <w:r>
        <w:rPr>
          <w:rFonts w:ascii="Times Roman" w:hAnsi="Times Roman"/>
          <w:b w:val="1"/>
          <w:bCs w:val="1"/>
          <w:rtl w:val="0"/>
          <w:lang w:val="en-US"/>
        </w:rPr>
        <w:t>bias toward process and structure</w:t>
      </w:r>
      <w:r>
        <w:rPr>
          <w:rFonts w:ascii="Times Roman" w:hAnsi="Times Roman"/>
          <w:rtl w:val="0"/>
          <w:lang w:val="en-US"/>
        </w:rPr>
        <w:t xml:space="preserve"> (as noted in the self-assessment) could potentially hinder work by slowing down the initial discovery phase. The lesson learned is the importance of continuous, </w:t>
      </w:r>
      <w:r>
        <w:rPr>
          <w:rFonts w:ascii="Times Roman" w:hAnsi="Times Roman"/>
          <w:b w:val="1"/>
          <w:bCs w:val="1"/>
          <w:rtl w:val="0"/>
          <w:lang w:val="en-US"/>
        </w:rPr>
        <w:t>proactive stakeholder alignment</w:t>
      </w:r>
      <w:r>
        <w:rPr>
          <w:rFonts w:ascii="Times Roman" w:hAnsi="Times Roman"/>
          <w:rtl w:val="0"/>
          <w:lang w:val="en-US"/>
        </w:rPr>
        <w:t xml:space="preserve"> to ensure the necessary governance is viewed as a </w:t>
      </w:r>
      <w:r>
        <w:rPr>
          <w:rFonts w:ascii="Times Roman" w:hAnsi="Times Roman"/>
          <w:b w:val="1"/>
          <w:bCs w:val="1"/>
          <w:rtl w:val="0"/>
          <w:lang w:val="it-IT"/>
        </w:rPr>
        <w:t>safeguard</w:t>
      </w:r>
      <w:r>
        <w:rPr>
          <w:rFonts w:ascii="Times Roman" w:hAnsi="Times Roman"/>
          <w:rtl w:val="0"/>
          <w:lang w:val="en-US"/>
        </w:rPr>
        <w:t xml:space="preserve">, not a </w:t>
      </w:r>
      <w:r>
        <w:rPr>
          <w:rFonts w:ascii="Times Roman" w:hAnsi="Times Roman"/>
          <w:b w:val="1"/>
          <w:bCs w:val="1"/>
          <w:rtl w:val="0"/>
          <w:lang w:val="en-US"/>
        </w:rPr>
        <w:t>roadblock</w:t>
      </w:r>
      <w:r>
        <w:rPr>
          <w:rFonts w:ascii="Times Roman" w:hAnsi="Times Roman"/>
          <w:rtl w:val="0"/>
          <w:lang w:val="en-US"/>
        </w:rPr>
        <w:t>. This iterative process of reflection and adjustment is the single greatest lesson I will carry forward into future planning pursuits.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Future Planning Application:</w:t>
      </w:r>
      <w:r>
        <w:rPr>
          <w:rFonts w:ascii="Times Roman" w:hAnsi="Times Roman"/>
          <w:rtl w:val="0"/>
          <w:lang w:val="en-US"/>
        </w:rPr>
        <w:t xml:space="preserve"> The main lesson learned is that for high-stakes projects, the greatest risk is often </w:t>
      </w:r>
      <w:r>
        <w:rPr>
          <w:rFonts w:ascii="Times Roman" w:hAnsi="Times Roman"/>
          <w:b w:val="1"/>
          <w:bCs w:val="1"/>
          <w:rtl w:val="0"/>
          <w:lang w:val="en-US"/>
        </w:rPr>
        <w:t>governance risk</w:t>
      </w:r>
      <w:r>
        <w:rPr>
          <w:rFonts w:ascii="Times Roman" w:hAnsi="Times Roman"/>
          <w:rtl w:val="0"/>
          <w:lang w:val="en-US"/>
        </w:rPr>
        <w:t xml:space="preserve">, and this risk must be mitigated by building a </w:t>
      </w:r>
      <w:r>
        <w:rPr>
          <w:rFonts w:ascii="Times Roman" w:hAnsi="Times Roman"/>
          <w:b w:val="1"/>
          <w:bCs w:val="1"/>
          <w:rtl w:val="0"/>
          <w:lang w:val="en-US"/>
        </w:rPr>
        <w:t>mandatory Legal/Compliance Gateway</w:t>
      </w:r>
      <w:r>
        <w:rPr>
          <w:rFonts w:ascii="Times Roman" w:hAnsi="Times Roman"/>
          <w:rtl w:val="0"/>
          <w:lang w:val="en-US"/>
        </w:rPr>
        <w:t xml:space="preserve"> into the early phase of the project schedule. I will apply this practice to all future planning pursuits in my field.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Numbered.0">
    <w:name w:val="Numbered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