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after="322" w:line="240" w:lineRule="auto"/>
        <w:jc w:val="center"/>
        <w:rPr>
          <w:rFonts w:ascii="Times Roman" w:cs="Times Roman" w:hAnsi="Times Roman" w:eastAsia="Times Roman"/>
          <w:sz w:val="48"/>
          <w:szCs w:val="48"/>
        </w:rPr>
      </w:pPr>
      <w:r>
        <w:rPr>
          <w:rFonts w:ascii="Times Roman" w:hAnsi="Times Roman"/>
          <w:sz w:val="48"/>
          <w:szCs w:val="48"/>
          <w:rtl w:val="0"/>
          <w:lang w:val="en-US"/>
        </w:rPr>
        <w:t>Arborwood University</w:t>
      </w:r>
    </w:p>
    <w:p>
      <w:pPr>
        <w:pStyle w:val="Default"/>
        <w:suppressAutoHyphens w:val="1"/>
        <w:spacing w:before="0" w:after="322" w:line="240" w:lineRule="auto"/>
        <w:jc w:val="center"/>
        <w:rPr>
          <w:rFonts w:ascii="Times Roman" w:cs="Times Roman" w:hAnsi="Times Roman" w:eastAsia="Times Roman"/>
          <w:sz w:val="48"/>
          <w:szCs w:val="48"/>
        </w:rPr>
      </w:pPr>
    </w:p>
    <w:p>
      <w:pPr>
        <w:pStyle w:val="Subtitle"/>
        <w:jc w:val="center"/>
      </w:pPr>
      <w:r>
        <w:rPr>
          <w:rtl w:val="0"/>
          <w:lang w:val="en-US"/>
        </w:rPr>
        <w:t xml:space="preserve">A </w:t>
      </w:r>
      <w:r>
        <w:rPr>
          <w:rtl w:val="0"/>
          <w:lang w:val="en-US"/>
        </w:rPr>
        <w:t>Strategic SWOT Analysis</w:t>
      </w:r>
    </w:p>
    <w:p>
      <w:pPr>
        <w:pStyle w:val="Body"/>
        <w:bidi w:val="0"/>
      </w:pPr>
    </w:p>
    <w:p>
      <w:pPr>
        <w:pStyle w:val="Heading 2"/>
        <w:rPr>
          <w:b w:val="0"/>
          <w:bCs w:val="0"/>
          <w:i w:val="1"/>
          <w:iCs w:val="1"/>
        </w:rPr>
      </w:pPr>
      <w:r>
        <w:rPr>
          <w:b w:val="0"/>
          <w:bCs w:val="0"/>
          <w:i w:val="1"/>
          <w:iCs w:val="1"/>
          <w:rtl w:val="0"/>
          <w:lang w:val="en-US"/>
        </w:rPr>
        <w:t>I. Executive Summary of Key Findings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</w:rPr>
        <w:tab/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</w:rPr>
        <w:tab/>
      </w:r>
      <w:r>
        <w:rPr>
          <w:rFonts w:ascii="Times Roman" w:hAnsi="Times Roman"/>
          <w:rtl w:val="0"/>
          <w:lang w:val="en-US"/>
        </w:rPr>
        <w:t>This SWOT analysis provides an assessment of the internal and external factors influencing the success of the proposed personalized tuition calculator project at Arborwood University.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</w:rPr>
        <w:tab/>
      </w:r>
      <w:r>
        <w:rPr>
          <w:rFonts w:ascii="Times Roman" w:hAnsi="Times Roman"/>
          <w:rtl w:val="0"/>
          <w:lang w:val="en-US"/>
        </w:rPr>
        <w:t>The primary finding is that a clear market opportunity for differentiation (Opportunity C) exists, supported by strong internal resources (Strength A) (proficient IT and stable finances). However, the project's success is jeopardized by a fundamental internal weakness (Weakness B)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the organizational disconnect between marketing churn and IT skepticism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and a</w:t>
      </w:r>
      <w:r>
        <w:rPr>
          <w:rFonts w:ascii="Times Roman" w:hAnsi="Times Roman"/>
          <w:rtl w:val="0"/>
          <w:lang w:val="en-US"/>
        </w:rPr>
        <w:t xml:space="preserve">n </w:t>
      </w:r>
      <w:r>
        <w:rPr>
          <w:rFonts w:ascii="Times Roman" w:hAnsi="Times Roman"/>
          <w:rtl w:val="0"/>
          <w:lang w:val="en-US"/>
        </w:rPr>
        <w:t>external threat (Threat D)</w:t>
      </w:r>
      <w:r>
        <w:rPr>
          <w:rFonts w:ascii="Times Roman" w:hAnsi="Times Roman" w:hint="default"/>
          <w:rtl w:val="0"/>
          <w:lang w:val="en-US"/>
        </w:rPr>
        <w:t>—</w:t>
      </w:r>
      <w:r>
        <w:rPr>
          <w:rFonts w:ascii="Times Roman" w:hAnsi="Times Roman"/>
          <w:rtl w:val="0"/>
          <w:lang w:val="en-US"/>
        </w:rPr>
        <w:t>the risk of failing to secure legal/compliance approval</w:t>
      </w:r>
      <w:r>
        <w:rPr>
          <w:rFonts w:ascii="Times Roman" w:hAnsi="Times Roman"/>
          <w:rtl w:val="0"/>
          <w:lang w:val="en-US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</w:rPr>
        <w:tab/>
      </w:r>
      <w:r>
        <w:rPr>
          <w:rFonts w:ascii="Times Roman" w:hAnsi="Times Roman"/>
          <w:rtl w:val="0"/>
          <w:lang w:val="en-US"/>
        </w:rPr>
        <w:t xml:space="preserve">The calculator project is technically feasible (Strength A + Opportunity C), but its strategic viability is contingent upon leadership resolving the internal conflict (Weakness B) and establishing a formal </w:t>
      </w:r>
      <w:r>
        <w:rPr>
          <w:rFonts w:ascii="Times Roman" w:hAnsi="Times Roman"/>
          <w:rtl w:val="0"/>
          <w:lang w:val="en-US"/>
        </w:rPr>
        <w:t>process by which legal approval is obtained</w:t>
      </w:r>
      <w:r>
        <w:rPr>
          <w:rFonts w:ascii="Times Roman" w:hAnsi="Times Roman"/>
          <w:rtl w:val="0"/>
          <w:lang w:val="en-US"/>
        </w:rPr>
        <w:t xml:space="preserve"> (Threat D Mitigation) before development proceeds.</w:t>
      </w:r>
    </w:p>
    <w:p>
      <w:pPr>
        <w:pStyle w:val="Heading 2"/>
        <w:rPr>
          <w:b w:val="0"/>
          <w:bCs w:val="0"/>
          <w:i w:val="1"/>
          <w:iCs w:val="1"/>
        </w:rPr>
      </w:pPr>
      <w:r>
        <w:rPr>
          <w:b w:val="0"/>
          <w:bCs w:val="0"/>
          <w:i w:val="1"/>
          <w:iCs w:val="1"/>
          <w:rtl w:val="0"/>
          <w:lang w:val="en-US"/>
        </w:rPr>
        <w:t>II. Detailed SWOT Quadrant Analysis (Internal</w:t>
      </w:r>
      <w:r>
        <w:rPr>
          <w:b w:val="0"/>
          <w:bCs w:val="0"/>
          <w:i w:val="1"/>
          <w:iCs w:val="1"/>
          <w:rtl w:val="0"/>
          <w:lang w:val="en-US"/>
        </w:rPr>
        <w:t>/</w:t>
      </w:r>
      <w:r>
        <w:rPr>
          <w:b w:val="0"/>
          <w:bCs w:val="0"/>
          <w:i w:val="1"/>
          <w:iCs w:val="1"/>
          <w:rtl w:val="0"/>
          <w:lang w:val="da-DK"/>
        </w:rPr>
        <w:t>External Factors)</w:t>
      </w:r>
    </w:p>
    <w:p>
      <w:pPr>
        <w:pStyle w:val="Body"/>
        <w:bidi w:val="0"/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73"/>
        <w:gridCol w:w="1326"/>
        <w:gridCol w:w="1418"/>
        <w:gridCol w:w="4236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Category</w:t>
            </w:r>
          </w:p>
        </w:tc>
        <w:tc>
          <w:tcPr>
            <w:tcW w:type="dxa" w:w="13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Assessment</w:t>
            </w:r>
          </w:p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Focus</w:t>
            </w:r>
          </w:p>
        </w:tc>
        <w:tc>
          <w:tcPr>
            <w:tcW w:type="dxa" w:w="4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Key Findings</w:t>
            </w:r>
          </w:p>
        </w:tc>
      </w:tr>
      <w:tr>
        <w:tblPrEx>
          <w:shd w:val="clear" w:color="auto" w:fill="auto"/>
        </w:tblPrEx>
        <w:trPr>
          <w:trHeight w:val="2527" w:hRule="atLeast"/>
        </w:trPr>
        <w:tc>
          <w:tcPr>
            <w:tcW w:type="dxa" w:w="2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A. STRENGTHS</w:t>
            </w:r>
          </w:p>
        </w:tc>
        <w:tc>
          <w:tcPr>
            <w:tcW w:type="dxa" w:w="13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Helpful</w:t>
            </w:r>
          </w:p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Internal</w:t>
            </w:r>
          </w:p>
        </w:tc>
        <w:tc>
          <w:tcPr>
            <w:tcW w:type="dxa" w:w="4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Organizational stability, financial profitability, and a robust technical foundation.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Roman" w:cs="Times Roman" w:hAnsi="Times Roman" w:eastAsia="Times Roman"/>
                <w:sz w:val="24"/>
                <w:szCs w:val="24"/>
              </w:rPr>
              <w:br w:type="textWrapping"/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>The IT team is proficient, the organization is profitable, and the culture supports innovation. Stable IT/Marketing communication provides a strong foundation for executing the vision, once defined.</w:t>
            </w:r>
          </w:p>
        </w:tc>
      </w:tr>
      <w:tr>
        <w:tblPrEx>
          <w:shd w:val="clear" w:color="auto" w:fill="auto"/>
        </w:tblPrEx>
        <w:trPr>
          <w:trHeight w:val="3047" w:hRule="atLeast"/>
        </w:trPr>
        <w:tc>
          <w:tcPr>
            <w:tcW w:type="dxa" w:w="2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B. WEAKNESSES</w:t>
            </w:r>
          </w:p>
        </w:tc>
        <w:tc>
          <w:tcPr>
            <w:tcW w:type="dxa" w:w="13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Harmful</w:t>
            </w:r>
          </w:p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Internal</w:t>
            </w:r>
          </w:p>
        </w:tc>
        <w:tc>
          <w:tcPr>
            <w:tcW w:type="dxa" w:w="4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rPr>
                <w:rFonts w:ascii="Times Roman" w:cs="Times Roman" w:hAnsi="Times Roman" w:eastAsia="Times Roman"/>
                <w:sz w:val="24"/>
                <w:szCs w:val="24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Lack of strategic direction and high operational friction.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Roman" w:cs="Times Roman" w:hAnsi="Times Roman" w:eastAsia="Times Roman"/>
                <w:sz w:val="24"/>
                <w:szCs w:val="24"/>
              </w:rPr>
              <w:br w:type="textWrapping"/>
            </w:r>
          </w:p>
          <w:p>
            <w:pPr>
              <w:pStyle w:val="Table Style 2"/>
              <w:suppressAutoHyphens w:val="1"/>
              <w:spacing w:after="240"/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Churn in Marketing priorities and the absence of a clear strategic roadmap leads to refactoring, frustration in IT, and 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the potential for 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>project abandonment. Limited API integration is a key technical bottleneck preventing speed and automation.</w:t>
            </w:r>
          </w:p>
        </w:tc>
      </w:tr>
      <w:tr>
        <w:tblPrEx>
          <w:shd w:val="clear" w:color="auto" w:fill="auto"/>
        </w:tblPrEx>
        <w:trPr>
          <w:trHeight w:val="2487" w:hRule="atLeast"/>
        </w:trPr>
        <w:tc>
          <w:tcPr>
            <w:tcW w:type="dxa" w:w="2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C. OPPORTUNITIES</w:t>
            </w:r>
          </w:p>
        </w:tc>
        <w:tc>
          <w:tcPr>
            <w:tcW w:type="dxa" w:w="13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Helpful</w:t>
            </w:r>
          </w:p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External</w:t>
            </w:r>
          </w:p>
        </w:tc>
        <w:tc>
          <w:tcPr>
            <w:tcW w:type="dxa" w:w="4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rPr>
                <w:rFonts w:ascii="Times Roman" w:cs="Times Roman" w:hAnsi="Times Roman" w:eastAsia="Times Roman"/>
                <w:sz w:val="24"/>
                <w:szCs w:val="24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Clear market gap for transparency and a supportive technology platform.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</w:p>
          <w:p>
            <w:pPr>
              <w:pStyle w:val="Table Style 2"/>
              <w:suppressAutoHyphens w:val="1"/>
              <w:spacing w:after="240"/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>Competitors lack personalized cost tools. Adobe</w:t>
            </w:r>
            <w:r>
              <w:rPr>
                <w:rFonts w:ascii="Times Roman" w:hAnsi="Times Roman" w:hint="default"/>
                <w:sz w:val="24"/>
                <w:szCs w:val="24"/>
                <w:rtl w:val="1"/>
              </w:rPr>
              <w:t>’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>s new AEM component for data storage offers a low-overhead path to automate content, enabling Arborwood to achieve best-in-class differentiation and capture significant revenue increases.</w:t>
            </w:r>
          </w:p>
        </w:tc>
      </w:tr>
      <w:tr>
        <w:tblPrEx>
          <w:shd w:val="clear" w:color="auto" w:fill="auto"/>
        </w:tblPrEx>
        <w:trPr>
          <w:trHeight w:val="2487" w:hRule="atLeast"/>
        </w:trPr>
        <w:tc>
          <w:tcPr>
            <w:tcW w:type="dxa" w:w="23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D. THREATS</w:t>
            </w:r>
          </w:p>
        </w:tc>
        <w:tc>
          <w:tcPr>
            <w:tcW w:type="dxa" w:w="13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Harmful</w:t>
            </w:r>
          </w:p>
        </w:tc>
        <w:tc>
          <w:tcPr>
            <w:tcW w:type="dxa" w:w="14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External</w:t>
            </w:r>
          </w:p>
        </w:tc>
        <w:tc>
          <w:tcPr>
            <w:tcW w:type="dxa" w:w="423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rPr>
                <w:rFonts w:ascii="Times Roman" w:cs="Times Roman" w:hAnsi="Times Roman" w:eastAsia="Times Roman"/>
                <w:sz w:val="24"/>
                <w:szCs w:val="24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High regulatory risk and market volatility.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</w:t>
            </w:r>
          </w:p>
          <w:p>
            <w:pPr>
              <w:pStyle w:val="Table Style 2"/>
              <w:suppressAutoHyphens w:val="1"/>
              <w:spacing w:after="240"/>
            </w:pP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>The most immediate threat is the failure to secure legal approval, exposing the project to litigation risk. Other threats include the dependence on external technology and the eventual stabilization/saturation of the post-COVID online learning market.</w:t>
            </w:r>
          </w:p>
        </w:tc>
      </w:tr>
    </w:tbl>
    <w:p>
      <w:pPr>
        <w:pStyle w:val="Default"/>
        <w:suppressAutoHyphens w:val="1"/>
        <w:spacing w:before="0" w:after="299" w:line="240" w:lineRule="auto"/>
        <w:rPr>
          <w:rFonts w:ascii="Times Roman" w:cs="Times Roman" w:hAnsi="Times Roman" w:eastAsia="Times Roman"/>
        </w:rPr>
      </w:pPr>
    </w:p>
    <w:p>
      <w:pPr>
        <w:pStyle w:val="Heading 2"/>
        <w:rPr>
          <w:b w:val="0"/>
          <w:bCs w:val="0"/>
          <w:i w:val="1"/>
          <w:iCs w:val="1"/>
        </w:rPr>
      </w:pPr>
      <w:r>
        <w:rPr>
          <w:b w:val="0"/>
          <w:bCs w:val="0"/>
          <w:i w:val="1"/>
          <w:iCs w:val="1"/>
          <w:rtl w:val="0"/>
          <w:lang w:val="en-US"/>
        </w:rPr>
        <w:t>III. Discussion Points and Strategic Action Basis</w:t>
      </w:r>
    </w:p>
    <w:p>
      <w:pPr>
        <w:pStyle w:val="Body"/>
        <w:bidi w:val="0"/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</w:rPr>
        <w:tab/>
      </w:r>
      <w:r>
        <w:rPr>
          <w:rFonts w:ascii="Times Roman" w:hAnsi="Times Roman"/>
          <w:rtl w:val="0"/>
          <w:lang w:val="en-US"/>
        </w:rPr>
        <w:t>This section outlines the critical areas to address with the site supervisor to ensure the project aligns with organizational goals and mitigates known risks.</w:t>
      </w:r>
    </w:p>
    <w:p>
      <w:pPr>
        <w:pStyle w:val="Caption"/>
        <w:numPr>
          <w:ilvl w:val="0"/>
          <w:numId w:val="2"/>
        </w:numPr>
        <w:rPr>
          <w:b w:val="0"/>
          <w:bCs w:val="0"/>
          <w:lang w:val="en-US"/>
        </w:rPr>
      </w:pPr>
      <w:r>
        <w:rPr>
          <w:b w:val="0"/>
          <w:bCs w:val="0"/>
          <w:rtl w:val="0"/>
          <w:lang w:val="en-US"/>
        </w:rPr>
        <w:t>The Core Conflict: Aspiration vs. Execution</w:t>
      </w:r>
    </w:p>
    <w:p>
      <w:pPr>
        <w:pStyle w:val="Caption"/>
        <w:rPr>
          <w:b w:val="0"/>
          <w:bCs w:val="0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</w:rPr>
        <w:tab/>
      </w:r>
      <w:r>
        <w:rPr>
          <w:rFonts w:ascii="Times Roman" w:hAnsi="Times Roman"/>
          <w:rtl w:val="0"/>
          <w:lang w:val="en-US"/>
        </w:rPr>
        <w:t>The biggest internal risk is the disconnect between aspiration and execution. Leadership encourages "innovation," but the lack of a clear strategic vision results in "churn" (Marketing Weakness) which leads to "skepticism and refactoring" (IT Weakness).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Discussion Point: How can the organization establish a singular, multi-year product roadmap that transcends quarterly marketing shifts to ensure IT efforts are focused and not abandoned?</w:t>
      </w:r>
    </w:p>
    <w:p>
      <w:pPr>
        <w:pStyle w:val="Caption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B. </w:t>
      </w:r>
      <w:r>
        <w:rPr>
          <w:b w:val="0"/>
          <w:bCs w:val="0"/>
          <w:rtl w:val="0"/>
          <w:lang w:val="en-US"/>
        </w:rPr>
        <w:t>Strategic Urgency and Competitive Advantage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The Window is Closing: There is a current, clear, and profitable </w:t>
      </w:r>
      <w:r>
        <w:rPr>
          <w:rFonts w:ascii="Times Roman" w:hAnsi="Times Roman"/>
          <w:rtl w:val="0"/>
          <w:lang w:val="en-US"/>
        </w:rPr>
        <w:t>o</w:t>
      </w:r>
      <w:r>
        <w:rPr>
          <w:rFonts w:ascii="Times Roman" w:hAnsi="Times Roman"/>
          <w:rtl w:val="0"/>
          <w:lang w:val="en-US"/>
        </w:rPr>
        <w:t>pportunity to be best-in-class.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The Competition Will Catch Up: This </w:t>
      </w:r>
      <w:r>
        <w:rPr>
          <w:rFonts w:ascii="Times Roman" w:hAnsi="Times Roman"/>
          <w:rtl w:val="0"/>
          <w:lang w:val="en-US"/>
        </w:rPr>
        <w:t>o</w:t>
      </w:r>
      <w:r>
        <w:rPr>
          <w:rFonts w:ascii="Times Roman" w:hAnsi="Times Roman"/>
          <w:rtl w:val="0"/>
          <w:lang w:val="en-US"/>
        </w:rPr>
        <w:t xml:space="preserve">pportunity must be acted on quickly, as the </w:t>
      </w:r>
      <w:r>
        <w:rPr>
          <w:rFonts w:ascii="Times Roman" w:hAnsi="Times Roman"/>
          <w:rtl w:val="0"/>
          <w:lang w:val="en-US"/>
        </w:rPr>
        <w:t>t</w:t>
      </w:r>
      <w:r>
        <w:rPr>
          <w:rFonts w:ascii="Times Roman" w:hAnsi="Times Roman"/>
          <w:rtl w:val="0"/>
          <w:lang w:val="en-US"/>
        </w:rPr>
        <w:t>hreat of competitors implementing similar or superior solutions is imminent.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>Discussion Point: Given the competitive urgency, what is the defined timeline for achieving Legal/Compliance sign-off, and what are the specific revenue targets that justify the risk/investment?</w:t>
      </w:r>
    </w:p>
    <w:p>
      <w:pPr>
        <w:pStyle w:val="Caption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 xml:space="preserve">C. </w:t>
      </w:r>
      <w:r>
        <w:rPr>
          <w:b w:val="0"/>
          <w:bCs w:val="0"/>
          <w:rtl w:val="0"/>
          <w:lang w:val="en-US"/>
        </w:rPr>
        <w:t>Critical Threats Requiring Mitigation</w:t>
      </w: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83"/>
        <w:gridCol w:w="6870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24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left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Threat Detail</w:t>
            </w:r>
          </w:p>
        </w:tc>
        <w:tc>
          <w:tcPr>
            <w:tcW w:type="dxa" w:w="6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  <w:jc w:val="left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Mitigation Strategy Recommendation (High-Level)</w:t>
            </w:r>
          </w:p>
        </w:tc>
      </w:tr>
      <w:tr>
        <w:tblPrEx>
          <w:shd w:val="clear" w:color="auto" w:fill="auto"/>
        </w:tblPrEx>
        <w:trPr>
          <w:trHeight w:val="1127" w:hRule="atLeast"/>
        </w:trPr>
        <w:tc>
          <w:tcPr>
            <w:tcW w:type="dxa" w:w="24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Regulatory &amp; Litigation Risk</w:t>
            </w:r>
          </w:p>
        </w:tc>
        <w:tc>
          <w:tcPr>
            <w:tcW w:type="dxa" w:w="6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Pre-Emptive Legal Gateway: Formally integrate Legal/Compliance sign-off as the first stage of project development, before any code is written, to define acceptable limits on projections and disclaimers. This is mandatory for project launch.</w:t>
            </w:r>
          </w:p>
        </w:tc>
      </w:tr>
      <w:tr>
        <w:tblPrEx>
          <w:shd w:val="clear" w:color="auto" w:fill="auto"/>
        </w:tblPrEx>
        <w:trPr>
          <w:trHeight w:val="847" w:hRule="atLeast"/>
        </w:trPr>
        <w:tc>
          <w:tcPr>
            <w:tcW w:type="dxa" w:w="24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API Integration Bottleneck</w:t>
            </w:r>
          </w:p>
        </w:tc>
        <w:tc>
          <w:tcPr>
            <w:tcW w:type="dxa" w:w="68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spacing w:after="240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Dedicated IT Bandwidth: Allocate immediate, protected IT capacity to developing the required APIs to fetch source data, converting a key weakness into a strength that supports the automation opportunity.</w:t>
            </w:r>
          </w:p>
        </w:tc>
      </w:tr>
    </w:tbl>
    <w:p>
      <w:pPr>
        <w:pStyle w:val="Default"/>
        <w:suppressAutoHyphens w:val="1"/>
        <w:spacing w:before="0" w:after="240" w:line="240" w:lineRule="auto"/>
      </w:pPr>
      <w:r>
        <w:rPr>
          <w:rFonts w:ascii="Times Roman" w:cs="Times Roman" w:hAnsi="Times Roman" w:eastAsia="Times Roman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upperLetter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