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5E29" w14:textId="77777777" w:rsidR="00E46866" w:rsidRDefault="00E46866" w:rsidP="00E46866">
      <w:pPr>
        <w:pStyle w:val="Default"/>
        <w:suppressAutoHyphens/>
        <w:spacing w:after="299"/>
        <w:jc w:val="center"/>
        <w:rPr>
          <w:rFonts w:ascii="Times Roman" w:hAnsi="Times Roman"/>
        </w:rPr>
      </w:pPr>
    </w:p>
    <w:p w14:paraId="08132ABB" w14:textId="77777777" w:rsidR="00E46866" w:rsidRDefault="00E46866" w:rsidP="00E46866">
      <w:pPr>
        <w:pStyle w:val="Default"/>
        <w:suppressAutoHyphens/>
        <w:spacing w:after="299"/>
        <w:jc w:val="center"/>
        <w:rPr>
          <w:rFonts w:ascii="Times Roman" w:hAnsi="Times Roman"/>
        </w:rPr>
      </w:pPr>
    </w:p>
    <w:p w14:paraId="625B079F" w14:textId="77777777" w:rsidR="00E46866" w:rsidRDefault="00E46866" w:rsidP="00E46866">
      <w:pPr>
        <w:pStyle w:val="Default"/>
        <w:suppressAutoHyphens/>
        <w:spacing w:after="299"/>
        <w:jc w:val="center"/>
        <w:rPr>
          <w:rFonts w:ascii="Times Roman" w:hAnsi="Times Roman"/>
        </w:rPr>
      </w:pPr>
    </w:p>
    <w:p w14:paraId="594047BC" w14:textId="77777777" w:rsidR="00E46866" w:rsidRDefault="00E46866" w:rsidP="00E46866">
      <w:pPr>
        <w:pStyle w:val="Default"/>
        <w:suppressAutoHyphens/>
        <w:spacing w:after="299"/>
        <w:jc w:val="center"/>
        <w:rPr>
          <w:rFonts w:ascii="Times Roman" w:hAnsi="Times Roman"/>
          <w:b/>
          <w:bCs/>
        </w:rPr>
      </w:pPr>
      <w:r>
        <w:rPr>
          <w:rFonts w:ascii="Times Roman" w:hAnsi="Times Roman"/>
          <w:b/>
          <w:bCs/>
        </w:rPr>
        <w:t>Gateway:</w:t>
      </w:r>
    </w:p>
    <w:p w14:paraId="120CE37F" w14:textId="77777777" w:rsidR="00E46866" w:rsidRDefault="00E46866" w:rsidP="00E46866">
      <w:pPr>
        <w:pStyle w:val="Default"/>
        <w:suppressAutoHyphens/>
        <w:spacing w:after="299"/>
        <w:jc w:val="center"/>
        <w:rPr>
          <w:rFonts w:ascii="Times Roman" w:hAnsi="Times Roman"/>
          <w:b/>
          <w:bCs/>
        </w:rPr>
      </w:pPr>
      <w:r>
        <w:rPr>
          <w:rFonts w:ascii="Times Roman" w:hAnsi="Times Roman"/>
          <w:b/>
          <w:bCs/>
        </w:rPr>
        <w:t xml:space="preserve">Transforming Project Failure into </w:t>
      </w:r>
    </w:p>
    <w:p w14:paraId="13803DB4" w14:textId="77777777" w:rsidR="00E46866" w:rsidRDefault="00E46866" w:rsidP="00E46866">
      <w:pPr>
        <w:pStyle w:val="Default"/>
        <w:suppressAutoHyphens/>
        <w:spacing w:after="299"/>
        <w:jc w:val="center"/>
        <w:rPr>
          <w:rFonts w:ascii="Times Roman" w:hAnsi="Times Roman"/>
          <w:b/>
          <w:bCs/>
        </w:rPr>
      </w:pPr>
      <w:r>
        <w:rPr>
          <w:rFonts w:ascii="Times Roman" w:hAnsi="Times Roman"/>
          <w:b/>
          <w:bCs/>
        </w:rPr>
        <w:t>Compliance and Strategic Value</w:t>
      </w:r>
    </w:p>
    <w:p w14:paraId="39CBEF91" w14:textId="77777777" w:rsidR="00E46866" w:rsidRDefault="00E46866" w:rsidP="00E46866">
      <w:pPr>
        <w:pStyle w:val="Default"/>
        <w:suppressAutoHyphens/>
        <w:spacing w:after="299"/>
        <w:jc w:val="center"/>
        <w:rPr>
          <w:rFonts w:ascii="Times Roman" w:hAnsi="Times Roman"/>
        </w:rPr>
      </w:pPr>
    </w:p>
    <w:p w14:paraId="5FB26AF6" w14:textId="77777777" w:rsidR="00E46866" w:rsidRDefault="00E46866" w:rsidP="00E46866">
      <w:pPr>
        <w:pStyle w:val="Default"/>
        <w:suppressAutoHyphens/>
        <w:spacing w:after="299"/>
        <w:jc w:val="center"/>
        <w:rPr>
          <w:rFonts w:ascii="Times Roman" w:hAnsi="Times Roman"/>
        </w:rPr>
      </w:pPr>
      <w:r>
        <w:rPr>
          <w:rFonts w:ascii="Times Roman" w:hAnsi="Times Roman"/>
        </w:rPr>
        <w:t>Kate Herrick</w:t>
      </w:r>
    </w:p>
    <w:p w14:paraId="5ABE3EAD" w14:textId="77777777" w:rsidR="00E46866" w:rsidRDefault="00E46866" w:rsidP="00E46866">
      <w:pPr>
        <w:pStyle w:val="Default"/>
        <w:suppressAutoHyphens/>
        <w:spacing w:after="299"/>
        <w:jc w:val="center"/>
        <w:rPr>
          <w:rFonts w:ascii="Times Roman" w:hAnsi="Times Roman"/>
        </w:rPr>
      </w:pPr>
      <w:r>
        <w:rPr>
          <w:rFonts w:ascii="Times Roman" w:hAnsi="Times Roman"/>
        </w:rPr>
        <w:t>Capella University</w:t>
      </w:r>
    </w:p>
    <w:p w14:paraId="4F774E7C" w14:textId="77777777" w:rsidR="00E46866" w:rsidRDefault="00E46866" w:rsidP="00E46866">
      <w:pPr>
        <w:pStyle w:val="Default"/>
        <w:suppressAutoHyphens/>
        <w:spacing w:after="299"/>
        <w:jc w:val="center"/>
        <w:rPr>
          <w:rFonts w:ascii="Times Roman" w:hAnsi="Times Roman"/>
        </w:rPr>
      </w:pPr>
      <w:r>
        <w:rPr>
          <w:rFonts w:ascii="Times Roman" w:hAnsi="Times Roman"/>
        </w:rPr>
        <w:t>IT-FPX 4997: Capstone I</w:t>
      </w:r>
    </w:p>
    <w:p w14:paraId="2F0ACA82" w14:textId="77777777" w:rsidR="00E46866" w:rsidRDefault="00E46866" w:rsidP="00E46866">
      <w:pPr>
        <w:pStyle w:val="Default"/>
        <w:suppressAutoHyphens/>
        <w:spacing w:after="299"/>
        <w:jc w:val="center"/>
        <w:rPr>
          <w:rFonts w:ascii="Times Roman" w:hAnsi="Times Roman"/>
        </w:rPr>
      </w:pPr>
      <w:r>
        <w:rPr>
          <w:rFonts w:ascii="Times Roman" w:hAnsi="Times Roman"/>
        </w:rPr>
        <w:t>Site Supervisor: Mike Goettl</w:t>
      </w:r>
    </w:p>
    <w:p w14:paraId="4C07A070" w14:textId="77777777" w:rsidR="00E46866" w:rsidRDefault="00E46866" w:rsidP="00E46866">
      <w:pPr>
        <w:pStyle w:val="Default"/>
        <w:suppressAutoHyphens/>
        <w:spacing w:before="0" w:after="299" w:line="240" w:lineRule="auto"/>
        <w:jc w:val="center"/>
      </w:pPr>
      <w:r>
        <w:rPr>
          <w:rFonts w:ascii="Times Roman" w:hAnsi="Times Roman"/>
        </w:rPr>
        <w:t>November 3, 2025</w:t>
      </w:r>
      <w:r>
        <w:rPr>
          <w:rFonts w:ascii="Arial Unicode MS" w:hAnsi="Arial Unicode MS"/>
          <w:sz w:val="36"/>
          <w:szCs w:val="36"/>
        </w:rPr>
        <w:br w:type="page"/>
      </w:r>
    </w:p>
    <w:p w14:paraId="5BA2BFE7" w14:textId="77777777" w:rsidR="00E46866" w:rsidRDefault="00E46866" w:rsidP="00E46866">
      <w:pPr>
        <w:pStyle w:val="Default"/>
        <w:suppressAutoHyphens/>
        <w:spacing w:before="0" w:after="299" w:line="240" w:lineRule="auto"/>
        <w:rPr>
          <w:smallCaps/>
          <w:color w:val="5A5A5A" w:themeColor="text1" w:themeTint="A5"/>
          <w:sz w:val="32"/>
          <w:szCs w:val="32"/>
        </w:rPr>
      </w:pPr>
      <w:r>
        <w:rPr>
          <w:rStyle w:val="SubtleReference"/>
          <w:sz w:val="32"/>
          <w:szCs w:val="32"/>
        </w:rPr>
        <w:lastRenderedPageBreak/>
        <w:t>Executive Summary: Project “Gateway”</w:t>
      </w:r>
    </w:p>
    <w:p w14:paraId="0DA8EB3F"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Arborwood University Cost Calculator initiative, known as the "Gateway" project, was initially conceived as a key marketing initiative aimed at substantially improving cost transparency for prospective students, with the ultimate objective of driving enrollment growth. Initial market research and financial modeling suggest that the successful implementation of a personalized cost calculator could yield revenue growth of up to $8.9 million in the first year following launch, balanced against a planned expenditure of approximately $425,000. The initiative</w:t>
      </w:r>
      <w:r>
        <w:rPr>
          <w:rFonts w:ascii="Times Roman" w:hAnsi="Times Roman" w:cs="Times New Roman"/>
          <w:rtl/>
        </w:rPr>
        <w:t>’</w:t>
      </w:r>
      <w:r>
        <w:rPr>
          <w:rFonts w:ascii="Times Roman" w:hAnsi="Times Roman"/>
        </w:rPr>
        <w:t>s original focus on revenue generation quickly pivoted, however, with the realization that the institution</w:t>
      </w:r>
      <w:r>
        <w:rPr>
          <w:rFonts w:ascii="Times Roman" w:hAnsi="Times Roman" w:cs="Times New Roman"/>
          <w:rtl/>
        </w:rPr>
        <w:t>’</w:t>
      </w:r>
      <w:r>
        <w:rPr>
          <w:rFonts w:ascii="Times Roman" w:hAnsi="Times Roman"/>
        </w:rPr>
        <w:t>s existing manual process for publishing student costs exposed it to significant legal and regulatory liabilities resulting from potentially inaccurate or misleading estimates. The project's revised focus is now to mitigate this critical regulatory and financial risk while delivering a tool expected to drive revenue growth.</w:t>
      </w:r>
    </w:p>
    <w:p w14:paraId="245579B3"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An initial review of a calculator architecture that relied on current-state manual processes revealed that it would violate the Single Source of Truth (SSOT) principle by depending on error-prone human data entry (Pang, 2014). This approach would risk puting the organization in conflict with the mandates of Federal regulations governing financial aid disclosure and cost transparency.</w:t>
      </w:r>
    </w:p>
    <w:p w14:paraId="7E2A8923" w14:textId="77777777" w:rsidR="00E46866" w:rsidRDefault="00E46866" w:rsidP="00E46866">
      <w:pPr>
        <w:pStyle w:val="Default"/>
        <w:suppressAutoHyphens/>
        <w:spacing w:before="0" w:after="240" w:line="240" w:lineRule="auto"/>
        <w:ind w:firstLine="720"/>
        <w:rPr>
          <w:rFonts w:ascii="Times Roman" w:hAnsi="Times Roman"/>
        </w:rPr>
      </w:pPr>
      <w:r>
        <w:rPr>
          <w:rFonts w:ascii="Times Roman" w:hAnsi="Times Roman"/>
        </w:rPr>
        <w:t>As a result, the initiative</w:t>
      </w:r>
      <w:r>
        <w:rPr>
          <w:rFonts w:ascii="Times Roman" w:hAnsi="Times Roman" w:cs="Times New Roman"/>
          <w:rtl/>
        </w:rPr>
        <w:t>’</w:t>
      </w:r>
      <w:r>
        <w:rPr>
          <w:rFonts w:ascii="Times Roman" w:hAnsi="Times Roman"/>
        </w:rPr>
        <w:t xml:space="preserve">s strategic objectives are threefold, reflecting its mandate of risk mitigation and market enhancement: </w:t>
      </w:r>
    </w:p>
    <w:p w14:paraId="40DBFE00" w14:textId="77777777" w:rsidR="00E46866" w:rsidRDefault="00E46866" w:rsidP="00E46866">
      <w:pPr>
        <w:pStyle w:val="Default"/>
        <w:numPr>
          <w:ilvl w:val="0"/>
          <w:numId w:val="1"/>
        </w:numPr>
        <w:suppressAutoHyphens/>
        <w:spacing w:before="0" w:after="240" w:line="240" w:lineRule="auto"/>
        <w:rPr>
          <w:rFonts w:ascii="Times Roman" w:hAnsi="Times Roman"/>
        </w:rPr>
      </w:pPr>
      <w:r>
        <w:rPr>
          <w:rFonts w:ascii="Times Roman" w:hAnsi="Times Roman"/>
        </w:rPr>
        <w:t>To achieve compliance and systemic risk mitigation by embedding a thorough and non-negotiable legal and compliance review and approval gate into the project lifecycle.</w:t>
      </w:r>
    </w:p>
    <w:p w14:paraId="52AC0A42" w14:textId="77777777" w:rsidR="00E46866" w:rsidRDefault="00E46866" w:rsidP="00E46866">
      <w:pPr>
        <w:pStyle w:val="Default"/>
        <w:numPr>
          <w:ilvl w:val="0"/>
          <w:numId w:val="1"/>
        </w:numPr>
        <w:suppressAutoHyphens/>
        <w:spacing w:before="0" w:after="240" w:line="240" w:lineRule="auto"/>
        <w:rPr>
          <w:rFonts w:ascii="Times Roman" w:hAnsi="Times Roman"/>
        </w:rPr>
      </w:pPr>
      <w:r>
        <w:rPr>
          <w:rFonts w:ascii="Times Roman" w:hAnsi="Times Roman"/>
        </w:rPr>
        <w:t>To improve equity and transparency by ensuring the delivery of accurate, personalized, and easily accessible cost data to prospective students, resulting in upgrading the overall enrollment experience and potentially increasing graduate economic mobility in keeping with the University’s mission.</w:t>
      </w:r>
    </w:p>
    <w:p w14:paraId="2D127206" w14:textId="77777777" w:rsidR="00E46866" w:rsidRDefault="00E46866" w:rsidP="00E46866">
      <w:pPr>
        <w:pStyle w:val="Default"/>
        <w:numPr>
          <w:ilvl w:val="0"/>
          <w:numId w:val="1"/>
        </w:numPr>
        <w:suppressAutoHyphens/>
        <w:spacing w:before="0" w:after="240" w:line="240" w:lineRule="auto"/>
        <w:rPr>
          <w:rFonts w:ascii="Times Roman" w:eastAsia="Times Roman" w:hAnsi="Times Roman" w:cs="Times Roman"/>
        </w:rPr>
      </w:pPr>
      <w:r>
        <w:rPr>
          <w:rFonts w:ascii="Times Roman" w:hAnsi="Times Roman"/>
        </w:rPr>
        <w:t>To establish technical modernization by eliminating technical debt through the use of a secure, scalable API integration that replaces manual file transfers with real-time data flow from the core administrative system.</w:t>
      </w:r>
    </w:p>
    <w:p w14:paraId="37AD272C" w14:textId="77777777" w:rsidR="00E46866" w:rsidRDefault="00E46866" w:rsidP="00E46866">
      <w:pPr>
        <w:pStyle w:val="Default"/>
        <w:suppressAutoHyphens/>
        <w:spacing w:before="0" w:after="240" w:line="240" w:lineRule="auto"/>
        <w:ind w:firstLine="360"/>
        <w:rPr>
          <w:rFonts w:ascii="Times Roman" w:hAnsi="Times Roman"/>
        </w:rPr>
      </w:pPr>
      <w:r>
        <w:rPr>
          <w:rFonts w:ascii="Times Roman" w:hAnsi="Times Roman"/>
        </w:rPr>
        <w:t>The "Gateway" initiative is targeted for the completion of the integration layer and its associated testing milestones at T+7 months, which specifically includes the development and data validation testing of the entire data integration. The project is scheduled to conclude with the final production deployment and operational hand-off at T+12 months, officially launching the fully compliant cost calculator component to the commercial website.</w:t>
      </w:r>
    </w:p>
    <w:p w14:paraId="08C49868" w14:textId="77777777" w:rsidR="00E46866" w:rsidRDefault="00E46866" w:rsidP="00E46866">
      <w:pPr>
        <w:rPr>
          <w:rFonts w:ascii="Times Roman" w:hAnsi="Times Roman" w:cs="Arial Unicode MS"/>
          <w:color w:val="000000"/>
          <w14:textOutline w14:w="0" w14:cap="flat" w14:cmpd="sng" w14:algn="ctr">
            <w14:noFill/>
            <w14:prstDash w14:val="solid"/>
            <w14:bevel/>
          </w14:textOutline>
        </w:rPr>
      </w:pPr>
      <w:r>
        <w:rPr>
          <w:rFonts w:ascii="Times Roman" w:hAnsi="Times Roman"/>
        </w:rPr>
        <w:br w:type="page"/>
      </w:r>
    </w:p>
    <w:p w14:paraId="791783F4" w14:textId="77777777" w:rsidR="00E46866" w:rsidRDefault="00E46866" w:rsidP="00E46866">
      <w:pPr>
        <w:pStyle w:val="Default"/>
        <w:suppressAutoHyphens/>
        <w:spacing w:before="0" w:after="281" w:line="240" w:lineRule="auto"/>
        <w:rPr>
          <w:smallCaps/>
          <w:color w:val="5A5A5A" w:themeColor="text1" w:themeTint="A5"/>
        </w:rPr>
      </w:pPr>
      <w:r>
        <w:rPr>
          <w:rStyle w:val="SubtleReference"/>
        </w:rPr>
        <w:lastRenderedPageBreak/>
        <w:t>Organization and Site Supervisor Selection</w:t>
      </w:r>
    </w:p>
    <w:p w14:paraId="162E0DFF"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project is being conducted internally within Arborwood University, a private institution dedicated to offering baccalaureate, master's, and doctoral degree programs, along with graduate certificates, in an exclusively online format. The organization's operational model relies heavily on effective digital marketing and online prospect engagement. Arborwood is heavily marketed through various digital channels, including social media and targeted ad placement, with occasional national television ad buys. The commercial website serves as the primary funnel for all enrollment activity, making the accuracy and effectiveness of its content critical to the institution's financial health and regulatory standing.</w:t>
      </w:r>
    </w:p>
    <w:p w14:paraId="7FDBA7E8"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The designated site supervisor for this project is </w:t>
      </w:r>
      <w:r>
        <w:rPr>
          <w:rFonts w:ascii="Times Roman" w:hAnsi="Times Roman"/>
          <w:lang w:val="nl-NL"/>
        </w:rPr>
        <w:t>Michael Goettl</w:t>
      </w:r>
      <w:r>
        <w:rPr>
          <w:rFonts w:ascii="Times Roman" w:hAnsi="Times Roman"/>
        </w:rPr>
        <w:t>, a director within Arborwood</w:t>
      </w:r>
      <w:r>
        <w:rPr>
          <w:rFonts w:ascii="Times Roman" w:hAnsi="Times Roman" w:cs="Times New Roman"/>
          <w:rtl/>
        </w:rPr>
        <w:t>’</w:t>
      </w:r>
      <w:r>
        <w:rPr>
          <w:rFonts w:ascii="Times Roman" w:hAnsi="Times Roman"/>
        </w:rPr>
        <w:t>s Information Technology organization who has served the institution for six years. Mr. Goettl</w:t>
      </w:r>
      <w:r>
        <w:rPr>
          <w:rFonts w:ascii="Times Roman" w:hAnsi="Times Roman" w:cs="Times New Roman"/>
          <w:rtl/>
        </w:rPr>
        <w:t>’</w:t>
      </w:r>
      <w:r>
        <w:rPr>
          <w:rFonts w:ascii="Times Roman" w:hAnsi="Times Roman"/>
        </w:rPr>
        <w:t>s specific professional experience is well-aligned with the project's success criteria, as in addition to his role in IT, he is the former business owner of Arborwood</w:t>
      </w:r>
      <w:r>
        <w:rPr>
          <w:rFonts w:ascii="Times Roman" w:hAnsi="Times Roman" w:cs="Times New Roman"/>
          <w:rtl/>
        </w:rPr>
        <w:t>’</w:t>
      </w:r>
      <w:r>
        <w:rPr>
          <w:rFonts w:ascii="Times Roman" w:hAnsi="Times Roman"/>
        </w:rPr>
        <w:t>s commercial website and all related paid media pages within the marketing sphere. The breadth of his experience has established him as an essential strategic partner. His expertise in the institution's existing web and content management structures (specifically Adobe Experience Manager) and his strategic insights into defining the project's market-driven success criteria have been, and will continue to be, crucial for navigating the organization</w:t>
      </w:r>
      <w:r>
        <w:rPr>
          <w:rFonts w:ascii="Times Roman" w:hAnsi="Times Roman" w:cs="Times New Roman"/>
          <w:rtl/>
        </w:rPr>
        <w:t>’</w:t>
      </w:r>
      <w:r>
        <w:rPr>
          <w:rFonts w:ascii="Times Roman" w:hAnsi="Times Roman"/>
        </w:rPr>
        <w:t>s political and technical landscape. Mr. Goettl</w:t>
      </w:r>
      <w:r>
        <w:rPr>
          <w:rFonts w:ascii="Times Roman" w:hAnsi="Times Roman" w:cs="Times New Roman"/>
          <w:rtl/>
        </w:rPr>
        <w:t>’</w:t>
      </w:r>
      <w:r>
        <w:rPr>
          <w:rFonts w:ascii="Times Roman" w:hAnsi="Times Roman"/>
        </w:rPr>
        <w:t>s sponsorship ensures that the project remains aligned with the university</w:t>
      </w:r>
      <w:r>
        <w:rPr>
          <w:rFonts w:ascii="Times Roman" w:hAnsi="Times Roman" w:cs="Times New Roman"/>
          <w:rtl/>
        </w:rPr>
        <w:t>’</w:t>
      </w:r>
      <w:r>
        <w:rPr>
          <w:rFonts w:ascii="Times Roman" w:hAnsi="Times Roman"/>
        </w:rPr>
        <w:t>s executive vision for digital transformation and enrollment objectives. The partnership has been characterized by a shared commitment to mitigating risk while maximizing the return on investment.</w:t>
      </w:r>
    </w:p>
    <w:p w14:paraId="28C558EF" w14:textId="77777777" w:rsidR="00E46866" w:rsidRDefault="00E46866" w:rsidP="00E46866">
      <w:pPr>
        <w:pStyle w:val="Default"/>
        <w:suppressAutoHyphens/>
        <w:spacing w:before="0" w:after="240" w:line="240" w:lineRule="auto"/>
        <w:rPr>
          <w:rFonts w:ascii="Times Roman" w:eastAsia="Times Roman" w:hAnsi="Times Roman" w:cs="Times Roman"/>
        </w:rPr>
      </w:pPr>
    </w:p>
    <w:p w14:paraId="35F180CC" w14:textId="77777777" w:rsidR="00E46866" w:rsidRDefault="00E46866" w:rsidP="00E46866">
      <w:pPr>
        <w:pStyle w:val="Default"/>
        <w:suppressAutoHyphens/>
        <w:spacing w:before="0" w:after="281" w:line="240" w:lineRule="auto"/>
        <w:rPr>
          <w:smallCaps/>
          <w:color w:val="5A5A5A" w:themeColor="text1" w:themeTint="A5"/>
        </w:rPr>
      </w:pPr>
      <w:r>
        <w:rPr>
          <w:rStyle w:val="SubtleReference"/>
        </w:rPr>
        <w:t>Environmental Scan</w:t>
      </w:r>
    </w:p>
    <w:p w14:paraId="0CE6DFE3"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organizational environment that prompted the "Gateway" initiative is defined by an increasingly competitive and saturated higher education market where institutions must differentiate themselves through both program quality and operational transparency. The marketing team at Arborwood University undertook intensive market research to identify transformative initiatives that had the potential to drive significant revenue improvements. This research successfully identified that the lack of cost transparency is a key friction point that impedes conversion rates on the commercial website.</w:t>
      </w:r>
      <w:r>
        <w:rPr>
          <w:rFonts w:ascii="Times Roman" w:eastAsia="Times Roman" w:hAnsi="Times Roman" w:cs="Times Roman"/>
        </w:rPr>
        <w:t xml:space="preserve"> </w:t>
      </w:r>
      <w:r>
        <w:rPr>
          <w:rFonts w:ascii="Times Roman" w:hAnsi="Times Roman"/>
        </w:rPr>
        <w:t>Prospective students often struggle to understand the total cost of their desired degree program, given variables such as transfer credits, coursework volume, and personalized program selection. The lack of an immediate, personalized cost estimate creates an undue burden on the enrollment process and contributes to prospect hesitation.</w:t>
      </w:r>
    </w:p>
    <w:p w14:paraId="1027CFC6"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proposed project, which is the creation of a cost calculator component to be included on the commercial website, would enable prospective students to input information relative to their personal needs and program selection and instantly obtain a customized estimate of both the financial cost and the time investment required to complete their degree.</w:t>
      </w:r>
    </w:p>
    <w:p w14:paraId="625A9D45"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key technical and systemic weakness is rooted in the current state of the commercial website</w:t>
      </w:r>
      <w:r>
        <w:rPr>
          <w:rFonts w:ascii="Times Roman" w:hAnsi="Times Roman" w:cs="Times New Roman"/>
          <w:rtl/>
        </w:rPr>
        <w:t>’</w:t>
      </w:r>
      <w:r>
        <w:rPr>
          <w:rFonts w:ascii="Times Roman" w:hAnsi="Times Roman"/>
        </w:rPr>
        <w:t xml:space="preserve">s platform, which is hosted in Adobe Experience Manager (AEM). The University’s </w:t>
      </w:r>
      <w:r>
        <w:rPr>
          <w:rFonts w:ascii="Times Roman" w:hAnsi="Times Roman"/>
        </w:rPr>
        <w:lastRenderedPageBreak/>
        <w:t>implementation of the AEM platform currently has limited integration with the core student administration system, which stores definitive and regulatory-compliant financial data. This structural gap forces the institution to rely on static content and error-prone manual updates for the financial information published to the public. Reliance on manual, non-auditable processes is the central risk and the core weakness that the "Gateway" project is designed to eliminate. The environmental need is clear: the market demands cost transparency, but the regulatory environment mandates that this transparency be provided with absolute accuracy, which the current architecture cannot guarantee.</w:t>
      </w:r>
    </w:p>
    <w:p w14:paraId="49503EB3"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p>
    <w:p w14:paraId="268242AE" w14:textId="77777777" w:rsidR="00E46866" w:rsidRDefault="00E46866" w:rsidP="00E46866">
      <w:pPr>
        <w:pStyle w:val="Default"/>
        <w:suppressAutoHyphens/>
        <w:spacing w:before="0" w:after="281" w:line="240" w:lineRule="auto"/>
        <w:rPr>
          <w:rStyle w:val="SubtleReference"/>
        </w:rPr>
      </w:pPr>
      <w:r>
        <w:rPr>
          <w:rStyle w:val="SubtleReference"/>
        </w:rPr>
        <w:t>Literature Review</w:t>
      </w:r>
    </w:p>
    <w:p w14:paraId="6E44C508" w14:textId="77777777" w:rsidR="00E46866" w:rsidRDefault="00E46866" w:rsidP="00E46866">
      <w:pPr>
        <w:pStyle w:val="Default"/>
        <w:suppressAutoHyphens/>
        <w:spacing w:before="0" w:after="240" w:line="240" w:lineRule="auto"/>
        <w:ind w:firstLine="720"/>
        <w:rPr>
          <w:rFonts w:ascii="Times Roman" w:hAnsi="Times Roman"/>
        </w:rPr>
      </w:pPr>
      <w:r>
        <w:rPr>
          <w:rFonts w:ascii="Times Roman" w:hAnsi="Times Roman"/>
        </w:rPr>
        <w:t>The project's strategy is well-grounded in academic research and established best practices across three themes: IT governance and compliance, data integrity and architectural principles, and cost transparency and equity. This ensures the solution is not only a technical fix but a comprehensive process and architectural update that normalizes an improved approach to technical development and implementation.</w:t>
      </w:r>
    </w:p>
    <w:p w14:paraId="5F47AA1B" w14:textId="77777777" w:rsidR="00E46866" w:rsidRDefault="00E46866" w:rsidP="00E46866">
      <w:pPr>
        <w:pStyle w:val="Default"/>
        <w:suppressAutoHyphens/>
        <w:spacing w:before="0" w:after="240" w:line="240" w:lineRule="auto"/>
        <w:ind w:firstLine="720"/>
        <w:rPr>
          <w:rFonts w:ascii="Times Roman" w:hAnsi="Times Roman"/>
          <w:i/>
          <w:iCs/>
        </w:rPr>
      </w:pPr>
      <w:r>
        <w:rPr>
          <w:rFonts w:ascii="Times Roman" w:hAnsi="Times Roman"/>
          <w:i/>
          <w:iCs/>
        </w:rPr>
        <w:t>Governing Risk: Formalizing Compliance Gateways in IT Projects</w:t>
      </w:r>
    </w:p>
    <w:p w14:paraId="5B55C4B8" w14:textId="77777777" w:rsidR="00E46866" w:rsidRDefault="00E46866" w:rsidP="00E46866">
      <w:pPr>
        <w:pStyle w:val="Default"/>
        <w:suppressAutoHyphens/>
        <w:spacing w:before="0" w:after="240" w:line="240" w:lineRule="auto"/>
        <w:ind w:left="720" w:firstLine="720"/>
        <w:rPr>
          <w:rFonts w:ascii="Times Roman" w:eastAsia="Times Roman" w:hAnsi="Times Roman" w:cs="Times Roman"/>
        </w:rPr>
      </w:pPr>
      <w:r>
        <w:rPr>
          <w:rFonts w:ascii="Times Roman" w:hAnsi="Times Roman"/>
        </w:rPr>
        <w:t xml:space="preserve">Research confirms that formalizing compliance is a critical element of modern IT governance, particularly in regulated industries. Frameworks such as ICOMPLY provide a strong academic and technical justification for the mandatory legal/compliance approval milestone in the Arborwood Cost Calculator project (Benabderrahmane, 2010). This framework proposes that compliance checking must be an incremental, dynamic process rather than a single, late-stage gate. Additionally, analysis of COBIT 2019 reviewed in the literature review supports the mandate for a formal compliance review </w:t>
      </w:r>
      <w:r>
        <w:rPr>
          <w:rFonts w:ascii="Times Roman" w:hAnsi="Times Roman"/>
          <w:i/>
          <w:iCs/>
        </w:rPr>
        <w:t>after</w:t>
      </w:r>
      <w:r>
        <w:rPr>
          <w:rFonts w:ascii="Times Roman" w:hAnsi="Times Roman"/>
        </w:rPr>
        <w:t xml:space="preserve"> the completion of UI/UX design, use case development, and requirements finalization to ensure that the calculator's critical use cases, financial logic, and required disclaimers are vetted against complex regulatory requirements before development begins (Huygh, 2021). This approach is a strategic necessity to avoid rework and financial penalties that could result from regulatory violations discovered late in the project lifecycle.</w:t>
      </w:r>
    </w:p>
    <w:p w14:paraId="0468AACD" w14:textId="77777777" w:rsidR="00E46866" w:rsidRDefault="00E46866" w:rsidP="00E46866">
      <w:pPr>
        <w:pStyle w:val="Default"/>
        <w:suppressAutoHyphens/>
        <w:spacing w:before="0" w:after="240" w:line="240" w:lineRule="auto"/>
        <w:ind w:left="720"/>
        <w:rPr>
          <w:rFonts w:ascii="Times Roman" w:hAnsi="Times Roman"/>
          <w:i/>
          <w:iCs/>
        </w:rPr>
      </w:pPr>
      <w:r>
        <w:rPr>
          <w:rFonts w:ascii="Times Roman" w:hAnsi="Times Roman"/>
          <w:i/>
          <w:iCs/>
        </w:rPr>
        <w:t>Data Integrity and Architectural Principles</w:t>
      </w:r>
    </w:p>
    <w:p w14:paraId="3E6D39CA" w14:textId="77777777" w:rsidR="00E46866" w:rsidRDefault="00E46866" w:rsidP="00E46866">
      <w:pPr>
        <w:pStyle w:val="Default"/>
        <w:suppressAutoHyphens/>
        <w:spacing w:before="0" w:after="240" w:line="240" w:lineRule="auto"/>
        <w:ind w:left="720" w:firstLine="720"/>
        <w:rPr>
          <w:rFonts w:ascii="Times Roman" w:eastAsia="Times Roman" w:hAnsi="Times Roman" w:cs="Times Roman"/>
        </w:rPr>
      </w:pPr>
      <w:r>
        <w:rPr>
          <w:rFonts w:ascii="Times Roman" w:hAnsi="Times Roman"/>
        </w:rPr>
        <w:t xml:space="preserve">The literature validates the decision to integrate directly with the core administrative system. Modern system architecture must prioritize direct data access to core transaction systems to prevent data errors and propagation, a goal that Arborwood’s IT organization has defined as a strategic imperative. This validation confirms the need to eliminate manual data management processes, which are the primary source of current risk. Research emphasizes the importance of a Single Source of Truth (SSOT) model for Service Oriented Architecture (SOA), providing that an organization must consolidate data access to a single repository (Acharige, 2017). This approach is critical for sensitive financial data, as it eliminates potentially conflicting data sources and ensures data </w:t>
      </w:r>
      <w:r>
        <w:rPr>
          <w:rFonts w:ascii="Times Roman" w:hAnsi="Times Roman"/>
        </w:rPr>
        <w:lastRenderedPageBreak/>
        <w:t>integrity. The proposed solution's adherence to the SSOT principle is a critical technical requirement.</w:t>
      </w:r>
    </w:p>
    <w:p w14:paraId="7F4EC083" w14:textId="77777777" w:rsidR="00E46866" w:rsidRDefault="00E46866" w:rsidP="00E46866">
      <w:pPr>
        <w:pStyle w:val="Default"/>
        <w:suppressAutoHyphens/>
        <w:spacing w:before="0" w:after="240" w:line="240" w:lineRule="auto"/>
        <w:ind w:left="720"/>
        <w:rPr>
          <w:rFonts w:ascii="Times Roman" w:hAnsi="Times Roman"/>
          <w:i/>
          <w:iCs/>
        </w:rPr>
      </w:pPr>
      <w:r>
        <w:rPr>
          <w:rFonts w:ascii="Times Roman" w:hAnsi="Times Roman"/>
          <w:i/>
          <w:iCs/>
        </w:rPr>
        <w:t>Financial Transparency and Equity</w:t>
      </w:r>
    </w:p>
    <w:p w14:paraId="0B3C6265" w14:textId="77777777" w:rsidR="00E46866" w:rsidRDefault="00E46866" w:rsidP="00E46866">
      <w:pPr>
        <w:pStyle w:val="Default"/>
        <w:suppressAutoHyphens/>
        <w:spacing w:before="0" w:after="240" w:line="240" w:lineRule="auto"/>
        <w:ind w:left="720"/>
        <w:rPr>
          <w:rFonts w:ascii="Times Roman" w:eastAsia="Times Roman" w:hAnsi="Times Roman" w:cs="Times Roman"/>
        </w:rPr>
      </w:pPr>
      <w:r>
        <w:rPr>
          <w:rFonts w:ascii="Times Roman" w:hAnsi="Times Roman"/>
        </w:rPr>
        <w:t>This research provides the strategic equity justification for the entire project. Academic work, including doctoral dissertations focused on university student behaviors, demonstrates that the lack of clear, personalized financial information disproportionately impairs the enrollment and persistence of first-generation and racial-minority students (White, 2020). This research justifies the cost calculator as a necessary tool for systemic change that removes barriers to access by offering clarity, simplicity, and personalization in cost estimates. By addressing systemic communication hurdles, the project is positioned as a policy-driven solution designed to improve economic and social mobility through education. This strategic priority aligns directly with Arborwood University's established mission and enhances its reputation as a progressive institution dedicated to equity.</w:t>
      </w:r>
    </w:p>
    <w:p w14:paraId="26977976" w14:textId="77777777" w:rsidR="00E46866" w:rsidRDefault="00E46866" w:rsidP="00E46866">
      <w:pPr>
        <w:pStyle w:val="Default"/>
        <w:suppressAutoHyphens/>
        <w:spacing w:before="0" w:line="240" w:lineRule="auto"/>
        <w:rPr>
          <w:rFonts w:ascii="Times Roman" w:eastAsia="Times Roman" w:hAnsi="Times Roman" w:cs="Times Roman"/>
          <w:color w:val="808080"/>
        </w:rPr>
      </w:pPr>
    </w:p>
    <w:p w14:paraId="1C1B6342" w14:textId="77777777" w:rsidR="00E46866" w:rsidRDefault="00E46866" w:rsidP="00E46866">
      <w:pPr>
        <w:pStyle w:val="Default"/>
        <w:suppressAutoHyphens/>
        <w:spacing w:before="0" w:after="240" w:line="240" w:lineRule="auto"/>
        <w:rPr>
          <w:rFonts w:ascii="Times Roman" w:eastAsia="Times Roman" w:hAnsi="Times Roman" w:cs="Times Roman"/>
        </w:rPr>
      </w:pPr>
    </w:p>
    <w:p w14:paraId="61BBA813" w14:textId="77777777" w:rsidR="00E46866" w:rsidRDefault="00E46866" w:rsidP="00E46866">
      <w:pPr>
        <w:pStyle w:val="Default"/>
        <w:suppressAutoHyphens/>
        <w:spacing w:before="0" w:after="281" w:line="240" w:lineRule="auto"/>
        <w:rPr>
          <w:rStyle w:val="SubtleReference"/>
        </w:rPr>
      </w:pPr>
      <w:r>
        <w:rPr>
          <w:rStyle w:val="SubtleReference"/>
        </w:rPr>
        <w:t>Solution Analysis</w:t>
      </w:r>
    </w:p>
    <w:p w14:paraId="772BDD94"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solution formally proposed for the "Gateway" initiative recognizes that the challenge is two-fold: a matter of technical execution to achieve data availability and a matter of governance risk to ensure legal compliance. The integrated solution addresses both aspects through two key components:</w:t>
      </w:r>
    </w:p>
    <w:p w14:paraId="68E0808E" w14:textId="77777777" w:rsidR="00E46866" w:rsidRDefault="00E46866" w:rsidP="00E46866">
      <w:pPr>
        <w:pStyle w:val="Default"/>
        <w:numPr>
          <w:ilvl w:val="0"/>
          <w:numId w:val="2"/>
        </w:numPr>
        <w:suppressAutoHyphens/>
        <w:spacing w:before="0" w:after="240" w:line="240" w:lineRule="auto"/>
        <w:rPr>
          <w:rFonts w:ascii="Times Roman" w:eastAsia="Times Roman" w:hAnsi="Times Roman" w:cs="Times Roman"/>
        </w:rPr>
      </w:pPr>
      <w:r>
        <w:rPr>
          <w:rFonts w:ascii="Times Roman" w:hAnsi="Times Roman"/>
        </w:rPr>
        <w:t>The first solution component is the inclusion of a mandatory, non-technical checkpoint requiring formal legal and compliance approval after requirements are defined but before any code is written. This compliance gateway serves to mitigate the risk of regulatory violations by mandating a thorough legal review of all project deliverables, including the financial logic, required disclaimers, and user experience, and formally approving them. This action effectively embeds legal approval directly into the project lifecycle, preventing costly rework or the risk of abandonment of the project altogether.</w:t>
      </w:r>
    </w:p>
    <w:p w14:paraId="07B0C94A" w14:textId="77777777" w:rsidR="00E46866" w:rsidRDefault="00E46866" w:rsidP="00E46866">
      <w:pPr>
        <w:pStyle w:val="Default"/>
        <w:numPr>
          <w:ilvl w:val="0"/>
          <w:numId w:val="2"/>
        </w:numPr>
        <w:suppressAutoHyphens/>
        <w:spacing w:before="0" w:after="240" w:line="240" w:lineRule="auto"/>
        <w:rPr>
          <w:rFonts w:ascii="Times Roman" w:eastAsia="Times Roman" w:hAnsi="Times Roman" w:cs="Times Roman"/>
        </w:rPr>
      </w:pPr>
      <w:r>
        <w:rPr>
          <w:rFonts w:ascii="Times Roman" w:hAnsi="Times Roman"/>
        </w:rPr>
        <w:t>The second solution component is the API integration layer that replaces the existing manual data entry with a direct, automated, and secure API call to the core student administration system. This system is the definitive, transaction-critical source of truth for all tuition and cost data.</w:t>
      </w:r>
    </w:p>
    <w:p w14:paraId="2426DF78" w14:textId="77777777" w:rsidR="00E46866" w:rsidRDefault="00E46866" w:rsidP="00E46866">
      <w:pPr>
        <w:pStyle w:val="Default"/>
        <w:suppressAutoHyphens/>
        <w:spacing w:before="0" w:after="240" w:line="240" w:lineRule="auto"/>
        <w:ind w:firstLine="360"/>
        <w:rPr>
          <w:rFonts w:ascii="Times Roman" w:eastAsia="Times Roman" w:hAnsi="Times Roman" w:cs="Times Roman"/>
        </w:rPr>
      </w:pPr>
      <w:r>
        <w:rPr>
          <w:rFonts w:ascii="Times Roman" w:hAnsi="Times Roman"/>
        </w:rPr>
        <w:t xml:space="preserve">The model and architecture proposed employ a microservice architecture centered around an API gateway pattern. The selection of this architecture adheres to the IT principle of Separation of Concerns (SOC), effectively isolating the user-facing front-end component from the sensitive, transaction-critical data sources held within the administrative system (Clarke, 2006). The front-end user experience will be delivered via a new component residing within the Adobe Experience Manager (AEM) content management system. The architecture is designed to enforce the Single Source of Truth (SSOT) principle, which is established as the highest-ranking </w:t>
      </w:r>
      <w:r>
        <w:rPr>
          <w:rFonts w:ascii="Times Roman" w:hAnsi="Times Roman"/>
        </w:rPr>
        <w:lastRenderedPageBreak/>
        <w:t>IT principle for this project. The SSOT model eliminates conflicting data sources, ensures data integrity, and is the technical mechanism that guarantees compliance with the financial transparency requirements of the Higher Education Act (Higher Education Act of 1965, 20 U.S.C § 1094 et seq., 2020). The recommendation is to use secure, modern API technologies to establish this real-time data flow, which keeps Arborwood's data infrastructure in line with the industry-wide trend of personalization and data that is provisioned in keeping with SSOT (Irawan, 2025).</w:t>
      </w:r>
    </w:p>
    <w:p w14:paraId="0257D24B" w14:textId="77777777" w:rsidR="00E46866" w:rsidRDefault="00E46866" w:rsidP="00E46866">
      <w:pPr>
        <w:pStyle w:val="Default"/>
        <w:suppressAutoHyphens/>
        <w:spacing w:before="0" w:line="240" w:lineRule="auto"/>
        <w:rPr>
          <w:rFonts w:ascii="Times Roman" w:eastAsia="Times Roman" w:hAnsi="Times Roman" w:cs="Times Roman"/>
          <w:color w:val="808080"/>
        </w:rPr>
      </w:pPr>
    </w:p>
    <w:p w14:paraId="7E2B3699" w14:textId="77777777" w:rsidR="00E46866" w:rsidRDefault="00E46866" w:rsidP="00E46866">
      <w:pPr>
        <w:pStyle w:val="Default"/>
        <w:suppressAutoHyphens/>
        <w:spacing w:before="0" w:after="240" w:line="240" w:lineRule="auto"/>
        <w:rPr>
          <w:rFonts w:ascii="Times Roman" w:eastAsia="Times Roman" w:hAnsi="Times Roman" w:cs="Times Roman"/>
        </w:rPr>
      </w:pPr>
    </w:p>
    <w:p w14:paraId="5ADA83FE" w14:textId="77777777" w:rsidR="00E46866" w:rsidRDefault="00E46866" w:rsidP="00E46866">
      <w:pPr>
        <w:pStyle w:val="Default"/>
        <w:suppressAutoHyphens/>
        <w:spacing w:before="0" w:after="281" w:line="240" w:lineRule="auto"/>
        <w:rPr>
          <w:smallCaps/>
          <w:color w:val="5A5A5A" w:themeColor="text1" w:themeTint="A5"/>
        </w:rPr>
      </w:pPr>
      <w:r>
        <w:rPr>
          <w:rStyle w:val="SubtleReference"/>
        </w:rPr>
        <w:t>Needs and Risk Analysis</w:t>
      </w:r>
    </w:p>
    <w:p w14:paraId="0C069426"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analysis of organizational needs confirms that the proposed solution directly addresses the institutional need for statutorily-compliant cost disclosure while simultaneously addressing the key stakeholder need for accurate, personalized cost estimates that drive the critical enrollment growth metric. The solution aligns with the university</w:t>
      </w:r>
      <w:r>
        <w:rPr>
          <w:rFonts w:ascii="Times Roman" w:hAnsi="Times Roman" w:cs="Times New Roman"/>
          <w:rtl/>
        </w:rPr>
        <w:t>’</w:t>
      </w:r>
      <w:r>
        <w:rPr>
          <w:rFonts w:ascii="Times Roman" w:hAnsi="Times Roman"/>
        </w:rPr>
        <w:t>s mission to foster economic and social mobility by providing prospective students with the necessary financial clarity to make informed decisions.</w:t>
      </w:r>
    </w:p>
    <w:p w14:paraId="736E265B"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initiative, however, faces two significant high-priority risks to its delivery and long-term viability: subject-matter expert (SME) resource constraints and the potential for data integrity failure.</w:t>
      </w:r>
    </w:p>
    <w:p w14:paraId="63C265DF"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SME resource constraint risk is driven by the fact that both the IT and marketing teams are dependent on specialized subject matter expert resources within the teams that own and manage the student administration system. There is a distinct possibility that the IT team may not be able to secure adequate bandwidth from these SMEs during the "Gateway</w:t>
      </w:r>
      <w:r>
        <w:rPr>
          <w:rFonts w:ascii="Times Roman" w:hAnsi="Times Roman" w:cs="Times New Roman"/>
          <w:rtl/>
        </w:rPr>
        <w:t>’</w:t>
      </w:r>
      <w:r>
        <w:rPr>
          <w:rFonts w:ascii="Times Roman" w:hAnsi="Times Roman"/>
        </w:rPr>
        <w:t>s" lifecycle, which would impede the crucial definition of the necessary API endpoints and the validation of data fidelity. If the data endpoints are improperly defined or validated, the integrity of the data flow could be compromised, leading directly back to the initial problem of non-compliant disclosure. This risk is actively mitigated by a mandate via executive sponsorship that secures dedicated, guaranteed time from the administrative system SMEs, forcing resource allocation to the highest priority project.</w:t>
      </w:r>
    </w:p>
    <w:p w14:paraId="33CAFCBF"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data integrity failure risk is mitigated through two mandatory technical and governance controls. First, the risk is managed by the mandatory legal/compliance approval gateway, which requires thorough vetting of all financial logic and disclaimers before development begins. Second, it is mitigated by mandatory one-hundred percent automated integration testing, which ensures the new API call successfully fetches and standardizes cost data from the core system, and that the AEM calculator component demonstrates one hundred percent functional accuracy across all tested scenarios defined in the use cases (Paygude, 2013).</w:t>
      </w:r>
    </w:p>
    <w:p w14:paraId="0D4EF1F9"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Stakeholder communication is tailored by audience and frequency to ensure transparency and accountability. The Steering Committee will receive bi-weekly briefings focused primarily on risk register updates, resource concerns, and formal sign-off requests to ensure the executive team is fully aware of and accountable for resource allocation against the critical risks </w:t>
      </w:r>
      <w:r>
        <w:rPr>
          <w:rFonts w:ascii="Times Roman" w:hAnsi="Times Roman"/>
        </w:rPr>
        <w:lastRenderedPageBreak/>
        <w:t>(Crawford, 2013). Business stakeholders and others with a vested interest in the project</w:t>
      </w:r>
      <w:r>
        <w:rPr>
          <w:rFonts w:ascii="Times Roman" w:hAnsi="Times Roman" w:cs="Times New Roman"/>
          <w:rtl/>
        </w:rPr>
        <w:t>’</w:t>
      </w:r>
      <w:r>
        <w:rPr>
          <w:rFonts w:ascii="Times Roman" w:hAnsi="Times Roman"/>
        </w:rPr>
        <w:t>s outcome will be furnished with weekly status reports that provide essential information about project health, timeline updates, deliverable status, and risk updates. Technical and development teams will hold daily meetings focused on integration, UI/UX development, and testing. This disciplined communication structure ensures the critical link between regulatory compliance and technical execution remains transparent to all leaders, providing a clear and managed path to institutional compliance.</w:t>
      </w:r>
    </w:p>
    <w:p w14:paraId="28A594FB" w14:textId="77777777" w:rsidR="00E46866" w:rsidRDefault="00E46866" w:rsidP="00E46866">
      <w:pPr>
        <w:pStyle w:val="Default"/>
        <w:suppressAutoHyphens/>
        <w:spacing w:before="0" w:after="240" w:line="240" w:lineRule="auto"/>
        <w:rPr>
          <w:rFonts w:ascii="Times Roman" w:eastAsia="Times Roman" w:hAnsi="Times Roman" w:cs="Times Roman"/>
        </w:rPr>
      </w:pPr>
    </w:p>
    <w:p w14:paraId="73512B82" w14:textId="77777777" w:rsidR="00E46866" w:rsidRDefault="00E46866" w:rsidP="00E46866">
      <w:pPr>
        <w:pStyle w:val="Default"/>
        <w:suppressAutoHyphens/>
        <w:spacing w:before="0" w:after="281" w:line="240" w:lineRule="auto"/>
        <w:rPr>
          <w:smallCaps/>
          <w:color w:val="5A5A5A" w:themeColor="text1" w:themeTint="A5"/>
        </w:rPr>
      </w:pPr>
      <w:r>
        <w:rPr>
          <w:rStyle w:val="SubtleReference"/>
        </w:rPr>
        <w:t>Legal, Ethical, and Policy Analysis</w:t>
      </w:r>
    </w:p>
    <w:p w14:paraId="0BFF21A0"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solutions designed for the "Gateway" initiative must be viewed through a lens of legal, ethical, and policy implications, as the project is inherently regulatory in nature, even though its genesis was founded in market research.</w:t>
      </w:r>
    </w:p>
    <w:p w14:paraId="55B9B34B"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From a legal standpoint, the core challenge is adherence to the Higher Education Act of 1965 and related federal regulations concerning financial aid disclosure and cost transparency. The project's current reliance on manual data entry to satisfy this disclosure creates a critical vulnerability. The proposed API integration in alignment with the SSOT model, alongside rigorous automated testing, form the technical solutions to this legal risk, ensuring that the cost information published on the commercial site is directly traceable, auditable, and compliant with all statutory requirements, significantly reducing the organization</w:t>
      </w:r>
      <w:r>
        <w:rPr>
          <w:rFonts w:ascii="Times Roman" w:hAnsi="Times Roman" w:cs="Times New Roman"/>
          <w:rtl/>
        </w:rPr>
        <w:t>’</w:t>
      </w:r>
      <w:r>
        <w:rPr>
          <w:rFonts w:ascii="Times Roman" w:hAnsi="Times Roman"/>
        </w:rPr>
        <w:t>s exposure to regulatory penalties or lawsuits stemming from financial misrepresentation. The legal review milestone is the formal mechanism for confirming compliance before the risk can materialize in the public sphere.</w:t>
      </w:r>
    </w:p>
    <w:p w14:paraId="5020189D"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The project has roots in an ethical imperative of equity and transparency. As noted in the literature review, the current lack of precise, personalized financial information disproportionately hinders the enrollment and persistence of minority and low-income students. The ethical duty of the institution, in alignment with its mission, is to remove these structural barriers. The solution, driven by the need for maximum transparency and personalization, addresses this ethical issue directly. The compliant calculator acts as a necessary tool for </w:t>
      </w:r>
      <w:r>
        <w:rPr>
          <w:rFonts w:ascii="Times Roman" w:hAnsi="Times Roman"/>
          <w:lang w:val="es-ES_tradnl"/>
        </w:rPr>
        <w:t>social equity</w:t>
      </w:r>
      <w:r>
        <w:rPr>
          <w:rFonts w:ascii="Times Roman" w:hAnsi="Times Roman"/>
        </w:rPr>
        <w:t>, empowering at-risk populations with the precise and immediate information needed to make fully informed educational decisions. This strategic alignment with the ethical commitment to foster economic mobility is a powerful justification for the project</w:t>
      </w:r>
      <w:r>
        <w:rPr>
          <w:rFonts w:ascii="Times Roman" w:hAnsi="Times Roman" w:cs="Times New Roman"/>
          <w:rtl/>
        </w:rPr>
        <w:t>’</w:t>
      </w:r>
      <w:r>
        <w:rPr>
          <w:rFonts w:ascii="Times Roman" w:hAnsi="Times Roman"/>
        </w:rPr>
        <w:t>s high priority.</w:t>
      </w:r>
    </w:p>
    <w:p w14:paraId="7A5D2D1A" w14:textId="77777777" w:rsidR="00E46866" w:rsidRDefault="00E46866" w:rsidP="00E46866">
      <w:pPr>
        <w:pStyle w:val="Default"/>
        <w:suppressAutoHyphens/>
        <w:spacing w:before="0" w:after="240" w:line="240" w:lineRule="auto"/>
        <w:ind w:firstLine="720"/>
        <w:rPr>
          <w:rFonts w:ascii="Times Roman" w:hAnsi="Times Roman"/>
          <w:lang w:val="it-IT"/>
        </w:rPr>
      </w:pPr>
      <w:r>
        <w:rPr>
          <w:rFonts w:ascii="Times Roman" w:hAnsi="Times Roman"/>
        </w:rPr>
        <w:t xml:space="preserve">The most significant process challenge is the potential conflict between the existing manual data maintenance and the new automated data flow via the API. The existing manual process, which allows different departments to maintain and publish cost data via hand-keyed content updates, is at the heart of the legal risk concerning misrepresentation and is rendered obsolete by the new automated system. This disparity creates a policy vacuum that must be proactively addressed. To mitigate this, the project should also address updates to the University’s Data Governance Policy. This revised policy must formally designate the administrative system as the Single Source of Truth (SSOT) for all tuition and cost data and establish clear ownership, validation, and maintenance processes for the new API endpoints. </w:t>
      </w:r>
      <w:r>
        <w:rPr>
          <w:rFonts w:ascii="Times Roman" w:hAnsi="Times Roman"/>
        </w:rPr>
        <w:lastRenderedPageBreak/>
        <w:t>This proactive policy revision prevents an organizational gap that could otherwise allow data errors to undermine the project's compliance goals and jeopardize the institution</w:t>
      </w:r>
      <w:r>
        <w:rPr>
          <w:rFonts w:ascii="Times Roman" w:hAnsi="Times Roman" w:cs="Times New Roman"/>
          <w:rtl/>
        </w:rPr>
        <w:t>’</w:t>
      </w:r>
      <w:r>
        <w:rPr>
          <w:rFonts w:ascii="Times Roman" w:hAnsi="Times Roman"/>
          <w:lang w:val="it-IT"/>
        </w:rPr>
        <w:t>s reputation.</w:t>
      </w:r>
    </w:p>
    <w:p w14:paraId="63983821" w14:textId="77777777" w:rsidR="00E46866" w:rsidRDefault="00E46866" w:rsidP="00E46866">
      <w:pPr>
        <w:pStyle w:val="Default"/>
        <w:suppressAutoHyphens/>
        <w:spacing w:before="0" w:after="240" w:line="240" w:lineRule="auto"/>
        <w:rPr>
          <w:rFonts w:ascii="Times Roman" w:hAnsi="Times Roman"/>
          <w:lang w:val="it-IT"/>
        </w:rPr>
      </w:pPr>
    </w:p>
    <w:p w14:paraId="61AE233A" w14:textId="77777777" w:rsidR="00E46866" w:rsidRDefault="00E46866" w:rsidP="00E46866">
      <w:pPr>
        <w:pStyle w:val="Default"/>
        <w:suppressAutoHyphens/>
        <w:spacing w:before="0" w:after="281" w:line="240" w:lineRule="auto"/>
        <w:rPr>
          <w:rStyle w:val="SubtleReference"/>
        </w:rPr>
      </w:pPr>
      <w:r>
        <w:rPr>
          <w:rStyle w:val="SubtleReference"/>
        </w:rPr>
        <w:t>Action Learning Process Summary</w:t>
      </w:r>
    </w:p>
    <w:p w14:paraId="708A4EB8"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integrated action learning process was a key element in the planning of the "Gateway" project, providing an opportunity to revisit a real-world project outside of the frantic, compressed pace of a working environment. This unique setting contributed directly to a disciplined, research-first approach. The requirement to furnish a substantive rationale beyond anecdotal evidence prompted the grounding of every major decision and architectural choice in high-quality academic and policy literature. For instance, the decision to implement the legal/compliance gate was directly substantiated by the ICOMPLY framework, while the commitment to the SSOT principle was validated by academic papers on Service Oriented Architecture (SOA).</w:t>
      </w:r>
    </w:p>
    <w:p w14:paraId="04FAE335"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The iterative process of continuous reflection and proactive stakeholder alignment proved to be a critical lesson, particularly in managing bias toward process and structure. In fact, because consideration of the project’s requirements, structure, and deliverables as part of the series of assessments was in itself an iterative process, it reinforced the need for ongoing reaffirmation of the project’s objectives and value proposition. In consultation with the site supervisor and other business owners, it was determined that ensuring the necessary governance structure could and must be viewed as a shared safeguard and a structured path to success, rather than an impediment. The key takeaway from the development of this project centered on the importance of continuous, proactive stakeholder alignment to ensure governance is accepted. This cyclical process of reflection and adjustment is the single greatest lesson that will be carried into all future planning pursuits.</w:t>
      </w:r>
    </w:p>
    <w:p w14:paraId="27EB0D32" w14:textId="77777777" w:rsidR="00E46866" w:rsidRDefault="00E46866" w:rsidP="00E46866">
      <w:pPr>
        <w:pStyle w:val="Default"/>
        <w:suppressAutoHyphens/>
        <w:spacing w:before="0" w:after="240" w:line="240" w:lineRule="auto"/>
        <w:rPr>
          <w:rFonts w:ascii="Times Roman" w:eastAsia="Times Roman" w:hAnsi="Times Roman" w:cs="Times Roman"/>
        </w:rPr>
      </w:pPr>
    </w:p>
    <w:p w14:paraId="7F65FFB1" w14:textId="77777777" w:rsidR="00E46866" w:rsidRDefault="00E46866" w:rsidP="00E46866">
      <w:pPr>
        <w:pStyle w:val="Default"/>
        <w:suppressAutoHyphens/>
        <w:spacing w:before="0" w:line="240" w:lineRule="auto"/>
        <w:rPr>
          <w:rFonts w:ascii="Times Roman" w:eastAsia="Times Roman" w:hAnsi="Times Roman" w:cs="Times Roman"/>
          <w:color w:val="808080"/>
        </w:rPr>
      </w:pPr>
    </w:p>
    <w:p w14:paraId="070F22EA" w14:textId="77777777" w:rsidR="00E46866" w:rsidRDefault="00E46866" w:rsidP="00E46866">
      <w:pPr>
        <w:pStyle w:val="Default"/>
        <w:suppressAutoHyphens/>
        <w:spacing w:before="0" w:after="281" w:line="240" w:lineRule="auto"/>
        <w:rPr>
          <w:smallCaps/>
          <w:color w:val="5A5A5A" w:themeColor="text1" w:themeTint="A5"/>
        </w:rPr>
      </w:pPr>
      <w:r>
        <w:rPr>
          <w:rStyle w:val="SubtleReference"/>
        </w:rPr>
        <w:t>Self-Assessment and Description</w:t>
      </w:r>
    </w:p>
    <w:p w14:paraId="6ABB16FD"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As an information technology professional with over 25 years in the industry and with deep experience as both a business analyst and project manager, I am well-positioned to serve the "Gateway" project by capturing and analyzing the objective to transform regulatory risk into strategic, compliant business value. Professionally, I have extensive experience across a number of highly regulated sectors, including financial services, healthcare, higher education, and insurance. This background has naturally provided a specialization in the complex intersection of IT execution and financial/regulatory compliance, an expertise directly required to successfully manage the unique risks of the "Gateway" initiative.</w:t>
      </w:r>
    </w:p>
    <w:p w14:paraId="266DD9A7"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My relevant work experience includes leading large-scale system integration and process automation projects. One such comparable project successfully automated financial data intake and data transmission to both internal and external solutions while ensuring compliance across multiple enterprise systems. This history is directly relevant to the core technical challenge at </w:t>
      </w:r>
      <w:r>
        <w:rPr>
          <w:rFonts w:ascii="Times Roman" w:hAnsi="Times Roman"/>
        </w:rPr>
        <w:lastRenderedPageBreak/>
        <w:t>Arborwood, which is replacing manual data with a reliable, real-time API integration to core administration systems that serve as the organizational source of truth. The depth of my understanding of data integration and ETL processes ensures that the API and data integration effort that forms the technical core of the "Gateway" initiative will be executed with the necessary rigor, testing, and compliance focus.</w:t>
      </w:r>
    </w:p>
    <w:p w14:paraId="5F43AB2A"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As a byproduct of my innate commitment to lifelong learning, I have a robust ability to synthesize and translate abstract concepts into concrete, executable processes and technical requirements. These skills were essential in designing the "Gateway" project plan, particularly in identifying the threat that non-compliance brought to bear on the viability of the final deliverable. This insight, leveraged with a strong project management background, was used to develop the legal milestone that follows final design, use case development, and requirements approval. Furthermore, hard-won experience in data and integration allows me to assure the effective management of the complexities of the API build, which is the project's technical core.</w:t>
      </w:r>
    </w:p>
    <w:p w14:paraId="420A5FBF"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Although I’ve worked predominantly in the Scrum and Agile development methodologies for over a decade, I retain a natural preference toward process and structure originating in the early days of my career working in the waterfall methodology. This preference can be (and sometimes is) perceived as rigidity or being risk-averse, particularly by the fast-moving and agile marketing team. To counteract this potential hindrance, I continually work to construct processes that are mostly transparent to the business, protecting technical resources from potential scope creep and project failure while maintaining an open mind toward scope adjustments. Furthermore, my seeming rigidity is counteracted by proactively engaging the business owner and framing governance structures as safeguards against reputational damage to the brand and organizational liability rather than a bureaucratic obstruction. </w:t>
      </w:r>
    </w:p>
    <w:p w14:paraId="2307F509" w14:textId="77777777" w:rsidR="00E46866" w:rsidRDefault="00E46866" w:rsidP="00E46866">
      <w:pPr>
        <w:pStyle w:val="Default"/>
        <w:suppressAutoHyphens/>
        <w:spacing w:before="0" w:after="240" w:line="240" w:lineRule="auto"/>
        <w:rPr>
          <w:rFonts w:ascii="Times Roman" w:eastAsia="Times Roman" w:hAnsi="Times Roman" w:cs="Times Roman"/>
        </w:rPr>
      </w:pPr>
    </w:p>
    <w:p w14:paraId="03501B29" w14:textId="77777777" w:rsidR="00E46866" w:rsidRDefault="00E46866" w:rsidP="00E46866">
      <w:pPr>
        <w:pStyle w:val="Default"/>
        <w:suppressAutoHyphens/>
        <w:spacing w:before="0" w:after="281" w:line="240" w:lineRule="auto"/>
        <w:rPr>
          <w:smallCaps/>
          <w:color w:val="5A5A5A" w:themeColor="text1" w:themeTint="A5"/>
        </w:rPr>
      </w:pPr>
      <w:r>
        <w:rPr>
          <w:rStyle w:val="SubtleReference"/>
        </w:rPr>
        <w:t>Reflection</w:t>
      </w:r>
    </w:p>
    <w:p w14:paraId="332EB2E9" w14:textId="77777777" w:rsidR="00E46866" w:rsidRDefault="00E46866" w:rsidP="00E46866">
      <w:pPr>
        <w:pStyle w:val="Default"/>
        <w:suppressAutoHyphens/>
        <w:spacing w:before="0" w:after="240" w:line="240" w:lineRule="auto"/>
        <w:ind w:firstLine="720"/>
        <w:rPr>
          <w:rFonts w:ascii="Times Roman" w:hAnsi="Times Roman"/>
        </w:rPr>
      </w:pPr>
      <w:r>
        <w:rPr>
          <w:rFonts w:ascii="Times Roman" w:hAnsi="Times Roman"/>
        </w:rPr>
        <w:t>The cost calculator initiative defined in this Capstone was a real-world project undertaken in the fall of 2023. The original scope of the project provided for the development of an API integration, but resource limitations prevented the effort, and the marketing team’s impetus to drive revenue growth necessitated the adoption of the existing manual data management process during the development effort. As the business analyst on the project, the review of the proposed functionality, use cases, user interface design, and other drivers of the ultimate deliverable was outside of my line of sight. Despite legal review at several checkpoints during analysis, design, and build, the project was shelved immediately upon production launch due to concerns about litigation and compliance risk. Business stakeholders did not wield enough authority to overcome legal objections, and no viable solutions were found to mitigate legal stakeholder issues. Subsequent to its completion in November 2024, API development was undertaken to include data integration, but the calculator remains in the code base, unused.</w:t>
      </w:r>
    </w:p>
    <w:p w14:paraId="21926546" w14:textId="77777777" w:rsidR="00E46866" w:rsidRDefault="00E46866" w:rsidP="00E46866">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The process of developing the "Gateway" project proposal, utilizing the integrated action learning methodology, was a unique professional development opportunity.  It permitted the retrospective construction of a project plan outside of the typical pressures of the working environment, which fostered a deep, research-first approach. While my approach to high-stakes </w:t>
      </w:r>
      <w:r>
        <w:rPr>
          <w:rFonts w:ascii="Times Roman" w:hAnsi="Times Roman"/>
        </w:rPr>
        <w:lastRenderedPageBreak/>
        <w:t>projects has been historically successful, the mandatory exploration of high-quality academic research provided valuable insight and a new rigor that was, in turn, applied to a project that, over the course of my career, was one of my biggest disappointments. The academic literature review was an enlightening process that has the potential to fundamentally inform my work over the balance of my career by providing a robust framework for evidence-based decision-making. Needless to say, it remains to be seen if such efforts also serve to inform stakeholder leadership during future initiatives.</w:t>
      </w:r>
    </w:p>
    <w:p w14:paraId="0843E3A2" w14:textId="77777777" w:rsidR="00E46866" w:rsidRDefault="00E46866" w:rsidP="00E46866">
      <w:pPr>
        <w:pStyle w:val="Default"/>
        <w:suppressAutoHyphens/>
        <w:spacing w:before="0" w:after="240" w:line="240" w:lineRule="auto"/>
        <w:ind w:firstLine="720"/>
      </w:pPr>
      <w:r>
        <w:rPr>
          <w:rFonts w:ascii="Times Roman" w:hAnsi="Times Roman"/>
        </w:rPr>
        <w:t>The ability to engage in serious contemplation and articulation of any project's implications provides the ability to focus on the larger technical architecture of the organization and the ethical obligations inherent in financial data disclosure. The most significant lesson learned in doing so retrospectively was the critical importance of continuous, proactive stakeholder alignment, which serves to ensure that necessary governance and controls are respected, are viewed as a shared safeguard against project failure rather than an organizational obstacle. The intentional effort to ground every decision in academic and policy research is an approach that would be rewarding to replicate in all of my future planning pursuits. The overall experience was invaluable to me in fostering a comprehensive understanding of risk, governance, and the ethical responsibilities of a mid-career IT leader.</w:t>
      </w:r>
    </w:p>
    <w:p w14:paraId="2F806FFB" w14:textId="77777777" w:rsidR="00E46866" w:rsidRDefault="00E46866" w:rsidP="00E46866">
      <w:r>
        <w:br w:type="page"/>
      </w:r>
    </w:p>
    <w:p w14:paraId="6D54B783" w14:textId="77777777" w:rsidR="00E46866" w:rsidRDefault="00E46866" w:rsidP="00E46866">
      <w:pPr>
        <w:jc w:val="center"/>
        <w:rPr>
          <w:rStyle w:val="SubtleReference"/>
        </w:rPr>
      </w:pPr>
      <w:r>
        <w:rPr>
          <w:rStyle w:val="SubtleReference"/>
        </w:rPr>
        <w:lastRenderedPageBreak/>
        <w:t>References</w:t>
      </w:r>
    </w:p>
    <w:p w14:paraId="661119CB"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39176EAB"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52FD5B81"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Acharige, B., Wijesundara, L., &amp; Herath, V. (2017). Real-time data processing architecture and</w:t>
      </w:r>
    </w:p>
    <w:p w14:paraId="5CAC4558"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 xml:space="preserve">framework for business intelligence. In Proceedings of the International Conference on Computing and Engineering (ICCE 2017). Retrieved from </w:t>
      </w:r>
      <w:hyperlink r:id="rId5" w:history="1">
        <w:r>
          <w:rPr>
            <w:rStyle w:val="Hyperlink"/>
            <w:color w:val="000000"/>
            <w14:textOutline w14:w="0" w14:cap="flat" w14:cmpd="sng" w14:algn="ctr">
              <w14:noFill/>
              <w14:prstDash w14:val="solid"/>
              <w14:bevel/>
            </w14:textOutline>
          </w:rPr>
          <w:t>https://ieeexplore.ieee.org/abstract/document/10220070</w:t>
        </w:r>
      </w:hyperlink>
    </w:p>
    <w:p w14:paraId="57ED26DF"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3FF9140D"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518304CC"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Benabderrahmane, R., Benouaret, Z. N., &amp; Mounir, B. H. (2010). ICOMPLY: An incremental</w:t>
      </w:r>
    </w:p>
    <w:p w14:paraId="2A5BEA4A"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and dynamic compliance checking framework for evolving software. Retrieved from https://users.encs.concordia.ca/home/a/abdelw/papers/ICOMPLY10.pdf</w:t>
      </w:r>
    </w:p>
    <w:p w14:paraId="2337ED1B"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338FDE94"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315AAF54"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Clarke, S., &amp; Walker, R.J. (2006). Separation of concerns: Techniques, issues and implications.</w:t>
      </w:r>
    </w:p>
    <w:p w14:paraId="7F050201"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 xml:space="preserve">Journal of Information Systems, 15(1-4), 153-155. </w:t>
      </w:r>
      <w:hyperlink r:id="rId6" w:history="1">
        <w:r>
          <w:rPr>
            <w:rStyle w:val="Hyperlink"/>
            <w:color w:val="000000"/>
            <w14:textOutline w14:w="0" w14:cap="flat" w14:cmpd="sng" w14:algn="ctr">
              <w14:noFill/>
              <w14:prstDash w14:val="solid"/>
              <w14:bevel/>
            </w14:textOutline>
          </w:rPr>
          <w:t>https://doi.org.10.1515</w:t>
        </w:r>
      </w:hyperlink>
      <w:r>
        <w:rPr>
          <w:color w:val="000000"/>
          <w14:textOutline w14:w="0" w14:cap="flat" w14:cmpd="sng" w14:algn="ctr">
            <w14:noFill/>
            <w14:prstDash w14:val="solid"/>
            <w14:bevel/>
          </w14:textOutline>
        </w:rPr>
        <w:br/>
      </w:r>
      <w:r>
        <w:rPr>
          <w:rStyle w:val="SubtleReference"/>
          <w:smallCaps w:val="0"/>
          <w:color w:val="000000"/>
          <w14:textOutline w14:w="0" w14:cap="flat" w14:cmpd="sng" w14:algn="ctr">
            <w14:noFill/>
            <w14:prstDash w14:val="solid"/>
            <w14:bevel/>
          </w14:textOutline>
        </w:rPr>
        <w:t>/JISYS.2006.15.1-4.153</w:t>
      </w:r>
    </w:p>
    <w:p w14:paraId="7E2ACE0E"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4B2FEC4A"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0888C0CE"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Crawford, L., &amp; Cooke, J. (2013). Exploring the role of the project sponsor. PMI Global</w:t>
      </w:r>
    </w:p>
    <w:p w14:paraId="01596439"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Congress 2013 – North America, New Orleans, LA. Project Management Institute.</w:t>
      </w:r>
    </w:p>
    <w:p w14:paraId="5D6699D3"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4428198E"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51694316"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Higher Education Act of 1965, 20 U.S.C. § 1094 et seq. (2020). Retrieved from</w:t>
      </w:r>
    </w:p>
    <w:p w14:paraId="4E3F8F6A"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https://www.law.cornell.edu/uscode/text/20/1094</w:t>
      </w:r>
    </w:p>
    <w:p w14:paraId="776DA8FA"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44F865FF"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086DC620"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lang w:val="fr-CA"/>
          <w14:textOutline w14:w="0" w14:cap="flat" w14:cmpd="sng" w14:algn="ctr">
            <w14:noFill/>
            <w14:prstDash w14:val="solid"/>
            <w14:bevel/>
          </w14:textOutline>
        </w:rPr>
        <w:t xml:space="preserve">Huygh, T., De Smedt, J., &amp; D'Haen, J. (2021). </w:t>
      </w:r>
      <w:r>
        <w:rPr>
          <w:rStyle w:val="SubtleReference"/>
          <w:smallCaps w:val="0"/>
          <w:color w:val="000000"/>
          <w14:textOutline w14:w="0" w14:cap="flat" w14:cmpd="sng" w14:algn="ctr">
            <w14:noFill/>
            <w14:prstDash w14:val="solid"/>
            <w14:bevel/>
          </w14:textOutline>
        </w:rPr>
        <w:t>The role of compliance requirements in IT</w:t>
      </w:r>
    </w:p>
    <w:p w14:paraId="76566EF9"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governance implementation: An empirical study based on COBIT 2019. ResearchGate. Retrieved from https://www.researchgate.net/profile/TimHuygh/publication/</w:t>
      </w:r>
      <w:r>
        <w:rPr>
          <w:color w:val="000000"/>
          <w14:textOutline w14:w="0" w14:cap="flat" w14:cmpd="sng" w14:algn="ctr">
            <w14:noFill/>
            <w14:prstDash w14:val="solid"/>
            <w14:bevel/>
          </w14:textOutline>
        </w:rPr>
        <w:br/>
      </w:r>
      <w:r>
        <w:rPr>
          <w:rStyle w:val="SubtleReference"/>
          <w:smallCaps w:val="0"/>
          <w:color w:val="000000"/>
          <w14:textOutline w14:w="0" w14:cap="flat" w14:cmpd="sng" w14:algn="ctr">
            <w14:noFill/>
            <w14:prstDash w14:val="solid"/>
            <w14:bevel/>
          </w14:textOutline>
        </w:rPr>
        <w:t>354718657_The_Role_of_Compliance_Requirements_in_IT_Governance_Implementation_An_Empirical_Study_Based_on_COBIT_2019/links/61498d9e519a1a381f71b992/The-Role-of-Compliance-Requirements-in-IT-Governance-Implementation-An-Empirical-Study-Based-on-COBIT-2019.pdf</w:t>
      </w:r>
    </w:p>
    <w:p w14:paraId="6CEC2CE2"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3B82BFA1"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21FE6220"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lang w:val="fr-CA"/>
          <w14:textOutline w14:w="0" w14:cap="flat" w14:cmpd="sng" w14:algn="ctr">
            <w14:noFill/>
            <w14:prstDash w14:val="solid"/>
            <w14:bevel/>
          </w14:textOutline>
        </w:rPr>
        <w:t xml:space="preserve">Paygude, P., &amp; Devale, P.R. (2013). </w:t>
      </w:r>
      <w:r>
        <w:rPr>
          <w:rStyle w:val="SubtleReference"/>
          <w:smallCaps w:val="0"/>
          <w:color w:val="000000"/>
          <w14:textOutline w14:w="0" w14:cap="flat" w14:cmpd="sng" w14:algn="ctr">
            <w14:noFill/>
            <w14:prstDash w14:val="solid"/>
            <w14:bevel/>
          </w14:textOutline>
        </w:rPr>
        <w:t>Automated data validation testing tool for improved</w:t>
      </w:r>
    </w:p>
    <w:p w14:paraId="370728E9"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software quality. International Journal of Engineering Research, 3(1), 599-603.</w:t>
      </w:r>
    </w:p>
    <w:p w14:paraId="28B950D5"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685EBB37"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154123E5"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Irawan, R. (2025). The Influence of Digital Content Personalization on Customer Engagement in</w:t>
      </w:r>
    </w:p>
    <w:p w14:paraId="7F0AC5C7"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 xml:space="preserve">E-Commerce Platforms. International Journal of World Economics, 1(3), 118-127. </w:t>
      </w:r>
      <w:hyperlink r:id="rId7" w:history="1">
        <w:r>
          <w:rPr>
            <w:rStyle w:val="Hyperlink"/>
            <w:color w:val="000000"/>
            <w14:textOutline w14:w="0" w14:cap="flat" w14:cmpd="sng" w14:algn="ctr">
              <w14:noFill/>
              <w14:prstDash w14:val="solid"/>
              <w14:bevel/>
            </w14:textOutline>
          </w:rPr>
          <w:t>https://doi.org/10.71364/ijwe.v1i3.17</w:t>
        </w:r>
      </w:hyperlink>
    </w:p>
    <w:p w14:paraId="5B526F55"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0485FC74"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2332A930"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69914F02"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lastRenderedPageBreak/>
        <w:t>Pang, C., Szafron, D. (2014). Single Source of Truth (SSOT) for Service Oriented Architecture</w:t>
      </w:r>
    </w:p>
    <w:p w14:paraId="0690DEE4"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 xml:space="preserve">(SOA). In X. Franch,  A.K. Ghose, G.A. Lewis, S. Bhiri (Eds.), Service Oriented Computing. ICSOC 2014 (Vol. 8831). Retrieved from Springer. </w:t>
      </w:r>
      <w:hyperlink r:id="rId8" w:history="1">
        <w:r>
          <w:rPr>
            <w:rStyle w:val="Hyperlink"/>
            <w:color w:val="000000"/>
            <w14:textOutline w14:w="0" w14:cap="flat" w14:cmpd="sng" w14:algn="ctr">
              <w14:noFill/>
              <w14:prstDash w14:val="solid"/>
              <w14:bevel/>
            </w14:textOutline>
          </w:rPr>
          <w:t>https://doi.org/10.1007/978-3-662-45391-9_50</w:t>
        </w:r>
      </w:hyperlink>
    </w:p>
    <w:p w14:paraId="7EC37829"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2BE5CAF6" w14:textId="77777777" w:rsidR="00E46866" w:rsidRDefault="00E46866" w:rsidP="00E46866">
      <w:pPr>
        <w:rPr>
          <w:rStyle w:val="SubtleReference"/>
          <w:smallCaps w:val="0"/>
          <w:color w:val="000000"/>
          <w14:textOutline w14:w="0" w14:cap="flat" w14:cmpd="sng" w14:algn="ctr">
            <w14:noFill/>
            <w14:prstDash w14:val="solid"/>
            <w14:bevel/>
          </w14:textOutline>
        </w:rPr>
      </w:pPr>
    </w:p>
    <w:p w14:paraId="29A801D5" w14:textId="77777777" w:rsidR="00E46866" w:rsidRDefault="00E46866" w:rsidP="00E46866">
      <w:pPr>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Vossen, J., &amp; Meijer, M. (2014). IT governance and enterprise architecture: A new approach for</w:t>
      </w:r>
    </w:p>
    <w:p w14:paraId="2D5B0047"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r>
        <w:rPr>
          <w:rStyle w:val="SubtleReference"/>
          <w:smallCaps w:val="0"/>
          <w:color w:val="000000"/>
          <w14:textOutline w14:w="0" w14:cap="flat" w14:cmpd="sng" w14:algn="ctr">
            <w14:noFill/>
            <w14:prstDash w14:val="solid"/>
            <w14:bevel/>
          </w14:textOutline>
        </w:rPr>
        <w:t>application integration and data access in higher education. Proceedings of the 20th Annual Conference of the European University Information Systems Organisation (EUNIS 2014). Retrieved from https://eunis.org/download/2014/papers/eunis2014_</w:t>
      </w:r>
      <w:r>
        <w:rPr>
          <w:color w:val="000000"/>
          <w14:textOutline w14:w="0" w14:cap="flat" w14:cmpd="sng" w14:algn="ctr">
            <w14:noFill/>
            <w14:prstDash w14:val="solid"/>
            <w14:bevel/>
          </w14:textOutline>
        </w:rPr>
        <w:br/>
      </w:r>
      <w:r>
        <w:rPr>
          <w:rStyle w:val="SubtleReference"/>
          <w:smallCaps w:val="0"/>
          <w:color w:val="000000"/>
          <w14:textOutline w14:w="0" w14:cap="flat" w14:cmpd="sng" w14:algn="ctr">
            <w14:noFill/>
            <w14:prstDash w14:val="solid"/>
            <w14:bevel/>
          </w14:textOutline>
        </w:rPr>
        <w:t>submission_71.pdf</w:t>
      </w:r>
    </w:p>
    <w:p w14:paraId="17266A9A" w14:textId="77777777" w:rsidR="00E46866" w:rsidRDefault="00E46866" w:rsidP="00E46866">
      <w:pPr>
        <w:ind w:left="720"/>
        <w:rPr>
          <w:rStyle w:val="SubtleReference"/>
          <w:smallCaps w:val="0"/>
          <w:color w:val="000000"/>
          <w14:textOutline w14:w="0" w14:cap="flat" w14:cmpd="sng" w14:algn="ctr">
            <w14:noFill/>
            <w14:prstDash w14:val="solid"/>
            <w14:bevel/>
          </w14:textOutline>
        </w:rPr>
      </w:pPr>
    </w:p>
    <w:p w14:paraId="521EF335" w14:textId="77777777" w:rsidR="008A73F3" w:rsidRDefault="008A73F3"/>
    <w:sectPr w:rsidR="008A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 w:name="Times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C3841"/>
    <w:multiLevelType w:val="hybridMultilevel"/>
    <w:tmpl w:val="918AD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C8533A2"/>
    <w:multiLevelType w:val="hybridMultilevel"/>
    <w:tmpl w:val="1B3C5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49059003">
    <w:abstractNumId w:val="0"/>
    <w:lvlOverride w:ilvl="0"/>
    <w:lvlOverride w:ilvl="1"/>
    <w:lvlOverride w:ilvl="2"/>
    <w:lvlOverride w:ilvl="3"/>
    <w:lvlOverride w:ilvl="4"/>
    <w:lvlOverride w:ilvl="5"/>
    <w:lvlOverride w:ilvl="6"/>
    <w:lvlOverride w:ilvl="7"/>
    <w:lvlOverride w:ilvl="8"/>
  </w:num>
  <w:num w:numId="2" w16cid:durableId="171638897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66"/>
    <w:rsid w:val="00462A5C"/>
    <w:rsid w:val="008A73F3"/>
    <w:rsid w:val="00D40005"/>
    <w:rsid w:val="00E46866"/>
    <w:rsid w:val="00F8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6D6A5D"/>
  <w15:chartTrackingRefBased/>
  <w15:docId w15:val="{E12DA72C-DC9E-443B-8110-47C733B2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866"/>
    <w:pPr>
      <w:spacing w:after="0" w:line="240" w:lineRule="auto"/>
    </w:pPr>
    <w:rPr>
      <w:rFonts w:ascii="Times New Roman" w:eastAsia="Arial Unicode MS" w:hAnsi="Times New Roman" w:cs="Times New Roman"/>
      <w:kern w:val="0"/>
      <w14:ligatures w14:val="none"/>
    </w:rPr>
  </w:style>
  <w:style w:type="paragraph" w:styleId="Heading1">
    <w:name w:val="heading 1"/>
    <w:basedOn w:val="Normal"/>
    <w:next w:val="Normal"/>
    <w:link w:val="Heading1Char"/>
    <w:uiPriority w:val="9"/>
    <w:qFormat/>
    <w:rsid w:val="00E46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66"/>
    <w:rPr>
      <w:rFonts w:eastAsiaTheme="majorEastAsia" w:cstheme="majorBidi"/>
      <w:color w:val="272727" w:themeColor="text1" w:themeTint="D8"/>
    </w:rPr>
  </w:style>
  <w:style w:type="paragraph" w:styleId="Title">
    <w:name w:val="Title"/>
    <w:basedOn w:val="Normal"/>
    <w:next w:val="Normal"/>
    <w:link w:val="TitleChar"/>
    <w:uiPriority w:val="10"/>
    <w:qFormat/>
    <w:rsid w:val="00E468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66"/>
    <w:pPr>
      <w:spacing w:before="160"/>
      <w:jc w:val="center"/>
    </w:pPr>
    <w:rPr>
      <w:i/>
      <w:iCs/>
      <w:color w:val="404040" w:themeColor="text1" w:themeTint="BF"/>
    </w:rPr>
  </w:style>
  <w:style w:type="character" w:customStyle="1" w:styleId="QuoteChar">
    <w:name w:val="Quote Char"/>
    <w:basedOn w:val="DefaultParagraphFont"/>
    <w:link w:val="Quote"/>
    <w:uiPriority w:val="29"/>
    <w:rsid w:val="00E46866"/>
    <w:rPr>
      <w:i/>
      <w:iCs/>
      <w:color w:val="404040" w:themeColor="text1" w:themeTint="BF"/>
    </w:rPr>
  </w:style>
  <w:style w:type="paragraph" w:styleId="ListParagraph">
    <w:name w:val="List Paragraph"/>
    <w:basedOn w:val="Normal"/>
    <w:uiPriority w:val="34"/>
    <w:qFormat/>
    <w:rsid w:val="00E46866"/>
    <w:pPr>
      <w:ind w:left="720"/>
      <w:contextualSpacing/>
    </w:pPr>
  </w:style>
  <w:style w:type="character" w:styleId="IntenseEmphasis">
    <w:name w:val="Intense Emphasis"/>
    <w:basedOn w:val="DefaultParagraphFont"/>
    <w:uiPriority w:val="21"/>
    <w:qFormat/>
    <w:rsid w:val="00E46866"/>
    <w:rPr>
      <w:i/>
      <w:iCs/>
      <w:color w:val="0F4761" w:themeColor="accent1" w:themeShade="BF"/>
    </w:rPr>
  </w:style>
  <w:style w:type="paragraph" w:styleId="IntenseQuote">
    <w:name w:val="Intense Quote"/>
    <w:basedOn w:val="Normal"/>
    <w:next w:val="Normal"/>
    <w:link w:val="IntenseQuoteChar"/>
    <w:uiPriority w:val="30"/>
    <w:qFormat/>
    <w:rsid w:val="00E46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66"/>
    <w:rPr>
      <w:i/>
      <w:iCs/>
      <w:color w:val="0F4761" w:themeColor="accent1" w:themeShade="BF"/>
    </w:rPr>
  </w:style>
  <w:style w:type="character" w:styleId="IntenseReference">
    <w:name w:val="Intense Reference"/>
    <w:basedOn w:val="DefaultParagraphFont"/>
    <w:uiPriority w:val="32"/>
    <w:qFormat/>
    <w:rsid w:val="00E46866"/>
    <w:rPr>
      <w:b/>
      <w:bCs/>
      <w:smallCaps/>
      <w:color w:val="0F4761" w:themeColor="accent1" w:themeShade="BF"/>
      <w:spacing w:val="5"/>
    </w:rPr>
  </w:style>
  <w:style w:type="character" w:styleId="Hyperlink">
    <w:name w:val="Hyperlink"/>
    <w:semiHidden/>
    <w:unhideWhenUsed/>
    <w:rsid w:val="00E46866"/>
    <w:rPr>
      <w:u w:val="single"/>
    </w:rPr>
  </w:style>
  <w:style w:type="paragraph" w:customStyle="1" w:styleId="Default">
    <w:name w:val="Default"/>
    <w:rsid w:val="00E46866"/>
    <w:pPr>
      <w:spacing w:before="160" w:after="0" w:line="288" w:lineRule="auto"/>
    </w:pPr>
    <w:rPr>
      <w:rFonts w:ascii="Helvetica Neue" w:eastAsia="Arial Unicode MS" w:hAnsi="Helvetica Neue" w:cs="Arial Unicode MS"/>
      <w:color w:val="000000"/>
      <w:kern w:val="0"/>
      <w14:textOutline w14:w="0" w14:cap="flat" w14:cmpd="sng" w14:algn="ctr">
        <w14:noFill/>
        <w14:prstDash w14:val="solid"/>
        <w14:bevel/>
      </w14:textOutline>
      <w14:ligatures w14:val="none"/>
    </w:rPr>
  </w:style>
  <w:style w:type="character" w:styleId="SubtleReference">
    <w:name w:val="Subtle Reference"/>
    <w:basedOn w:val="DefaultParagraphFont"/>
    <w:uiPriority w:val="31"/>
    <w:qFormat/>
    <w:rsid w:val="00E4686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662-45391-9_50" TargetMode="External"/><Relationship Id="rId3" Type="http://schemas.openxmlformats.org/officeDocument/2006/relationships/settings" Target="settings.xml"/><Relationship Id="rId7" Type="http://schemas.openxmlformats.org/officeDocument/2006/relationships/hyperlink" Target="https://doi.org/10.71364/ijwe.v1i3.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515" TargetMode="External"/><Relationship Id="rId5" Type="http://schemas.openxmlformats.org/officeDocument/2006/relationships/hyperlink" Target="https://ieeexplore.ieee.org/abstract/document/1022007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4064</Words>
  <Characters>25526</Characters>
  <Application>Microsoft Office Word</Application>
  <DocSecurity>0</DocSecurity>
  <Lines>405</Lines>
  <Paragraphs>93</Paragraphs>
  <ScaleCrop>false</ScaleCrop>
  <Company/>
  <LinksUpToDate>false</LinksUpToDate>
  <CharactersWithSpaces>29497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cp:revision>
  <dcterms:created xsi:type="dcterms:W3CDTF">2025-11-03T19:24:00Z</dcterms:created>
  <dcterms:modified xsi:type="dcterms:W3CDTF">2025-11-03T19:25:00Z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c948a5f3-0cda-4a93-9c8b-bf0f6a6df790</vt:lpwstr>
  </property>
</Properties>
</file>