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0689"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5EE1783B"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0ACE4DB2"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27876C79"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11592A63" w14:textId="4BEAC7DD"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b/>
          <w:bCs/>
          <w:color w:val="000000"/>
          <w:kern w:val="0"/>
          <w14:textOutline w14:w="0" w14:cap="flat" w14:cmpd="sng" w14:algn="ctr">
            <w14:noFill/>
            <w14:prstDash w14:val="solid"/>
            <w14:bevel/>
          </w14:textOutline>
          <w14:ligatures w14:val="none"/>
        </w:rPr>
        <w:t xml:space="preserve">The </w:t>
      </w:r>
      <w:r w:rsidR="000B1209">
        <w:rPr>
          <w:rFonts w:ascii="Times Roman" w:eastAsia="Arial Unicode MS" w:hAnsi="Times Roman" w:cs="Arial Unicode MS"/>
          <w:b/>
          <w:bCs/>
          <w:color w:val="000000"/>
          <w:kern w:val="0"/>
          <w14:textOutline w14:w="0" w14:cap="flat" w14:cmpd="sng" w14:algn="ctr">
            <w14:noFill/>
            <w14:prstDash w14:val="solid"/>
            <w14:bevel/>
          </w14:textOutline>
          <w14:ligatures w14:val="none"/>
        </w:rPr>
        <w:t>Seedling Initiative</w:t>
      </w:r>
      <w:r w:rsidRPr="008F5605">
        <w:rPr>
          <w:rFonts w:ascii="Times Roman" w:eastAsia="Arial Unicode MS" w:hAnsi="Times Roman" w:cs="Arial Unicode MS"/>
          <w:b/>
          <w:bCs/>
          <w:color w:val="000000"/>
          <w:kern w:val="0"/>
          <w14:textOutline w14:w="0" w14:cap="flat" w14:cmpd="sng" w14:algn="ctr">
            <w14:noFill/>
            <w14:prstDash w14:val="solid"/>
            <w14:bevel/>
          </w14:textOutline>
          <w14:ligatures w14:val="none"/>
        </w:rPr>
        <w:t>:</w:t>
      </w:r>
    </w:p>
    <w:p w14:paraId="24BBD5EF" w14:textId="4155542C" w:rsidR="008F5605" w:rsidRPr="008F5605" w:rsidRDefault="000B1209"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Pr>
          <w:rFonts w:ascii="Times Roman" w:eastAsia="Arial Unicode MS" w:hAnsi="Times Roman" w:cs="Arial Unicode MS"/>
          <w:b/>
          <w:bCs/>
          <w:color w:val="000000"/>
          <w:kern w:val="0"/>
          <w14:textOutline w14:w="0" w14:cap="flat" w14:cmpd="sng" w14:algn="ctr">
            <w14:noFill/>
            <w14:prstDash w14:val="solid"/>
            <w14:bevel/>
          </w14:textOutline>
          <w14:ligatures w14:val="none"/>
        </w:rPr>
        <w:t>A Comprehensive Analysis of Strategic Transformation</w:t>
      </w:r>
    </w:p>
    <w:p w14:paraId="550AED9E"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p>
    <w:p w14:paraId="1F4A9E4B"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Kate Herrick</w:t>
      </w:r>
    </w:p>
    <w:p w14:paraId="0CA75933"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Capella University</w:t>
      </w:r>
    </w:p>
    <w:p w14:paraId="0B15A49D" w14:textId="1F50E10E"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IT-FPX 499</w:t>
      </w:r>
      <w:r w:rsidR="000B1209">
        <w:rPr>
          <w:rFonts w:ascii="Times Roman" w:eastAsia="Arial Unicode MS" w:hAnsi="Times Roman" w:cs="Arial Unicode MS"/>
          <w:color w:val="000000"/>
          <w:kern w:val="0"/>
          <w14:textOutline w14:w="0" w14:cap="flat" w14:cmpd="sng" w14:algn="ctr">
            <w14:noFill/>
            <w14:prstDash w14:val="solid"/>
            <w14:bevel/>
          </w14:textOutline>
          <w14:ligatures w14:val="none"/>
        </w:rPr>
        <w:t>8</w:t>
      </w: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 Capstone I</w:t>
      </w:r>
      <w:r w:rsidR="000B1209">
        <w:rPr>
          <w:rFonts w:ascii="Times Roman" w:eastAsia="Arial Unicode MS" w:hAnsi="Times Roman" w:cs="Arial Unicode MS"/>
          <w:color w:val="000000"/>
          <w:kern w:val="0"/>
          <w14:textOutline w14:w="0" w14:cap="flat" w14:cmpd="sng" w14:algn="ctr">
            <w14:noFill/>
            <w14:prstDash w14:val="solid"/>
            <w14:bevel/>
          </w14:textOutline>
          <w14:ligatures w14:val="none"/>
        </w:rPr>
        <w:t>I</w:t>
      </w:r>
    </w:p>
    <w:p w14:paraId="5858DF85" w14:textId="08055ABD"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 xml:space="preserve">Site Supervisor: </w:t>
      </w:r>
      <w:r w:rsidR="000B1209">
        <w:rPr>
          <w:rFonts w:ascii="Times Roman" w:eastAsia="Arial Unicode MS" w:hAnsi="Times Roman" w:cs="Arial Unicode MS"/>
          <w:color w:val="000000"/>
          <w:kern w:val="0"/>
          <w14:textOutline w14:w="0" w14:cap="flat" w14:cmpd="sng" w14:algn="ctr">
            <w14:noFill/>
            <w14:prstDash w14:val="solid"/>
            <w14:bevel/>
          </w14:textOutline>
          <w14:ligatures w14:val="none"/>
        </w:rPr>
        <w:t>Angela Baughman</w:t>
      </w:r>
    </w:p>
    <w:p w14:paraId="6483CBE7" w14:textId="52842193" w:rsidR="008F5605" w:rsidRPr="008F5605" w:rsidRDefault="008F5605" w:rsidP="008F5605">
      <w:pPr>
        <w:suppressAutoHyphens/>
        <w:spacing w:after="299" w:line="240" w:lineRule="auto"/>
        <w:jc w:val="center"/>
        <w:rPr>
          <w:rFonts w:ascii="Helvetica Neue" w:eastAsia="Arial Unicode MS" w:hAnsi="Helvetica Neue"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Novembe</w:t>
      </w:r>
      <w:r w:rsidR="000B1209">
        <w:rPr>
          <w:rFonts w:ascii="Times Roman" w:eastAsia="Arial Unicode MS" w:hAnsi="Times Roman" w:cs="Arial Unicode MS"/>
          <w:color w:val="000000"/>
          <w:kern w:val="0"/>
          <w14:textOutline w14:w="0" w14:cap="flat" w14:cmpd="sng" w14:algn="ctr">
            <w14:noFill/>
            <w14:prstDash w14:val="solid"/>
            <w14:bevel/>
          </w14:textOutline>
          <w14:ligatures w14:val="none"/>
        </w:rPr>
        <w:t>r 16</w:t>
      </w: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 2025</w:t>
      </w:r>
      <w:r w:rsidRPr="008F5605">
        <w:rPr>
          <w:rFonts w:ascii="Arial Unicode MS" w:eastAsia="Arial Unicode MS" w:hAnsi="Arial Unicode MS" w:cs="Arial Unicode MS"/>
          <w:color w:val="000000"/>
          <w:kern w:val="0"/>
          <w:sz w:val="36"/>
          <w:szCs w:val="36"/>
          <w14:textOutline w14:w="0" w14:cap="flat" w14:cmpd="sng" w14:algn="ctr">
            <w14:noFill/>
            <w14:prstDash w14:val="solid"/>
            <w14:bevel/>
          </w14:textOutline>
          <w14:ligatures w14:val="none"/>
        </w:rPr>
        <w:br w:type="page"/>
      </w:r>
    </w:p>
    <w:p w14:paraId="2F324DE9" w14:textId="32034AAD" w:rsidR="008F5605" w:rsidRPr="008F5605" w:rsidRDefault="008F5605" w:rsidP="008F5605">
      <w:pPr>
        <w:suppressAutoHyphens/>
        <w:spacing w:after="299"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lastRenderedPageBreak/>
        <w:t>Solutions Analysis</w:t>
      </w:r>
    </w:p>
    <w:p w14:paraId="37E3BA30" w14:textId="41AF05B3"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w:t>
      </w:r>
      <w:r w:rsidR="0012097D">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 Financial digital balance sheet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initiative (the “</w:t>
      </w:r>
      <w:r w:rsidR="0012097D">
        <w:rPr>
          <w:rFonts w:ascii="Times New Roman" w:eastAsia="Arial Unicode MS" w:hAnsi="Times New Roman" w:cs="Times New Roman"/>
          <w:color w:val="000000"/>
          <w:kern w:val="0"/>
          <w14:textOutline w14:w="0" w14:cap="flat" w14:cmpd="sng" w14:algn="ctr">
            <w14:noFill/>
            <w14:prstDash w14:val="solid"/>
            <w14:bevel/>
          </w14:textOutline>
          <w14:ligatures w14:val="none"/>
        </w:rPr>
        <w:t>Seedling</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project) aims to </w:t>
      </w:r>
      <w:r w:rsidR="00FF556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dramatically transform the process by which client financial health is evaluated and the </w:t>
      </w:r>
      <w:r w:rsidR="001E24D1">
        <w:rPr>
          <w:rFonts w:ascii="Times New Roman" w:eastAsia="Arial Unicode MS" w:hAnsi="Times New Roman" w:cs="Times New Roman"/>
          <w:color w:val="000000"/>
          <w:kern w:val="0"/>
          <w14:textOutline w14:w="0" w14:cap="flat" w14:cmpd="sng" w14:algn="ctr">
            <w14:noFill/>
            <w14:prstDash w14:val="solid"/>
            <w14:bevel/>
          </w14:textOutline>
          <w14:ligatures w14:val="none"/>
        </w:rPr>
        <w:t>organization’s portfolio is analyzed. Th</w:t>
      </w:r>
      <w:r w:rsidR="002639B2">
        <w:rPr>
          <w:rFonts w:ascii="Times New Roman" w:eastAsia="Arial Unicode MS" w:hAnsi="Times New Roman" w:cs="Times New Roman"/>
          <w:color w:val="000000"/>
          <w:kern w:val="0"/>
          <w14:textOutline w14:w="0" w14:cap="flat" w14:cmpd="sng" w14:algn="ctr">
            <w14:noFill/>
            <w14:prstDash w14:val="solid"/>
            <w14:bevel/>
          </w14:textOutline>
          <w14:ligatures w14:val="none"/>
        </w:rPr>
        <w:t>e existing</w:t>
      </w:r>
      <w:r w:rsidR="007F7BE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paper-based</w:t>
      </w:r>
      <w:r w:rsidR="002639B2">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process, which requires intensive staff manual labor during the last three weeks of each January</w:t>
      </w:r>
      <w:r w:rsidR="00C67E7C">
        <w:rPr>
          <w:rFonts w:ascii="Times New Roman" w:eastAsia="Arial Unicode MS" w:hAnsi="Times New Roman" w:cs="Times New Roman"/>
          <w:color w:val="000000"/>
          <w:kern w:val="0"/>
          <w14:textOutline w14:w="0" w14:cap="flat" w14:cmpd="sng" w14:algn="ctr">
            <w14:noFill/>
            <w14:prstDash w14:val="solid"/>
            <w14:bevel/>
          </w14:textOutline>
          <w14:ligatures w14:val="none"/>
        </w:rPr>
        <w:t>, is costly, inefficient, and prone to error.</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C67E7C">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During an earlier project, Greenfield developed a client portal using the website development functionality </w:t>
      </w:r>
      <w:r w:rsidR="009655E5">
        <w:rPr>
          <w:rFonts w:ascii="Times New Roman" w:eastAsia="Arial Unicode MS" w:hAnsi="Times New Roman" w:cs="Times New Roman"/>
          <w:color w:val="000000"/>
          <w:kern w:val="0"/>
          <w14:textOutline w14:w="0" w14:cap="flat" w14:cmpd="sng" w14:algn="ctr">
            <w14:noFill/>
            <w14:prstDash w14:val="solid"/>
            <w14:bevel/>
          </w14:textOutline>
          <w14:ligatures w14:val="none"/>
        </w:rPr>
        <w:t>native to</w:t>
      </w:r>
      <w:r w:rsidR="00C67E7C">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Salesforce, the organization’s system of record. </w:t>
      </w:r>
      <w:r w:rsidR="007F7BE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organization</w:t>
      </w:r>
      <w:r w:rsidR="007F7BE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would like to extend the portal’s functionality so that client-shareholders have the ability to input balance sheet data in a digital format that can, in turn, become part of the organization’s existing data pipeline. Realization of this effort would produce substantial cost savings against a current annual expense of over $3 million, but would also radically improve the work/life balance of staff that has been pressed into service annually to manage the data entry.  However, </w:t>
      </w:r>
      <w:r w:rsidR="0052414F">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potential gains to be realized by the project’s deliverables are predicated on adequate utilization of the client portal, which currently has a very low adoption rate. Additionally, subject matter experts are needed to support data mapping and validation efforts as part of the project; executive leadership must secure and defend SME bandwidth for dedication to the project or risk its failure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p>
    <w:p w14:paraId="366A9569"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Proposed Solutions and Architecture</w:t>
      </w:r>
    </w:p>
    <w:p w14:paraId="31F2AC0C" w14:textId="43393212"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solution to </w:t>
      </w:r>
      <w:r w:rsidR="00D2129E">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expensive, annoying, and error-prone balance sheet process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requires recognition that the challenge </w:t>
      </w:r>
      <w:r w:rsidR="00040253">
        <w:rPr>
          <w:rFonts w:ascii="Times New Roman" w:eastAsia="Arial Unicode MS" w:hAnsi="Times New Roman" w:cs="Times New Roman"/>
          <w:color w:val="000000"/>
          <w:kern w:val="0"/>
          <w14:textOutline w14:w="0" w14:cap="flat" w14:cmpd="sng" w14:algn="ctr">
            <w14:noFill/>
            <w14:prstDash w14:val="solid"/>
            <w14:bevel/>
          </w14:textOutline>
          <w14:ligatures w14:val="none"/>
        </w:rPr>
        <w:t>begins with client adoption of technical solutions. While consulting regarding the technical viability of a digital means by which clients could submit balance sheet data and recognizing that a platform already existed to permit such submission, it was determined that the adoption rate of the existing tool needed to dramatically increase to make the project’s outcome viable.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A839C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With an adequate level of participation secured, the project’s </w:t>
      </w:r>
      <w:r w:rsidR="00DE626D">
        <w:rPr>
          <w:rFonts w:ascii="Times New Roman" w:eastAsia="Arial Unicode MS" w:hAnsi="Times New Roman" w:cs="Times New Roman"/>
          <w:color w:val="000000"/>
          <w:kern w:val="0"/>
          <w14:textOutline w14:w="0" w14:cap="flat" w14:cmpd="sng" w14:algn="ctr">
            <w14:noFill/>
            <w14:prstDash w14:val="solid"/>
            <w14:bevel/>
          </w14:textOutline>
          <w14:ligatures w14:val="none"/>
        </w:rPr>
        <w:t>objectives</w:t>
      </w:r>
      <w:r w:rsidR="00A839C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are clear and, while complex, very straightforward: a user-friendly means of balance sheet submission built atop </w:t>
      </w:r>
      <w:r w:rsidR="005B7C2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Greenfield’s </w:t>
      </w:r>
      <w:r w:rsidR="00BD5FFD">
        <w:rPr>
          <w:rFonts w:ascii="Times New Roman" w:eastAsia="Arial Unicode MS" w:hAnsi="Times New Roman" w:cs="Times New Roman"/>
          <w:color w:val="000000"/>
          <w:kern w:val="0"/>
          <w14:textOutline w14:w="0" w14:cap="flat" w14:cmpd="sng" w14:algn="ctr">
            <w14:noFill/>
            <w14:prstDash w14:val="solid"/>
            <w14:bevel/>
          </w14:textOutline>
          <w14:ligatures w14:val="none"/>
        </w:rPr>
        <w:t>IT</w:t>
      </w:r>
      <w:r w:rsidR="00A839C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architecture that will, in turn, leverage existing ETL processes to move the acquired data to downstream data repositories.</w:t>
      </w:r>
    </w:p>
    <w:p w14:paraId="45BF061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Model and Architecture</w:t>
      </w:r>
    </w:p>
    <w:p w14:paraId="4C59E0B2" w14:textId="71484DF6"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proposed architectural model </w:t>
      </w:r>
      <w:r w:rsidR="00F34C3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provides storage of balance sheet data alongside all existing client data in Greenfield’s system of record, Salesforce, providing a unified view of client financial information alongside credit, demographic, asset, and other information. The solution </w:t>
      </w:r>
      <w:r w:rsidR="00A839CB">
        <w:rPr>
          <w:rFonts w:ascii="Times New Roman" w:eastAsia="Arial Unicode MS" w:hAnsi="Times New Roman" w:cs="Times New Roman"/>
          <w:color w:val="000000"/>
          <w:kern w:val="0"/>
          <w14:textOutline w14:w="0" w14:cap="flat" w14:cmpd="sng" w14:algn="ctr">
            <w14:noFill/>
            <w14:prstDash w14:val="solid"/>
            <w14:bevel/>
          </w14:textOutline>
          <w14:ligatures w14:val="none"/>
        </w:rPr>
        <w:t>leverages existing ETL batch jobs to transfer data</w:t>
      </w:r>
      <w:r w:rsidR="00F34C3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to downstream repositories before eventually making its way to </w:t>
      </w:r>
      <w:proofErr w:type="spellStart"/>
      <w:r w:rsidR="00F34C35">
        <w:rPr>
          <w:rFonts w:ascii="Times New Roman" w:eastAsia="Arial Unicode MS" w:hAnsi="Times New Roman" w:cs="Times New Roman"/>
          <w:color w:val="000000"/>
          <w:kern w:val="0"/>
          <w14:textOutline w14:w="0" w14:cap="flat" w14:cmpd="sng" w14:algn="ctr">
            <w14:noFill/>
            <w14:prstDash w14:val="solid"/>
            <w14:bevel/>
          </w14:textOutline>
          <w14:ligatures w14:val="none"/>
        </w:rPr>
        <w:t>AgriBank’s</w:t>
      </w:r>
      <w:proofErr w:type="spellEnd"/>
      <w:r w:rsidR="00F34C3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core banking system, its ultimate resting place.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This architecture ensures the Single Source of Truth (SSOT) principle is maintained and enables enforcement of the Principle of Least Privilege (PLP), guaranteeing </w:t>
      </w:r>
      <w:r w:rsidR="00F705EC">
        <w:rPr>
          <w:rFonts w:ascii="Times New Roman" w:eastAsia="Arial Unicode MS" w:hAnsi="Times New Roman" w:cs="Times New Roman"/>
          <w:color w:val="000000"/>
          <w:kern w:val="0"/>
          <w14:textOutline w14:w="0" w14:cap="flat" w14:cmpd="sng" w14:algn="ctr">
            <w14:noFill/>
            <w14:prstDash w14:val="solid"/>
            <w14:bevel/>
          </w14:textOutline>
          <w14:ligatures w14:val="none"/>
        </w:rPr>
        <w:t>data accessibility and security adheres to Greenfield’s already robust data management policies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while constraining access to only required data (Pang, 2014). </w:t>
      </w:r>
    </w:p>
    <w:p w14:paraId="24336442" w14:textId="77777777" w:rsidR="00583702" w:rsidRDefault="00583702"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p>
    <w:p w14:paraId="4B3D1583" w14:textId="77777777" w:rsidR="00583702" w:rsidRDefault="00583702"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p>
    <w:p w14:paraId="2F0DF0EB" w14:textId="629A0EF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lastRenderedPageBreak/>
        <w:t>Technology Recommendation and Principles</w:t>
      </w:r>
    </w:p>
    <w:p w14:paraId="44E0428F" w14:textId="7B515726" w:rsid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recommendation</w:t>
      </w:r>
      <w:r w:rsidR="0037172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for the solution is bifurcated into </w:t>
      </w:r>
      <w:r w:rsidR="0014374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w:t>
      </w:r>
      <w:r w:rsidR="00974694">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development of a point of ingress via the client portal and the modification of existing ETL jobs to transmit the resulting data through Greenfield’s existing data pipeline.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p>
    <w:p w14:paraId="608E0EC7" w14:textId="6ACB2A0C" w:rsidR="006E6BCB" w:rsidRPr="001F0E3B" w:rsidRDefault="006E6BCB" w:rsidP="006E6BCB">
      <w:pPr>
        <w:suppressAutoHyphens/>
        <w:spacing w:after="240" w:line="240" w:lineRule="auto"/>
        <w:rPr>
          <w:rStyle w:val="SubtleReference"/>
        </w:rPr>
      </w:pPr>
      <w:r w:rsidRPr="001F0E3B">
        <w:rPr>
          <w:rStyle w:val="SubtleReference"/>
        </w:rPr>
        <w:t xml:space="preserve">Key </w:t>
      </w:r>
      <w:r w:rsidR="005D6EDE" w:rsidRPr="001F0E3B">
        <w:rPr>
          <w:rStyle w:val="SubtleReference"/>
        </w:rPr>
        <w:t>Solution Requirements and Rationale</w:t>
      </w:r>
    </w:p>
    <w:p w14:paraId="4C429F3C" w14:textId="11F27256" w:rsidR="005D6EDE" w:rsidRPr="001F0E3B" w:rsidRDefault="005D6EDE" w:rsidP="006E6BCB">
      <w:pPr>
        <w:suppressAutoHyphens/>
        <w:spacing w:after="240" w:line="240" w:lineRule="auto"/>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pPr>
      <w:r w:rsidRPr="001F0E3B">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Portal Ingress Solution</w:t>
      </w:r>
    </w:p>
    <w:p w14:paraId="66DAFADF" w14:textId="3AD7A053" w:rsidR="005D6EDE" w:rsidRDefault="00241065" w:rsidP="00241065">
      <w:pPr>
        <w:pStyle w:val="ListParagraph"/>
        <w:numPr>
          <w:ilvl w:val="0"/>
          <w:numId w:val="2"/>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24106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Usability and process efficiency are key to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ensuring</w:t>
      </w:r>
      <w:r w:rsidRPr="0024106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adequate client engagement with the balance sheet functionality on the portal; design must be an exercise in usability and process efficiency to maximize the client’s Perceived Ease of Use (PEU)</w:t>
      </w:r>
      <w:r w:rsidR="00F4019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(Khatri et al</w:t>
      </w:r>
      <w:r w:rsidR="00F65F94">
        <w:rPr>
          <w:rFonts w:ascii="Times New Roman" w:eastAsia="Arial Unicode MS" w:hAnsi="Times New Roman" w:cs="Times New Roman"/>
          <w:color w:val="000000"/>
          <w:kern w:val="0"/>
          <w14:textOutline w14:w="0" w14:cap="flat" w14:cmpd="sng" w14:algn="ctr">
            <w14:noFill/>
            <w14:prstDash w14:val="solid"/>
            <w14:bevel/>
          </w14:textOutline>
          <w14:ligatures w14:val="none"/>
        </w:rPr>
        <w:t>., 2020).</w:t>
      </w:r>
    </w:p>
    <w:p w14:paraId="25D95C76" w14:textId="77777777" w:rsidR="000E62CD" w:rsidRDefault="000E62CD" w:rsidP="000E62CD">
      <w:pPr>
        <w:pStyle w:val="ListParagraph"/>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48E656B6" w14:textId="27CF4377" w:rsidR="00241065" w:rsidRPr="000E62CD" w:rsidRDefault="00B1448F" w:rsidP="000E62CD">
      <w:pPr>
        <w:pStyle w:val="ListParagraph"/>
        <w:numPr>
          <w:ilvl w:val="0"/>
          <w:numId w:val="2"/>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0E62CD">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existing portal, built using Salesforce’s native Experience Builder</w:t>
      </w:r>
      <w:r w:rsidR="00CA5772" w:rsidRPr="000E62C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web development functionality, already provides secure access to client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accounts</w:t>
      </w:r>
      <w:r w:rsidR="00CA5772" w:rsidRPr="000E62C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transactional data that is in alignment with Greenfield’s stringent data management policies, affording the project ample time to address usability without needing to venture into </w:t>
      </w:r>
      <w:r w:rsidR="000E62CD" w:rsidRPr="000E62CD">
        <w:rPr>
          <w:rFonts w:ascii="Times New Roman" w:eastAsia="Arial Unicode MS" w:hAnsi="Times New Roman" w:cs="Times New Roman"/>
          <w:color w:val="000000"/>
          <w:kern w:val="0"/>
          <w14:textOutline w14:w="0" w14:cap="flat" w14:cmpd="sng" w14:algn="ctr">
            <w14:noFill/>
            <w14:prstDash w14:val="solid"/>
            <w14:bevel/>
          </w14:textOutline>
          <w14:ligatures w14:val="none"/>
        </w:rPr>
        <w:t>data security requirements.</w:t>
      </w:r>
    </w:p>
    <w:p w14:paraId="02C374CF" w14:textId="77777777" w:rsidR="008915A3" w:rsidRDefault="008915A3" w:rsidP="006E6BCB">
      <w:p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7C390198" w14:textId="268B6477" w:rsidR="008915A3" w:rsidRPr="001F0E3B" w:rsidRDefault="008915A3" w:rsidP="006E6BCB">
      <w:pPr>
        <w:suppressAutoHyphens/>
        <w:spacing w:after="240" w:line="240" w:lineRule="auto"/>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pPr>
      <w:r w:rsidRPr="001F0E3B">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Unified Client Data View</w:t>
      </w:r>
    </w:p>
    <w:p w14:paraId="5F0F464B" w14:textId="3D1A7F34" w:rsidR="008915A3" w:rsidRDefault="008915A3" w:rsidP="00D46976">
      <w:pPr>
        <w:pStyle w:val="ListParagraph"/>
        <w:numPr>
          <w:ilvl w:val="0"/>
          <w:numId w:val="3"/>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D46976">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Data ingress via balance sheet submission functionality in the existing client portal will </w:t>
      </w:r>
      <w:r w:rsidR="00341803">
        <w:rPr>
          <w:rFonts w:ascii="Times New Roman" w:eastAsia="Arial Unicode MS" w:hAnsi="Times New Roman" w:cs="Times New Roman"/>
          <w:color w:val="000000"/>
          <w:kern w:val="0"/>
          <w14:textOutline w14:w="0" w14:cap="flat" w14:cmpd="sng" w14:algn="ctr">
            <w14:noFill/>
            <w14:prstDash w14:val="solid"/>
            <w14:bevel/>
          </w14:textOutline>
          <w14:ligatures w14:val="none"/>
        </w:rPr>
        <w:t>permit storage</w:t>
      </w:r>
      <w:r w:rsidRPr="00D46976">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 a new custom object in Salesforce, requiring minimal development effort on a known and secure solution.</w:t>
      </w:r>
    </w:p>
    <w:p w14:paraId="7E27E7FC" w14:textId="77777777" w:rsidR="00D46976" w:rsidRPr="00D46976" w:rsidRDefault="00D46976" w:rsidP="00D46976">
      <w:pPr>
        <w:pStyle w:val="ListParagraph"/>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48443FF0" w14:textId="6A732996" w:rsidR="008915A3" w:rsidRPr="00D46976" w:rsidRDefault="008915A3" w:rsidP="00D46976">
      <w:pPr>
        <w:pStyle w:val="ListParagraph"/>
        <w:numPr>
          <w:ilvl w:val="0"/>
          <w:numId w:val="3"/>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D46976">
        <w:rPr>
          <w:rFonts w:ascii="Times New Roman" w:eastAsia="Arial Unicode MS" w:hAnsi="Times New Roman" w:cs="Times New Roman"/>
          <w:color w:val="000000"/>
          <w:kern w:val="0"/>
          <w14:textOutline w14:w="0" w14:cap="flat" w14:cmpd="sng" w14:algn="ctr">
            <w14:noFill/>
            <w14:prstDash w14:val="solid"/>
            <w14:bevel/>
          </w14:textOutline>
          <w14:ligatures w14:val="none"/>
        </w:rPr>
        <w:t>Because Salesforce is Greenfield’s system of record and SSOT, the project deliverables will include a more comprehensive view of client data, affording visibility not into only client credit and transactional information, but also into client financial health.</w:t>
      </w:r>
    </w:p>
    <w:p w14:paraId="3F995498" w14:textId="77777777" w:rsidR="008915A3" w:rsidRDefault="008915A3" w:rsidP="006E6BCB">
      <w:p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4DDEE07C" w14:textId="1F64E1D9" w:rsidR="005D6EDE" w:rsidRPr="001F0E3B" w:rsidRDefault="005D6EDE" w:rsidP="006E6BCB">
      <w:pPr>
        <w:suppressAutoHyphens/>
        <w:spacing w:after="240" w:line="240" w:lineRule="auto"/>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pPr>
      <w:r w:rsidRPr="001F0E3B">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 xml:space="preserve">Data Transmission </w:t>
      </w:r>
      <w:r w:rsidR="003D0716" w:rsidRPr="001F0E3B">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Solution</w:t>
      </w:r>
    </w:p>
    <w:p w14:paraId="6A6643F5" w14:textId="2C6DC05F" w:rsidR="008F5605" w:rsidRPr="008F5605" w:rsidRDefault="008F5605" w:rsidP="008F5605">
      <w:pPr>
        <w:numPr>
          <w:ilvl w:val="0"/>
          <w:numId w:val="1"/>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lang w:val="nl-NL"/>
          <w14:textOutline w14:w="0" w14:cap="flat" w14:cmpd="sng" w14:algn="ctr">
            <w14:noFill/>
            <w14:prstDash w14:val="solid"/>
            <w14:bevel/>
          </w14:textOutline>
          <w14:ligatures w14:val="none"/>
        </w:rPr>
        <w:t>Data integrity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is strictly enforced by the </w:t>
      </w:r>
      <w:r w:rsidR="007E4597">
        <w:rPr>
          <w:rFonts w:ascii="Times New Roman" w:eastAsia="Arial Unicode MS" w:hAnsi="Times New Roman" w:cs="Times New Roman"/>
          <w:color w:val="000000"/>
          <w:kern w:val="0"/>
          <w14:textOutline w14:w="0" w14:cap="flat" w14:cmpd="sng" w14:algn="ctr">
            <w14:noFill/>
            <w14:prstDash w14:val="solid"/>
            <w14:bevel/>
          </w14:textOutline>
          <w14:ligatures w14:val="none"/>
        </w:rPr>
        <w:t>Single Source of Truth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SSOT</w:t>
      </w:r>
      <w:r w:rsidR="007E4597">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principle, which eliminates the potential for manual data entry errors. </w:t>
      </w:r>
    </w:p>
    <w:p w14:paraId="5EB56A93" w14:textId="00D0DCEF" w:rsidR="008F5605" w:rsidRPr="000E62CD" w:rsidRDefault="008F5605" w:rsidP="000E62CD">
      <w:pPr>
        <w:numPr>
          <w:ilvl w:val="0"/>
          <w:numId w:val="1"/>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Security is maintained through adherence to the</w:t>
      </w:r>
      <w:r w:rsidR="00A34E10">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Primary Lineage Point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A34E10">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PLP</w:t>
      </w:r>
      <w:r w:rsidR="00A34E10">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486DB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(Vossen</w:t>
      </w:r>
      <w:r w:rsidR="00B0167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et al., 2014)</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as enforced by </w:t>
      </w:r>
      <w:r w:rsidR="005D6EDE">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existing policies, ensuring the </w:t>
      </w:r>
      <w:r w:rsidR="005D6EDE">
        <w:rPr>
          <w:rFonts w:ascii="Times New Roman" w:eastAsia="Arial Unicode MS" w:hAnsi="Times New Roman" w:cs="Times New Roman"/>
          <w:color w:val="000000"/>
          <w:kern w:val="0"/>
          <w14:textOutline w14:w="0" w14:cap="flat" w14:cmpd="sng" w14:algn="ctr">
            <w14:noFill/>
            <w14:prstDash w14:val="solid"/>
            <w14:bevel/>
          </w14:textOutline>
          <w14:ligatures w14:val="none"/>
        </w:rPr>
        <w:t>ETL jobs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2440FE">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are normalizing data </w:t>
      </w:r>
      <w:r w:rsidR="009B2E87">
        <w:rPr>
          <w:rFonts w:ascii="Times New Roman" w:eastAsia="Arial Unicode MS" w:hAnsi="Times New Roman" w:cs="Times New Roman"/>
          <w:color w:val="000000"/>
          <w:kern w:val="0"/>
          <w14:textOutline w14:w="0" w14:cap="flat" w14:cmpd="sng" w14:algn="ctr">
            <w14:noFill/>
            <w14:prstDash w14:val="solid"/>
            <w14:bevel/>
          </w14:textOutline>
          <w14:ligatures w14:val="none"/>
        </w:rPr>
        <w:t>in accordance with strictly-defined requirements without data loss or corruption</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Pr="000E62CD">
        <w:rPr>
          <w:rFonts w:ascii="Times New Roman" w:eastAsia="Arial Unicode MS" w:hAnsi="Times New Roman" w:cs="Times New Roman"/>
          <w:kern w:val="0"/>
          <w14:ligatures w14:val="none"/>
        </w:rPr>
        <w:br w:type="page"/>
      </w:r>
    </w:p>
    <w:p w14:paraId="70C6700D" w14:textId="77777777" w:rsidR="008F5605" w:rsidRPr="008F5605" w:rsidRDefault="008F5605" w:rsidP="008F5605">
      <w:pPr>
        <w:suppressAutoHyphens/>
        <w:spacing w:after="240" w:line="240" w:lineRule="auto"/>
        <w:ind w:left="1080"/>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07C59D16"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t>Needs, Industry Alignment, and Stakeholder Concerns</w:t>
      </w:r>
    </w:p>
    <w:p w14:paraId="4327F9EF" w14:textId="219D5451"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integrated solution directly addresses a</w:t>
      </w:r>
      <w:r w:rsidR="00AC034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n antiquated and labor-intensive process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while ensuring </w:t>
      </w:r>
      <w:r w:rsidR="00AC034B">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 Financial</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maintains alignment with industry best practices.</w:t>
      </w:r>
    </w:p>
    <w:p w14:paraId="6FAC0E5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Addressing Organizational Needs and Stakeholder Concerns</w:t>
      </w:r>
    </w:p>
    <w:p w14:paraId="05DA118C" w14:textId="66A6DB01" w:rsidR="00747D68" w:rsidRDefault="00AC034B"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Ongoing fulfillment of t</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he </w:t>
      </w: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organization’s mission requires intensive and professionally intimate business relationships with a client base that spans generations of farmers and agribusiness-adjacent operations.</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proposed solution </w:t>
      </w:r>
      <w:r w:rsidR="00EA46DB">
        <w:rPr>
          <w:rFonts w:ascii="Times New Roman" w:eastAsia="Arial Unicode MS" w:hAnsi="Times New Roman" w:cs="Times New Roman"/>
          <w:color w:val="000000"/>
          <w:kern w:val="0"/>
          <w14:textOutline w14:w="0" w14:cap="flat" w14:cmpd="sng" w14:algn="ctr">
            <w14:noFill/>
            <w14:prstDash w14:val="solid"/>
            <w14:bevel/>
          </w14:textOutline>
          <w14:ligatures w14:val="none"/>
        </w:rPr>
        <w:t>frees key internal staff from arduous and error-prone processing in order to invest additional time in the relationship management that is so crucial to Greenfield’s ongoing success. It also seeks to build on client self-service solutions in alignment with industry practices and the broader technology space, encouraging adoption by providing useful, intuitive tools that alleviate client frustration and improve transparency</w:t>
      </w:r>
      <w:r w:rsidR="0069511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proofErr w:type="spellStart"/>
      <w:r w:rsidR="00E3538A">
        <w:rPr>
          <w:rFonts w:ascii="Times New Roman" w:eastAsia="Arial Unicode MS" w:hAnsi="Times New Roman" w:cs="Times New Roman"/>
          <w:color w:val="000000"/>
          <w:kern w:val="0"/>
          <w14:textOutline w14:w="0" w14:cap="flat" w14:cmpd="sng" w14:algn="ctr">
            <w14:noFill/>
            <w14:prstDash w14:val="solid"/>
            <w14:bevel/>
          </w14:textOutline>
          <w14:ligatures w14:val="none"/>
        </w:rPr>
        <w:t>Wewege</w:t>
      </w:r>
      <w:proofErr w:type="spellEnd"/>
      <w:r w:rsidR="00E3538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et al., 2020). </w:t>
      </w:r>
      <w:r w:rsidR="00EA46D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By extending the proposed balance sheet data ingress point to leverage existing data pipeline architecture, the organization also endeavors to expand its data automation, using proven solutions that are adherent to data security policies and </w:t>
      </w:r>
      <w:r w:rsidR="009855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best practices. In so doing, the organization has the potential </w:t>
      </w:r>
      <w:r w:rsidR="00917A1E">
        <w:rPr>
          <w:rFonts w:ascii="Times New Roman" w:eastAsia="Arial Unicode MS" w:hAnsi="Times New Roman" w:cs="Times New Roman"/>
          <w:color w:val="000000"/>
          <w:kern w:val="0"/>
          <w14:textOutline w14:w="0" w14:cap="flat" w14:cmpd="sng" w14:algn="ctr">
            <w14:noFill/>
            <w14:prstDash w14:val="solid"/>
            <w14:bevel/>
          </w14:textOutline>
          <w14:ligatures w14:val="none"/>
        </w:rPr>
        <w:t>for the realization of</w:t>
      </w:r>
      <w:r w:rsidR="009855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substantial cost savings against an annual spend of more than $3 million while improving </w:t>
      </w:r>
      <w:r w:rsidR="0039707B">
        <w:rPr>
          <w:rFonts w:ascii="Times New Roman" w:eastAsia="Arial Unicode MS" w:hAnsi="Times New Roman" w:cs="Times New Roman"/>
          <w:color w:val="000000"/>
          <w:kern w:val="0"/>
          <w14:textOutline w14:w="0" w14:cap="flat" w14:cmpd="sng" w14:algn="ctr">
            <w14:noFill/>
            <w14:prstDash w14:val="solid"/>
            <w14:bevel/>
          </w14:textOutline>
          <w14:ligatures w14:val="none"/>
        </w:rPr>
        <w:t>employee work processes and</w:t>
      </w:r>
      <w:r w:rsidR="00087408">
        <w:rPr>
          <w:rFonts w:ascii="Times New Roman" w:eastAsia="Arial Unicode MS" w:hAnsi="Times New Roman" w:cs="Times New Roman"/>
          <w:color w:val="000000"/>
          <w:kern w:val="0"/>
          <w14:textOutline w14:w="0" w14:cap="flat" w14:cmpd="sng" w14:algn="ctr">
            <w14:noFill/>
            <w14:prstDash w14:val="solid"/>
            <w14:bevel/>
          </w14:textOutline>
          <w14:ligatures w14:val="none"/>
        </w:rPr>
        <w:t>, in turn, staff morale and retention.</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At a time when the </w:t>
      </w:r>
      <w:r w:rsidR="00747D68">
        <w:rPr>
          <w:rFonts w:ascii="Times New Roman" w:eastAsia="Arial Unicode MS" w:hAnsi="Times New Roman" w:cs="Times New Roman"/>
          <w:color w:val="000000"/>
          <w:kern w:val="0"/>
          <w14:textOutline w14:w="0" w14:cap="flat" w14:cmpd="sng" w14:algn="ctr">
            <w14:noFill/>
            <w14:prstDash w14:val="solid"/>
            <w14:bevel/>
          </w14:textOutline>
          <w14:ligatures w14:val="none"/>
        </w:rPr>
        <w:t>consumer financial services sector has developed functionality that enables automated loan application, underwriting, and fulfillment</w:t>
      </w:r>
      <w:r w:rsidR="00BF5B11">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747D68">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along with online banking and transaction management, Greenfield is well-positioned to offer similar tools over time to a niche financial services client base</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747D68">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not only as a cost savings measure, but as a means of differentiating itself in the marketplace.</w:t>
      </w:r>
    </w:p>
    <w:p w14:paraId="499962FA" w14:textId="1D647FDA" w:rsidR="0004183A"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For </w:t>
      </w:r>
      <w:r w:rsidR="001732F3">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1732F3">
        <w:rPr>
          <w:rFonts w:ascii="Times New Roman" w:eastAsia="Arial Unicode MS" w:hAnsi="Times New Roman" w:cs="Times New Roman"/>
          <w:color w:val="000000"/>
          <w:kern w:val="0"/>
          <w14:textOutline w14:w="0" w14:cap="flat" w14:cmpd="sng" w14:algn="ctr">
            <w14:noFill/>
            <w14:prstDash w14:val="solid"/>
            <w14:bevel/>
          </w14:textOutline>
          <w14:ligatures w14:val="none"/>
        </w:rPr>
        <w:t>executive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leadership, the most pressing concern is the high risk of </w:t>
      </w:r>
      <w:r w:rsidR="001732F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project failure as a result of </w:t>
      </w:r>
      <w:r w:rsidR="00BF5B1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 </w:t>
      </w:r>
      <w:r w:rsidR="001732F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lack of adoption. Project resources, by way of their intimate familiarity with business practices, solution utilization, and other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operational</w:t>
      </w:r>
      <w:r w:rsidR="001732F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insights, have elevated this concern to leadership as a precursor to project kickoff and as a foundational risk that must be mitigated before any development begins. To do otherwise risks that an attractive, intuitive tool will be delivered but remain unused, rendering the effort a pointless exercise.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IT</w:t>
      </w:r>
      <w:r w:rsidR="0004183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lacks the means of resolving low adoption rates outside of delivering enhanced functionality that may attract greater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engagement</w:t>
      </w:r>
      <w:r w:rsidR="0004183A">
        <w:rPr>
          <w:rFonts w:ascii="Times New Roman" w:eastAsia="Arial Unicode MS" w:hAnsi="Times New Roman" w:cs="Times New Roman"/>
          <w:color w:val="000000"/>
          <w:kern w:val="0"/>
          <w14:textOutline w14:w="0" w14:cap="flat" w14:cmpd="sng" w14:algn="ctr">
            <w14:noFill/>
            <w14:prstDash w14:val="solid"/>
            <w14:bevel/>
          </w14:textOutline>
          <w14:ligatures w14:val="none"/>
        </w:rPr>
        <w:t>; therefore, the organization at large will need to undertake greater marketing and incentive programs to ramp up participation ahead of solution development and implementation in order to make the effort worthwhile.</w:t>
      </w:r>
    </w:p>
    <w:p w14:paraId="148B2AF4" w14:textId="42194606"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Information Technology</w:t>
      </w:r>
      <w:r w:rsidRPr="008F5605">
        <w:rPr>
          <w:rFonts w:ascii="Times New Roman" w:eastAsia="Arial Unicode MS" w:hAnsi="Times New Roman" w:cs="Times New Roman" w:hint="cs"/>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 concerns, which include technical debt, manual data entry risk, and system fragility, are mitigated by the </w:t>
      </w:r>
      <w:r w:rsidR="001F0E3B">
        <w:rPr>
          <w:rFonts w:ascii="Times New Roman" w:eastAsia="Arial Unicode MS" w:hAnsi="Times New Roman" w:cs="Times New Roman"/>
          <w:color w:val="000000"/>
          <w:kern w:val="0"/>
          <w14:textOutline w14:w="0" w14:cap="flat" w14:cmpd="sng" w14:algn="ctr">
            <w14:noFill/>
            <w14:prstDash w14:val="solid"/>
            <w14:bevel/>
          </w14:textOutline>
          <w14:ligatures w14:val="none"/>
        </w:rPr>
        <w:t>ETL</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integration</w:t>
      </w:r>
      <w:r w:rsidR="001F0E3B">
        <w:rPr>
          <w:rFonts w:ascii="Times New Roman" w:eastAsia="Arial Unicode MS" w:hAnsi="Times New Roman" w:cs="Times New Roman"/>
          <w:color w:val="000000"/>
          <w:kern w:val="0"/>
          <w14:textOutline w14:w="0" w14:cap="flat" w14:cmpd="sng" w14:algn="ctr">
            <w14:noFill/>
            <w14:prstDash w14:val="solid"/>
            <w14:bevel/>
          </w14:textOutline>
          <w14:ligatures w14:val="none"/>
        </w:rPr>
        <w:t>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which replace </w:t>
      </w:r>
      <w:r w:rsidR="001F0E3B">
        <w:rPr>
          <w:rFonts w:ascii="Times New Roman" w:eastAsia="Arial Unicode MS" w:hAnsi="Times New Roman" w:cs="Times New Roman"/>
          <w:color w:val="000000"/>
          <w:kern w:val="0"/>
          <w14:textOutline w14:w="0" w14:cap="flat" w14:cmpd="sng" w14:algn="ctr">
            <w14:noFill/>
            <w14:prstDash w14:val="solid"/>
            <w14:bevel/>
          </w14:textOutline>
          <w14:ligatures w14:val="none"/>
        </w:rPr>
        <w:t>existing</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manual processes with a</w:t>
      </w:r>
      <w:r w:rsidR="001F0E3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proven data pipeline that is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maintainable, secure, and resilient</w:t>
      </w:r>
      <w:r w:rsidR="001F0E3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ultimately reducing future maintenance overhead. </w:t>
      </w:r>
      <w:r w:rsidR="002E771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same is true of the </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elements of the solution that reside in Salesforce</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given that the platform is an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industry-standard</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customer relationship management platform whose cost is known and whose continued operation and functional enhancement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are</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assured.</w:t>
      </w:r>
    </w:p>
    <w:p w14:paraId="39FBA224"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05880E35"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lastRenderedPageBreak/>
        <w:t>Connection to Global IT Trends</w:t>
      </w:r>
    </w:p>
    <w:p w14:paraId="4F95B389" w14:textId="1C0E07C6"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entire solution aligns </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 Financial</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with the global IT trend related to data integration via</w:t>
      </w:r>
      <w:r w:rsidRPr="008F5605">
        <w:rPr>
          <w:rFonts w:ascii="Times New Roman" w:eastAsia="Arial Unicode MS" w:hAnsi="Times New Roman" w:cs="Times New Roman"/>
          <w:color w:val="000000"/>
          <w:kern w:val="0"/>
          <w:lang w:val="de-DE"/>
          <w14:textOutline w14:w="0" w14:cap="flat" w14:cmpd="sng" w14:algn="ctr">
            <w14:noFill/>
            <w14:prstDash w14:val="solid"/>
            <w14:bevel/>
          </w14:textOutline>
          <w14:ligatures w14:val="none"/>
        </w:rPr>
        <w:t xml:space="preserve"> data ecosystems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While this project’s data needs are not</w:t>
      </w:r>
      <w:r w:rsidR="00CD0093">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9F3A1C">
        <w:rPr>
          <w:rFonts w:ascii="Times New Roman" w:eastAsia="Arial Unicode MS" w:hAnsi="Times New Roman" w:cs="Times New Roman"/>
          <w:color w:val="000000"/>
          <w:kern w:val="0"/>
          <w14:textOutline w14:w="0" w14:cap="flat" w14:cmpd="sng" w14:algn="ctr">
            <w14:noFill/>
            <w14:prstDash w14:val="solid"/>
            <w14:bevel/>
          </w14:textOutline>
          <w14:ligatures w14:val="none"/>
        </w:rPr>
        <w:t>real-time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w:t>
      </w:r>
      <w:r w:rsidR="009F3A1C">
        <w:rPr>
          <w:rFonts w:ascii="Times New Roman" w:eastAsia="Arial Unicode MS" w:hAnsi="Times New Roman" w:cs="Times New Roman"/>
          <w:color w:val="000000"/>
          <w:kern w:val="0"/>
          <w14:textOutline w14:w="0" w14:cap="flat" w14:cmpd="sng" w14:algn="ctr">
            <w14:noFill/>
            <w14:prstDash w14:val="solid"/>
            <w14:bevel/>
          </w14:textOutline>
          <w14:ligatures w14:val="none"/>
        </w:rPr>
        <w:t>use of existing data throughways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is a necessary step towards </w:t>
      </w:r>
      <w:r w:rsidR="009F3A1C">
        <w:rPr>
          <w:rFonts w:ascii="Times New Roman" w:eastAsia="Arial Unicode MS" w:hAnsi="Times New Roman" w:cs="Times New Roman"/>
          <w:color w:val="000000"/>
          <w:kern w:val="0"/>
          <w14:textOutline w14:w="0" w14:cap="flat" w14:cmpd="sng" w14:algn="ctr">
            <w14:noFill/>
            <w14:prstDash w14:val="solid"/>
            <w14:bevel/>
          </w14:textOutline>
          <w14:ligatures w14:val="none"/>
        </w:rPr>
        <w:t>ongoing development of</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 modern, integrated enterprise architecture. In fact, the data </w:t>
      </w:r>
      <w:r w:rsidR="009F3A1C">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passed through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Greenfield’s systems as a result of the balance sheet tool implementation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can be leveraged for several purposes</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that are supported by native reporting functionality in Salesforce. Such purposes include portfolio analysis</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wherein client financial health in the aggregate is evaluated against client performance baselines (for example, payment history, likelihood of default, over-encumbrance, and so on).</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Over time, the </w:t>
      </w:r>
      <w:r w:rsidR="007A2167" w:rsidRPr="007A2167">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Seedling</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project has the potential to serve as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foundation of a larger-scale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self-service transformation</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effort that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could, in turn,</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result in substantial cost savings while bringing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portal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self-service</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functionality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into alignment with larger IT trends. This strategic move</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way from outdated, manual processes towards secure,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useful</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scalable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self-service</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functionality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is mandatory for competing in the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financial services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industry, where </w:t>
      </w:r>
      <w:r w:rsidR="007A21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consumers of all stripes are increasingly demanding access to the means of managing their own finances, whether from on the sofa or in the seat of a combine. </w:t>
      </w:r>
      <w:r w:rsidR="00971258">
        <w:rPr>
          <w:rFonts w:ascii="Times New Roman" w:eastAsia="Arial Unicode MS" w:hAnsi="Times New Roman" w:cs="Times New Roman"/>
          <w:color w:val="000000"/>
          <w:kern w:val="0"/>
          <w14:textOutline w14:w="0" w14:cap="flat" w14:cmpd="sng" w14:algn="ctr">
            <w14:noFill/>
            <w14:prstDash w14:val="solid"/>
            <w14:bevel/>
          </w14:textOutline>
          <w14:ligatures w14:val="none"/>
        </w:rPr>
        <w:t>Greenfield is wel</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l-served by recognizing that consumers have come to place a great deal of value in information</w:t>
      </w:r>
      <w:r w:rsidR="00971258">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tools that are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easy to consume, relevant to their needs, and personalized to their requirements (Irawan, 2025). </w:t>
      </w:r>
    </w:p>
    <w:p w14:paraId="3D157605"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Risk Analysis and Minimization</w:t>
      </w:r>
    </w:p>
    <w:p w14:paraId="7B5D8331"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project, while essential, carries specific implementation risks that must be systematically managed through proactive mitigation strategies.</w:t>
      </w:r>
    </w:p>
    <w:p w14:paraId="21D9A180" w14:textId="547C8CBC" w:rsidR="00BF62EF" w:rsidRDefault="00971258" w:rsidP="008B6C5C">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greatest</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risk</w:t>
      </w: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to project success, as related earlier, </w:t>
      </w:r>
      <w:r w:rsidR="00821E69">
        <w:rPr>
          <w:rFonts w:ascii="Times New Roman" w:eastAsia="Arial Unicode MS" w:hAnsi="Times New Roman" w:cs="Times New Roman"/>
          <w:color w:val="000000"/>
          <w:kern w:val="0"/>
          <w14:textOutline w14:w="0" w14:cap="flat" w14:cmpd="sng" w14:algn="ctr">
            <w14:noFill/>
            <w14:prstDash w14:val="solid"/>
            <w14:bevel/>
          </w14:textOutline>
          <w14:ligatures w14:val="none"/>
        </w:rPr>
        <w:t>is the abysmal rate at which Greenfield’s clients currently interact with the client portal</w:t>
      </w:r>
      <w:r w:rsidR="00BF62EF">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821E69">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where the balance sheet submission functionality will reside.</w:t>
      </w:r>
      <w:r w:rsidR="00BF62EF">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establishment of KPIs </w:t>
      </w:r>
      <w:r w:rsidR="00EE06CC">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relative to client adoption rate ahead of project initiation </w:t>
      </w:r>
      <w:r w:rsidR="00B2020E">
        <w:rPr>
          <w:rFonts w:ascii="Times New Roman" w:eastAsia="Arial Unicode MS" w:hAnsi="Times New Roman" w:cs="Times New Roman"/>
          <w:color w:val="000000"/>
          <w:kern w:val="0"/>
          <w14:textOutline w14:w="0" w14:cap="flat" w14:cmpd="sng" w14:algn="ctr">
            <w14:noFill/>
            <w14:prstDash w14:val="solid"/>
            <w14:bevel/>
          </w14:textOutline>
          <w14:ligatures w14:val="none"/>
        </w:rPr>
        <w:t>serves</w:t>
      </w:r>
      <w:r w:rsidR="009C741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to ensure that there is a large enough user base to justify building the balance sheet solution and related data flow. Executive leadership must </w:t>
      </w:r>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ensure</w:t>
      </w:r>
      <w:r w:rsidR="009C741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those KPIs are met</w:t>
      </w:r>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or risk building a tool that no one will use.</w:t>
      </w:r>
      <w:r w:rsidR="001F09F0">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p>
    <w:p w14:paraId="4D7EE5C9" w14:textId="7566910E" w:rsidR="008F5605" w:rsidRPr="008F5605" w:rsidRDefault="00821E69" w:rsidP="00BF62EF">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Another substantial risk</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relates to the availability of subject matter experts (SMEs). The project</w:t>
      </w:r>
      <w:r w:rsidR="00BF62EF">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is dependent on the time and availability of SMEs from </w:t>
      </w:r>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both internal database administration and ETL management teams, as well as at </w:t>
      </w:r>
      <w:proofErr w:type="spellStart"/>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AgriBank</w:t>
      </w:r>
      <w:proofErr w:type="spellEnd"/>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for defining the </w:t>
      </w:r>
      <w:r w:rsidR="00A5523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business rules and data mapping to be used by the ETL jobs and for validating outcomes. </w:t>
      </w:r>
      <w:r w:rsidR="008F5605"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If these resources are denied, data integrity will be compromised. The strategy to minimize this involves executive sponsorship and allocation, securing formal executive approval for dedicated SME bandwidth, with this risk being monitored weekly in the Project Steering Committee.</w:t>
      </w:r>
    </w:p>
    <w:p w14:paraId="18423AF2" w14:textId="113A08EB"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 risk </w:t>
      </w:r>
      <w:r w:rsidR="008B6C5C">
        <w:rPr>
          <w:rFonts w:ascii="Times New Roman" w:eastAsia="Arial Unicode MS" w:hAnsi="Times New Roman" w:cs="Times New Roman"/>
          <w:color w:val="000000"/>
          <w:kern w:val="0"/>
          <w14:textOutline w14:w="0" w14:cap="flat" w14:cmpd="sng" w14:algn="ctr">
            <w14:noFill/>
            <w14:prstDash w14:val="solid"/>
            <w14:bevel/>
          </w14:textOutline>
          <w14:ligatures w14:val="none"/>
        </w:rPr>
        <w:t>also exists related to</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data integrity failure, where the </w:t>
      </w:r>
      <w:r w:rsidR="008B6C5C">
        <w:rPr>
          <w:rFonts w:ascii="Times New Roman" w:eastAsia="Arial Unicode MS" w:hAnsi="Times New Roman" w:cs="Times New Roman"/>
          <w:color w:val="000000"/>
          <w:kern w:val="0"/>
          <w14:textOutline w14:w="0" w14:cap="flat" w14:cmpd="sng" w14:algn="ctr">
            <w14:noFill/>
            <w14:prstDash w14:val="solid"/>
            <w14:bevel/>
          </w14:textOutline>
          <w14:ligatures w14:val="none"/>
        </w:rPr>
        <w:t>ETL business rules or data mapping</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8B6C5C">
        <w:rPr>
          <w:rFonts w:ascii="Times New Roman" w:eastAsia="Arial Unicode MS" w:hAnsi="Times New Roman" w:cs="Times New Roman"/>
          <w:color w:val="000000"/>
          <w:kern w:val="0"/>
          <w14:textOutline w14:w="0" w14:cap="flat" w14:cmpd="sng" w14:algn="ctr">
            <w14:noFill/>
            <w14:prstDash w14:val="solid"/>
            <w14:bevel/>
          </w14:textOutline>
          <w14:ligatures w14:val="none"/>
        </w:rPr>
        <w:t>are not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coded</w:t>
      </w:r>
      <w:r w:rsidR="008B6C5C">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correctly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leading to inaccurate data, which could result in regulatory violations. This is minimized through </w:t>
      </w:r>
      <w:r w:rsidR="00ED05AE">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dedicated resource allocation of SMEs who will be tasked with the analysis, documentation, and validation of all touchpoints in the data pipeline. A related risk stems from the calculation methodologies employed within the balance sheet itself; if data is not aggregated appropriately (for example, calculating debt ratios without having properly summed all assets and/or liabilities), the organization may find itself with inaccurate views of </w:t>
      </w:r>
      <w:r w:rsidR="00ED05AE">
        <w:rPr>
          <w:rFonts w:ascii="Times New Roman" w:eastAsia="Arial Unicode MS" w:hAnsi="Times New Roman" w:cs="Times New Roman"/>
          <w:color w:val="000000"/>
          <w:kern w:val="0"/>
          <w14:textOutline w14:w="0" w14:cap="flat" w14:cmpd="sng" w14:algn="ctr">
            <w14:noFill/>
            <w14:prstDash w14:val="solid"/>
            <w14:bevel/>
          </w14:textOutline>
          <w14:ligatures w14:val="none"/>
        </w:rPr>
        <w:lastRenderedPageBreak/>
        <w:t>client financial health, creating both compliance and financial reporting risk.</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9B6BE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Therefore,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IT validation of calculation use cases and data mappings </w:t>
      </w: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before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development</w:t>
      </w:r>
      <w:r w:rsidR="009B6BE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is essential and will require the subject matter expertise of business-side resources who have historically input and used balance sheet data</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Furthermore, automated integration testing of the </w:t>
      </w:r>
      <w:r w:rsidR="00880A80">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final data flow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will be </w:t>
      </w:r>
      <w:r w:rsidR="00880A80">
        <w:rPr>
          <w:rFonts w:ascii="Times New Roman" w:eastAsia="Arial Unicode MS" w:hAnsi="Times New Roman" w:cs="Times New Roman"/>
          <w:color w:val="000000"/>
          <w:kern w:val="0"/>
          <w14:textOutline w14:w="0" w14:cap="flat" w14:cmpd="sng" w14:algn="ctr">
            <w14:noFill/>
            <w14:prstDash w14:val="solid"/>
            <w14:bevel/>
          </w14:textOutline>
          <w14:ligatures w14:val="none"/>
        </w:rPr>
        <w:t>recommended (with the understanding that Greenfield does not currently have this capability)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to ensure 100% data fidelity against source systems.</w:t>
      </w:r>
    </w:p>
    <w:p w14:paraId="788925AD" w14:textId="540D20AD"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This systemic approach ensures that the project</w:t>
      </w:r>
      <w:r w:rsidRPr="008F5605">
        <w:rPr>
          <w:rFonts w:ascii="Times New Roman" w:eastAsia="Arial Unicode MS" w:hAnsi="Times New Roman" w:cs="Times New Roman" w:hint="cs"/>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 </w:t>
      </w:r>
      <w:r w:rsidR="00B11133">
        <w:rPr>
          <w:rFonts w:ascii="Times New Roman" w:eastAsia="Arial Unicode MS" w:hAnsi="Times New Roman" w:cs="Times New Roman"/>
          <w:color w:val="000000"/>
          <w:kern w:val="0"/>
          <w14:textOutline w14:w="0" w14:cap="flat" w14:cmpd="sng" w14:algn="ctr">
            <w14:noFill/>
            <w14:prstDash w14:val="solid"/>
            <w14:bevel/>
          </w14:textOutline>
          <w14:ligatures w14:val="none"/>
        </w:rPr>
        <w:t>varied</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risk</w:t>
      </w:r>
      <w:r w:rsidR="00B11133">
        <w:rPr>
          <w:rFonts w:ascii="Times New Roman" w:eastAsia="Arial Unicode MS" w:hAnsi="Times New Roman" w:cs="Times New Roman"/>
          <w:color w:val="000000"/>
          <w:kern w:val="0"/>
          <w14:textOutline w14:w="0" w14:cap="flat" w14:cmpd="sng" w14:algn="ctr">
            <w14:noFill/>
            <w14:prstDash w14:val="solid"/>
            <w14:bevel/>
          </w14:textOutline>
          <w14:ligatures w14:val="none"/>
        </w:rPr>
        <w:t>s are addressed via a comprehensive and diverse array of management methods,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each addressed by a specific, proactive mitigation strategy.</w:t>
      </w:r>
    </w:p>
    <w:p w14:paraId="40775B21" w14:textId="77777777" w:rsidR="008F5605" w:rsidRPr="008F5605" w:rsidRDefault="008F5605" w:rsidP="008F5605">
      <w:pPr>
        <w:suppressAutoHyphens/>
        <w:spacing w:after="240"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Risk Matrix</w:t>
      </w:r>
    </w:p>
    <w:tbl>
      <w:tblPr>
        <w:tblStyle w:val="TableGrid"/>
        <w:tblW w:w="0" w:type="auto"/>
        <w:tblInd w:w="0" w:type="dxa"/>
        <w:tblLook w:val="04A0" w:firstRow="1" w:lastRow="0" w:firstColumn="1" w:lastColumn="0" w:noHBand="0" w:noVBand="1"/>
      </w:tblPr>
      <w:tblGrid>
        <w:gridCol w:w="939"/>
        <w:gridCol w:w="2299"/>
        <w:gridCol w:w="1686"/>
        <w:gridCol w:w="1191"/>
        <w:gridCol w:w="1080"/>
        <w:gridCol w:w="2155"/>
      </w:tblGrid>
      <w:tr w:rsidR="008F5605" w:rsidRPr="008F5605" w14:paraId="3FD5E08F" w14:textId="77777777" w:rsidTr="008F5605">
        <w:trPr>
          <w:tblHeader/>
        </w:trPr>
        <w:tc>
          <w:tcPr>
            <w:tcW w:w="939" w:type="dxa"/>
            <w:tcBorders>
              <w:top w:val="single" w:sz="4" w:space="0" w:color="auto"/>
              <w:left w:val="single" w:sz="4" w:space="0" w:color="auto"/>
              <w:bottom w:val="single" w:sz="4" w:space="0" w:color="auto"/>
              <w:right w:val="single" w:sz="4" w:space="0" w:color="auto"/>
            </w:tcBorders>
            <w:shd w:val="clear" w:color="auto" w:fill="CCECFF"/>
            <w:hideMark/>
          </w:tcPr>
          <w:p w14:paraId="3DEFCF70"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Risk ID</w:t>
            </w:r>
          </w:p>
        </w:tc>
        <w:tc>
          <w:tcPr>
            <w:tcW w:w="2299" w:type="dxa"/>
            <w:tcBorders>
              <w:top w:val="single" w:sz="4" w:space="0" w:color="auto"/>
              <w:left w:val="single" w:sz="4" w:space="0" w:color="auto"/>
              <w:bottom w:val="single" w:sz="4" w:space="0" w:color="auto"/>
              <w:right w:val="single" w:sz="4" w:space="0" w:color="auto"/>
            </w:tcBorders>
            <w:shd w:val="clear" w:color="auto" w:fill="CCECFF"/>
            <w:hideMark/>
          </w:tcPr>
          <w:p w14:paraId="33F5DC59"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Risk Description</w:t>
            </w:r>
          </w:p>
        </w:tc>
        <w:tc>
          <w:tcPr>
            <w:tcW w:w="1686" w:type="dxa"/>
            <w:tcBorders>
              <w:top w:val="single" w:sz="4" w:space="0" w:color="auto"/>
              <w:left w:val="single" w:sz="4" w:space="0" w:color="auto"/>
              <w:bottom w:val="single" w:sz="4" w:space="0" w:color="auto"/>
              <w:right w:val="single" w:sz="4" w:space="0" w:color="auto"/>
            </w:tcBorders>
            <w:shd w:val="clear" w:color="auto" w:fill="CCECFF"/>
            <w:hideMark/>
          </w:tcPr>
          <w:p w14:paraId="7A1301F1"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Probability (P)</w:t>
            </w:r>
          </w:p>
        </w:tc>
        <w:tc>
          <w:tcPr>
            <w:tcW w:w="1191" w:type="dxa"/>
            <w:tcBorders>
              <w:top w:val="single" w:sz="4" w:space="0" w:color="auto"/>
              <w:left w:val="single" w:sz="4" w:space="0" w:color="auto"/>
              <w:bottom w:val="single" w:sz="4" w:space="0" w:color="auto"/>
              <w:right w:val="single" w:sz="4" w:space="0" w:color="auto"/>
            </w:tcBorders>
            <w:shd w:val="clear" w:color="auto" w:fill="CCECFF"/>
            <w:hideMark/>
          </w:tcPr>
          <w:p w14:paraId="463E82EC"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Impact (I)</w:t>
            </w:r>
          </w:p>
        </w:tc>
        <w:tc>
          <w:tcPr>
            <w:tcW w:w="1080" w:type="dxa"/>
            <w:tcBorders>
              <w:top w:val="single" w:sz="4" w:space="0" w:color="auto"/>
              <w:left w:val="single" w:sz="4" w:space="0" w:color="auto"/>
              <w:bottom w:val="single" w:sz="4" w:space="0" w:color="auto"/>
              <w:right w:val="single" w:sz="4" w:space="0" w:color="auto"/>
            </w:tcBorders>
            <w:shd w:val="clear" w:color="auto" w:fill="CCECFF"/>
            <w:hideMark/>
          </w:tcPr>
          <w:p w14:paraId="673161B0" w14:textId="77777777" w:rsidR="008F5605" w:rsidRPr="008F5605" w:rsidRDefault="008F5605" w:rsidP="008F5605">
            <w:r w:rsidRPr="008F5605">
              <w:t>Score</w:t>
            </w:r>
          </w:p>
          <w:p w14:paraId="6C7D817D" w14:textId="77777777" w:rsidR="008F5605" w:rsidRPr="008F5605" w:rsidRDefault="008F5605" w:rsidP="008F5605">
            <w:pPr>
              <w:rPr>
                <w:rFonts w:eastAsia="Times Roman"/>
              </w:rPr>
            </w:pPr>
            <w:r w:rsidRPr="008F5605">
              <w:t>(P x I)</w:t>
            </w:r>
          </w:p>
        </w:tc>
        <w:tc>
          <w:tcPr>
            <w:tcW w:w="2155" w:type="dxa"/>
            <w:tcBorders>
              <w:top w:val="single" w:sz="4" w:space="0" w:color="auto"/>
              <w:left w:val="single" w:sz="4" w:space="0" w:color="auto"/>
              <w:bottom w:val="single" w:sz="4" w:space="0" w:color="auto"/>
              <w:right w:val="single" w:sz="4" w:space="0" w:color="auto"/>
            </w:tcBorders>
            <w:shd w:val="clear" w:color="auto" w:fill="CCECFF"/>
            <w:hideMark/>
          </w:tcPr>
          <w:p w14:paraId="25DD8F79" w14:textId="77777777" w:rsidR="008F5605" w:rsidRPr="008F5605" w:rsidRDefault="008F5605" w:rsidP="008F5605">
            <w:pPr>
              <w:suppressAutoHyphens/>
              <w:spacing w:after="240"/>
              <w:rPr>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Mitigation Strategy</w:t>
            </w:r>
          </w:p>
        </w:tc>
      </w:tr>
      <w:tr w:rsidR="008F5605" w:rsidRPr="008F5605" w14:paraId="778B60D3" w14:textId="77777777">
        <w:tc>
          <w:tcPr>
            <w:tcW w:w="939" w:type="dxa"/>
            <w:tcBorders>
              <w:top w:val="single" w:sz="4" w:space="0" w:color="auto"/>
              <w:left w:val="single" w:sz="4" w:space="0" w:color="auto"/>
              <w:bottom w:val="single" w:sz="4" w:space="0" w:color="auto"/>
              <w:right w:val="single" w:sz="4" w:space="0" w:color="auto"/>
            </w:tcBorders>
            <w:hideMark/>
          </w:tcPr>
          <w:p w14:paraId="0B14B25B"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R-01</w:t>
            </w:r>
          </w:p>
        </w:tc>
        <w:tc>
          <w:tcPr>
            <w:tcW w:w="2299" w:type="dxa"/>
            <w:tcBorders>
              <w:top w:val="single" w:sz="4" w:space="0" w:color="auto"/>
              <w:left w:val="single" w:sz="4" w:space="0" w:color="auto"/>
              <w:bottom w:val="single" w:sz="4" w:space="0" w:color="auto"/>
              <w:right w:val="single" w:sz="4" w:space="0" w:color="auto"/>
            </w:tcBorders>
            <w:hideMark/>
          </w:tcPr>
          <w:p w14:paraId="340B0FD2" w14:textId="785F82F8"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SME Resource Constraints.</w:t>
            </w:r>
            <w:r w:rsidRPr="008F5605">
              <w:rPr>
                <w:rFonts w:eastAsia="Times Roman"/>
                <w:color w:val="000000"/>
                <w14:textOutline w14:w="0" w14:cap="flat" w14:cmpd="sng" w14:algn="ctr">
                  <w14:noFill/>
                  <w14:prstDash w14:val="solid"/>
                  <w14:bevel/>
                </w14:textOutline>
              </w:rPr>
              <w:br/>
              <w:t>Subject Matter Expert Availability.</w:t>
            </w:r>
            <w:r w:rsidRPr="008F5605">
              <w:rPr>
                <w:rFonts w:eastAsia="Times Roman"/>
                <w:color w:val="000000"/>
                <w14:textOutline w14:w="0" w14:cap="flat" w14:cmpd="sng" w14:algn="ctr">
                  <w14:noFill/>
                  <w14:prstDash w14:val="solid"/>
                  <w14:bevel/>
                </w14:textOutline>
              </w:rPr>
              <w:br/>
            </w:r>
            <w:r w:rsidRPr="008F5605">
              <w:rPr>
                <w:rFonts w:eastAsia="Times Roman"/>
                <w:color w:val="000000"/>
                <w14:textOutline w14:w="0" w14:cap="flat" w14:cmpd="sng" w14:algn="ctr">
                  <w14:noFill/>
                  <w14:prstDash w14:val="solid"/>
                  <w14:bevel/>
                </w14:textOutline>
              </w:rPr>
              <w:br/>
              <w:t xml:space="preserve">Resources from </w:t>
            </w:r>
            <w:r w:rsidR="00A8475E">
              <w:rPr>
                <w:rFonts w:eastAsia="Times Roman"/>
                <w:color w:val="000000"/>
                <w14:textOutline w14:w="0" w14:cap="flat" w14:cmpd="sng" w14:algn="ctr">
                  <w14:noFill/>
                  <w14:prstDash w14:val="solid"/>
                  <w14:bevel/>
                </w14:textOutline>
              </w:rPr>
              <w:t>internal and external ETL and database administration</w:t>
            </w:r>
            <w:r w:rsidRPr="008F5605">
              <w:rPr>
                <w:rFonts w:eastAsia="Times Roman"/>
                <w:color w:val="000000"/>
                <w14:textOutline w14:w="0" w14:cap="flat" w14:cmpd="sng" w14:algn="ctr">
                  <w14:noFill/>
                  <w14:prstDash w14:val="solid"/>
                  <w14:bevel/>
                </w14:textOutline>
              </w:rPr>
              <w:t xml:space="preserve"> team</w:t>
            </w:r>
            <w:r w:rsidR="00A8475E">
              <w:rPr>
                <w:rFonts w:eastAsia="Times Roman"/>
                <w:color w:val="000000"/>
                <w14:textOutline w14:w="0" w14:cap="flat" w14:cmpd="sng" w14:algn="ctr">
                  <w14:noFill/>
                  <w14:prstDash w14:val="solid"/>
                  <w14:bevel/>
                </w14:textOutline>
              </w:rPr>
              <w:t xml:space="preserve">s </w:t>
            </w:r>
            <w:r w:rsidRPr="008F5605">
              <w:rPr>
                <w:rFonts w:eastAsia="Times Roman"/>
                <w:color w:val="000000"/>
                <w14:textOutline w14:w="0" w14:cap="flat" w14:cmpd="sng" w14:algn="ctr">
                  <w14:noFill/>
                  <w14:prstDash w14:val="solid"/>
                  <w14:bevel/>
                </w14:textOutline>
              </w:rPr>
              <w:t xml:space="preserve">may be unavailable to dedicate time to support and validate </w:t>
            </w:r>
            <w:r w:rsidR="00A8475E">
              <w:rPr>
                <w:rFonts w:eastAsia="Times Roman"/>
                <w:color w:val="000000"/>
                <w14:textOutline w14:w="0" w14:cap="flat" w14:cmpd="sng" w14:algn="ctr">
                  <w14:noFill/>
                  <w14:prstDash w14:val="solid"/>
                  <w14:bevel/>
                </w14:textOutline>
              </w:rPr>
              <w:t>data flow.</w:t>
            </w:r>
          </w:p>
        </w:tc>
        <w:tc>
          <w:tcPr>
            <w:tcW w:w="1686" w:type="dxa"/>
            <w:tcBorders>
              <w:top w:val="single" w:sz="4" w:space="0" w:color="auto"/>
              <w:left w:val="single" w:sz="4" w:space="0" w:color="auto"/>
              <w:bottom w:val="single" w:sz="4" w:space="0" w:color="auto"/>
              <w:right w:val="single" w:sz="4" w:space="0" w:color="auto"/>
            </w:tcBorders>
            <w:hideMark/>
          </w:tcPr>
          <w:p w14:paraId="276ABF10"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191" w:type="dxa"/>
            <w:tcBorders>
              <w:top w:val="single" w:sz="4" w:space="0" w:color="auto"/>
              <w:left w:val="single" w:sz="4" w:space="0" w:color="auto"/>
              <w:bottom w:val="single" w:sz="4" w:space="0" w:color="auto"/>
              <w:right w:val="single" w:sz="4" w:space="0" w:color="auto"/>
            </w:tcBorders>
            <w:hideMark/>
          </w:tcPr>
          <w:p w14:paraId="45307F2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080" w:type="dxa"/>
            <w:tcBorders>
              <w:top w:val="single" w:sz="4" w:space="0" w:color="auto"/>
              <w:left w:val="single" w:sz="4" w:space="0" w:color="auto"/>
              <w:bottom w:val="single" w:sz="4" w:space="0" w:color="auto"/>
              <w:right w:val="single" w:sz="4" w:space="0" w:color="auto"/>
            </w:tcBorders>
            <w:hideMark/>
          </w:tcPr>
          <w:p w14:paraId="708A2FA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2155" w:type="dxa"/>
            <w:tcBorders>
              <w:top w:val="single" w:sz="4" w:space="0" w:color="auto"/>
              <w:left w:val="single" w:sz="4" w:space="0" w:color="auto"/>
              <w:bottom w:val="single" w:sz="4" w:space="0" w:color="auto"/>
              <w:right w:val="single" w:sz="4" w:space="0" w:color="auto"/>
            </w:tcBorders>
            <w:hideMark/>
          </w:tcPr>
          <w:p w14:paraId="00527CD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Secure executive sponsorship allocating dedicated and protected resources.</w:t>
            </w:r>
          </w:p>
        </w:tc>
      </w:tr>
      <w:tr w:rsidR="008F5605" w:rsidRPr="008F5605" w14:paraId="5ED19461" w14:textId="77777777">
        <w:tc>
          <w:tcPr>
            <w:tcW w:w="939" w:type="dxa"/>
            <w:tcBorders>
              <w:top w:val="single" w:sz="4" w:space="0" w:color="auto"/>
              <w:left w:val="single" w:sz="4" w:space="0" w:color="auto"/>
              <w:bottom w:val="single" w:sz="4" w:space="0" w:color="auto"/>
              <w:right w:val="single" w:sz="4" w:space="0" w:color="auto"/>
            </w:tcBorders>
            <w:hideMark/>
          </w:tcPr>
          <w:p w14:paraId="390E6502"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R-02</w:t>
            </w:r>
          </w:p>
        </w:tc>
        <w:tc>
          <w:tcPr>
            <w:tcW w:w="2299" w:type="dxa"/>
            <w:tcBorders>
              <w:top w:val="single" w:sz="4" w:space="0" w:color="auto"/>
              <w:left w:val="single" w:sz="4" w:space="0" w:color="auto"/>
              <w:bottom w:val="single" w:sz="4" w:space="0" w:color="auto"/>
              <w:right w:val="single" w:sz="4" w:space="0" w:color="auto"/>
            </w:tcBorders>
            <w:hideMark/>
          </w:tcPr>
          <w:p w14:paraId="7845C43B" w14:textId="2DDF70FE"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L</w:t>
            </w:r>
            <w:r w:rsidR="00A8475E">
              <w:rPr>
                <w:rFonts w:eastAsia="Times Roman"/>
                <w:color w:val="000000"/>
                <w14:textOutline w14:w="0" w14:cap="flat" w14:cmpd="sng" w14:algn="ctr">
                  <w14:noFill/>
                  <w14:prstDash w14:val="solid"/>
                  <w14:bevel/>
                </w14:textOutline>
              </w:rPr>
              <w:t xml:space="preserve">ow </w:t>
            </w:r>
            <w:r w:rsidR="00736FA1">
              <w:rPr>
                <w:rFonts w:eastAsia="Times Roman"/>
                <w:color w:val="000000"/>
                <w14:textOutline w14:w="0" w14:cap="flat" w14:cmpd="sng" w14:algn="ctr">
                  <w14:noFill/>
                  <w14:prstDash w14:val="solid"/>
                  <w14:bevel/>
                </w14:textOutline>
              </w:rPr>
              <w:t>Client Portal Utilization</w:t>
            </w:r>
            <w:r w:rsidRPr="008F5605">
              <w:rPr>
                <w:rFonts w:eastAsia="Times Roman"/>
                <w:color w:val="000000"/>
                <w14:textOutline w14:w="0" w14:cap="flat" w14:cmpd="sng" w14:algn="ctr">
                  <w14:noFill/>
                  <w14:prstDash w14:val="solid"/>
                  <w14:bevel/>
                </w14:textOutline>
              </w:rPr>
              <w:t>.</w:t>
            </w:r>
            <w:r w:rsidRPr="008F5605">
              <w:rPr>
                <w:rFonts w:eastAsia="Times Roman"/>
                <w:color w:val="000000"/>
                <w14:textOutline w14:w="0" w14:cap="flat" w14:cmpd="sng" w14:algn="ctr">
                  <w14:noFill/>
                  <w14:prstDash w14:val="solid"/>
                  <w14:bevel/>
                </w14:textOutline>
              </w:rPr>
              <w:br/>
            </w:r>
            <w:r w:rsidRPr="008F5605">
              <w:rPr>
                <w:rFonts w:eastAsia="Times Roman"/>
                <w:color w:val="000000"/>
                <w14:textOutline w14:w="0" w14:cap="flat" w14:cmpd="sng" w14:algn="ctr">
                  <w14:noFill/>
                  <w14:prstDash w14:val="solid"/>
                  <w14:bevel/>
                </w14:textOutline>
              </w:rPr>
              <w:br/>
              <w:t xml:space="preserve">The new </w:t>
            </w:r>
            <w:r w:rsidR="00736FA1">
              <w:rPr>
                <w:rFonts w:eastAsia="Times Roman"/>
                <w:color w:val="000000"/>
                <w14:textOutline w14:w="0" w14:cap="flat" w14:cmpd="sng" w14:algn="ctr">
                  <w14:noFill/>
                  <w14:prstDash w14:val="solid"/>
                  <w14:bevel/>
                </w14:textOutline>
              </w:rPr>
              <w:t xml:space="preserve">solution is dependent on a viable user base to ensure adequate utilization </w:t>
            </w:r>
            <w:r w:rsidR="00177EFB">
              <w:rPr>
                <w:rFonts w:eastAsia="Times Roman"/>
                <w:color w:val="000000"/>
                <w14:textOutline w14:w="0" w14:cap="flat" w14:cmpd="sng" w14:algn="ctr">
                  <w14:noFill/>
                  <w14:prstDash w14:val="solid"/>
                  <w14:bevel/>
                </w14:textOutline>
              </w:rPr>
              <w:t>rates for project justification.</w:t>
            </w:r>
          </w:p>
        </w:tc>
        <w:tc>
          <w:tcPr>
            <w:tcW w:w="1686" w:type="dxa"/>
            <w:tcBorders>
              <w:top w:val="single" w:sz="4" w:space="0" w:color="auto"/>
              <w:left w:val="single" w:sz="4" w:space="0" w:color="auto"/>
              <w:bottom w:val="single" w:sz="4" w:space="0" w:color="auto"/>
              <w:right w:val="single" w:sz="4" w:space="0" w:color="auto"/>
            </w:tcBorders>
            <w:hideMark/>
          </w:tcPr>
          <w:p w14:paraId="278608B7" w14:textId="00A0F005" w:rsidR="008F5605" w:rsidRPr="008F5605" w:rsidRDefault="00177EFB" w:rsidP="008F5605">
            <w:pPr>
              <w:suppressAutoHyphens/>
              <w:spacing w:after="240"/>
              <w:rPr>
                <w:rFonts w:eastAsia="Times Roman"/>
                <w:color w:val="000000"/>
                <w14:textOutline w14:w="0" w14:cap="flat" w14:cmpd="sng" w14:algn="ctr">
                  <w14:noFill/>
                  <w14:prstDash w14:val="solid"/>
                  <w14:bevel/>
                </w14:textOutline>
              </w:rPr>
            </w:pPr>
            <w:r>
              <w:rPr>
                <w:rFonts w:eastAsia="Times Roman"/>
                <w:color w:val="000000"/>
                <w14:textOutline w14:w="0" w14:cap="flat" w14:cmpd="sng" w14:algn="ctr">
                  <w14:noFill/>
                  <w14:prstDash w14:val="solid"/>
                  <w14:bevel/>
                </w14:textOutline>
              </w:rPr>
              <w:t>High</w:t>
            </w:r>
          </w:p>
        </w:tc>
        <w:tc>
          <w:tcPr>
            <w:tcW w:w="1191" w:type="dxa"/>
            <w:tcBorders>
              <w:top w:val="single" w:sz="4" w:space="0" w:color="auto"/>
              <w:left w:val="single" w:sz="4" w:space="0" w:color="auto"/>
              <w:bottom w:val="single" w:sz="4" w:space="0" w:color="auto"/>
              <w:right w:val="single" w:sz="4" w:space="0" w:color="auto"/>
            </w:tcBorders>
            <w:hideMark/>
          </w:tcPr>
          <w:p w14:paraId="5C0922EE"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080" w:type="dxa"/>
            <w:tcBorders>
              <w:top w:val="single" w:sz="4" w:space="0" w:color="auto"/>
              <w:left w:val="single" w:sz="4" w:space="0" w:color="auto"/>
              <w:bottom w:val="single" w:sz="4" w:space="0" w:color="auto"/>
              <w:right w:val="single" w:sz="4" w:space="0" w:color="auto"/>
            </w:tcBorders>
            <w:hideMark/>
          </w:tcPr>
          <w:p w14:paraId="658DE51E" w14:textId="207976AB" w:rsidR="008F5605" w:rsidRPr="008F5605" w:rsidRDefault="00177EFB" w:rsidP="008F5605">
            <w:pPr>
              <w:suppressAutoHyphens/>
              <w:spacing w:after="240"/>
              <w:rPr>
                <w:rFonts w:eastAsia="Times Roman"/>
                <w:color w:val="000000"/>
                <w14:textOutline w14:w="0" w14:cap="flat" w14:cmpd="sng" w14:algn="ctr">
                  <w14:noFill/>
                  <w14:prstDash w14:val="solid"/>
                  <w14:bevel/>
                </w14:textOutline>
              </w:rPr>
            </w:pPr>
            <w:r>
              <w:rPr>
                <w:rFonts w:eastAsia="Times Roman"/>
                <w:color w:val="000000"/>
                <w14:textOutline w14:w="0" w14:cap="flat" w14:cmpd="sng" w14:algn="ctr">
                  <w14:noFill/>
                  <w14:prstDash w14:val="solid"/>
                  <w14:bevel/>
                </w14:textOutline>
              </w:rPr>
              <w:t>High</w:t>
            </w:r>
          </w:p>
        </w:tc>
        <w:tc>
          <w:tcPr>
            <w:tcW w:w="2155" w:type="dxa"/>
            <w:tcBorders>
              <w:top w:val="single" w:sz="4" w:space="0" w:color="auto"/>
              <w:left w:val="single" w:sz="4" w:space="0" w:color="auto"/>
              <w:bottom w:val="single" w:sz="4" w:space="0" w:color="auto"/>
              <w:right w:val="single" w:sz="4" w:space="0" w:color="auto"/>
            </w:tcBorders>
            <w:hideMark/>
          </w:tcPr>
          <w:p w14:paraId="0F9B95E1" w14:textId="5E5E20AE"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Establish</w:t>
            </w:r>
            <w:r w:rsidR="00177EFB">
              <w:rPr>
                <w:rFonts w:eastAsia="Times Roman"/>
                <w:color w:val="000000"/>
                <w14:textOutline w14:w="0" w14:cap="flat" w14:cmpd="sng" w14:algn="ctr">
                  <w14:noFill/>
                  <w14:prstDash w14:val="solid"/>
                  <w14:bevel/>
                </w14:textOutline>
              </w:rPr>
              <w:t xml:space="preserve"> engagement KPIs that must be met </w:t>
            </w:r>
            <w:r w:rsidR="00177EFB" w:rsidRPr="00177EFB">
              <w:rPr>
                <w:rFonts w:eastAsia="Times Roman"/>
                <w:i/>
                <w:iCs/>
                <w:color w:val="000000"/>
                <w14:textOutline w14:w="0" w14:cap="flat" w14:cmpd="sng" w14:algn="ctr">
                  <w14:noFill/>
                  <w14:prstDash w14:val="solid"/>
                  <w14:bevel/>
                </w14:textOutline>
              </w:rPr>
              <w:t>before</w:t>
            </w:r>
            <w:r w:rsidR="00177EFB">
              <w:rPr>
                <w:rFonts w:eastAsia="Times Roman"/>
                <w:color w:val="000000"/>
                <w14:textOutline w14:w="0" w14:cap="flat" w14:cmpd="sng" w14:algn="ctr">
                  <w14:noFill/>
                  <w14:prstDash w14:val="solid"/>
                  <w14:bevel/>
                </w14:textOutline>
              </w:rPr>
              <w:t xml:space="preserve"> project initiation.</w:t>
            </w:r>
          </w:p>
        </w:tc>
      </w:tr>
      <w:tr w:rsidR="008F5605" w:rsidRPr="008F5605" w14:paraId="14159CDF" w14:textId="77777777">
        <w:tc>
          <w:tcPr>
            <w:tcW w:w="939" w:type="dxa"/>
            <w:tcBorders>
              <w:top w:val="single" w:sz="4" w:space="0" w:color="auto"/>
              <w:left w:val="single" w:sz="4" w:space="0" w:color="auto"/>
              <w:bottom w:val="single" w:sz="4" w:space="0" w:color="auto"/>
              <w:right w:val="single" w:sz="4" w:space="0" w:color="auto"/>
            </w:tcBorders>
            <w:hideMark/>
          </w:tcPr>
          <w:p w14:paraId="29363D8F"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R-03</w:t>
            </w:r>
          </w:p>
        </w:tc>
        <w:tc>
          <w:tcPr>
            <w:tcW w:w="2299" w:type="dxa"/>
            <w:tcBorders>
              <w:top w:val="single" w:sz="4" w:space="0" w:color="auto"/>
              <w:left w:val="single" w:sz="4" w:space="0" w:color="auto"/>
              <w:bottom w:val="single" w:sz="4" w:space="0" w:color="auto"/>
              <w:right w:val="single" w:sz="4" w:space="0" w:color="auto"/>
            </w:tcBorders>
            <w:hideMark/>
          </w:tcPr>
          <w:p w14:paraId="20E45524"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Data Integrity Failure.</w:t>
            </w:r>
          </w:p>
          <w:p w14:paraId="72A316C6" w14:textId="61F33C8C"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The</w:t>
            </w:r>
            <w:r w:rsidR="00177EFB">
              <w:rPr>
                <w:rFonts w:eastAsia="Times Roman"/>
                <w:color w:val="000000"/>
                <w14:textOutline w14:w="0" w14:cap="flat" w14:cmpd="sng" w14:algn="ctr">
                  <w14:noFill/>
                  <w14:prstDash w14:val="solid"/>
                  <w14:bevel/>
                </w14:textOutline>
              </w:rPr>
              <w:t xml:space="preserve"> balance sheet solution or downstream</w:t>
            </w:r>
            <w:r w:rsidRPr="008F5605">
              <w:rPr>
                <w:rFonts w:eastAsia="Times Roman"/>
                <w:color w:val="000000"/>
                <w14:textOutline w14:w="0" w14:cap="flat" w14:cmpd="sng" w14:algn="ctr">
                  <w14:noFill/>
                  <w14:prstDash w14:val="solid"/>
                  <w14:bevel/>
                </w14:textOutline>
              </w:rPr>
              <w:t xml:space="preserve"> </w:t>
            </w:r>
            <w:r w:rsidR="00177EFB">
              <w:rPr>
                <w:rFonts w:eastAsia="Times Roman"/>
                <w:color w:val="000000"/>
                <w14:textOutline w14:w="0" w14:cap="flat" w14:cmpd="sng" w14:algn="ctr">
                  <w14:noFill/>
                  <w14:prstDash w14:val="solid"/>
                  <w14:bevel/>
                </w14:textOutline>
              </w:rPr>
              <w:t>data pipeline</w:t>
            </w:r>
            <w:r w:rsidRPr="008F5605">
              <w:rPr>
                <w:rFonts w:eastAsia="Times Roman"/>
                <w:color w:val="000000"/>
                <w14:textOutline w14:w="0" w14:cap="flat" w14:cmpd="sng" w14:algn="ctr">
                  <w14:noFill/>
                  <w14:prstDash w14:val="solid"/>
                  <w14:bevel/>
                </w14:textOutline>
              </w:rPr>
              <w:t xml:space="preserve"> contains faulty logic or mapping errors, leading to inaccurate </w:t>
            </w:r>
            <w:r w:rsidR="00577250">
              <w:rPr>
                <w:rFonts w:eastAsia="Times Roman"/>
                <w:color w:val="000000"/>
                <w14:textOutline w14:w="0" w14:cap="flat" w14:cmpd="sng" w14:algn="ctr">
                  <w14:noFill/>
                  <w14:prstDash w14:val="solid"/>
                  <w14:bevel/>
                </w14:textOutline>
              </w:rPr>
              <w:t>data</w:t>
            </w:r>
            <w:r w:rsidRPr="008F5605">
              <w:rPr>
                <w:rFonts w:eastAsia="Times Roman"/>
                <w:color w:val="000000"/>
                <w14:textOutline w14:w="0" w14:cap="flat" w14:cmpd="sng" w14:algn="ctr">
                  <w14:noFill/>
                  <w14:prstDash w14:val="solid"/>
                  <w14:bevel/>
                </w14:textOutline>
              </w:rPr>
              <w:t>.</w:t>
            </w:r>
          </w:p>
        </w:tc>
        <w:tc>
          <w:tcPr>
            <w:tcW w:w="1686" w:type="dxa"/>
            <w:tcBorders>
              <w:top w:val="single" w:sz="4" w:space="0" w:color="auto"/>
              <w:left w:val="single" w:sz="4" w:space="0" w:color="auto"/>
              <w:bottom w:val="single" w:sz="4" w:space="0" w:color="auto"/>
              <w:right w:val="single" w:sz="4" w:space="0" w:color="auto"/>
            </w:tcBorders>
            <w:hideMark/>
          </w:tcPr>
          <w:p w14:paraId="75AD9BD1" w14:textId="582FBF35" w:rsidR="008F5605" w:rsidRPr="008F5605" w:rsidRDefault="00577250" w:rsidP="008F5605">
            <w:pPr>
              <w:suppressAutoHyphens/>
              <w:spacing w:after="240"/>
              <w:rPr>
                <w:rFonts w:eastAsia="Times Roman"/>
                <w:color w:val="000000"/>
                <w14:textOutline w14:w="0" w14:cap="flat" w14:cmpd="sng" w14:algn="ctr">
                  <w14:noFill/>
                  <w14:prstDash w14:val="solid"/>
                  <w14:bevel/>
                </w14:textOutline>
              </w:rPr>
            </w:pPr>
            <w:r>
              <w:rPr>
                <w:rFonts w:eastAsia="Times Roman"/>
                <w:color w:val="000000"/>
                <w14:textOutline w14:w="0" w14:cap="flat" w14:cmpd="sng" w14:algn="ctr">
                  <w14:noFill/>
                  <w14:prstDash w14:val="solid"/>
                  <w14:bevel/>
                </w14:textOutline>
              </w:rPr>
              <w:t>Low</w:t>
            </w:r>
          </w:p>
        </w:tc>
        <w:tc>
          <w:tcPr>
            <w:tcW w:w="1191" w:type="dxa"/>
            <w:tcBorders>
              <w:top w:val="single" w:sz="4" w:space="0" w:color="auto"/>
              <w:left w:val="single" w:sz="4" w:space="0" w:color="auto"/>
              <w:bottom w:val="single" w:sz="4" w:space="0" w:color="auto"/>
              <w:right w:val="single" w:sz="4" w:space="0" w:color="auto"/>
            </w:tcBorders>
            <w:hideMark/>
          </w:tcPr>
          <w:p w14:paraId="203FA4BA" w14:textId="3395E55F" w:rsidR="008F5605" w:rsidRPr="008F5605" w:rsidRDefault="00577250" w:rsidP="008F5605">
            <w:pPr>
              <w:suppressAutoHyphens/>
              <w:spacing w:after="240"/>
              <w:rPr>
                <w:rFonts w:eastAsia="Times Roman"/>
                <w:color w:val="000000"/>
                <w14:textOutline w14:w="0" w14:cap="flat" w14:cmpd="sng" w14:algn="ctr">
                  <w14:noFill/>
                  <w14:prstDash w14:val="solid"/>
                  <w14:bevel/>
                </w14:textOutline>
              </w:rPr>
            </w:pPr>
            <w:r>
              <w:rPr>
                <w:rFonts w:eastAsia="Times Roman"/>
                <w:color w:val="000000"/>
                <w14:textOutline w14:w="0" w14:cap="flat" w14:cmpd="sng" w14:algn="ctr">
                  <w14:noFill/>
                  <w14:prstDash w14:val="solid"/>
                  <w14:bevel/>
                </w14:textOutline>
              </w:rPr>
              <w:t>Medium</w:t>
            </w:r>
          </w:p>
        </w:tc>
        <w:tc>
          <w:tcPr>
            <w:tcW w:w="1080" w:type="dxa"/>
            <w:tcBorders>
              <w:top w:val="single" w:sz="4" w:space="0" w:color="auto"/>
              <w:left w:val="single" w:sz="4" w:space="0" w:color="auto"/>
              <w:bottom w:val="single" w:sz="4" w:space="0" w:color="auto"/>
              <w:right w:val="single" w:sz="4" w:space="0" w:color="auto"/>
            </w:tcBorders>
            <w:hideMark/>
          </w:tcPr>
          <w:p w14:paraId="449F3A87"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Medium</w:t>
            </w:r>
          </w:p>
        </w:tc>
        <w:tc>
          <w:tcPr>
            <w:tcW w:w="2155" w:type="dxa"/>
            <w:tcBorders>
              <w:top w:val="single" w:sz="4" w:space="0" w:color="auto"/>
              <w:left w:val="single" w:sz="4" w:space="0" w:color="auto"/>
              <w:bottom w:val="single" w:sz="4" w:space="0" w:color="auto"/>
              <w:right w:val="single" w:sz="4" w:space="0" w:color="auto"/>
            </w:tcBorders>
            <w:hideMark/>
          </w:tcPr>
          <w:p w14:paraId="2B952768" w14:textId="05CE20D0" w:rsidR="008F5605" w:rsidRPr="008F5605" w:rsidRDefault="00577250" w:rsidP="008F5605">
            <w:pPr>
              <w:suppressAutoHyphens/>
              <w:spacing w:after="240"/>
              <w:rPr>
                <w:rFonts w:eastAsia="Times Roman"/>
                <w:color w:val="000000"/>
                <w14:textOutline w14:w="0" w14:cap="flat" w14:cmpd="sng" w14:algn="ctr">
                  <w14:noFill/>
                  <w14:prstDash w14:val="solid"/>
                  <w14:bevel/>
                </w14:textOutline>
              </w:rPr>
            </w:pPr>
            <w:r>
              <w:rPr>
                <w:rFonts w:eastAsia="Times Roman"/>
                <w:color w:val="000000"/>
                <w14:textOutline w14:w="0" w14:cap="flat" w14:cmpd="sng" w14:algn="ctr">
                  <w14:noFill/>
                  <w14:prstDash w14:val="solid"/>
                  <w14:bevel/>
                </w14:textOutline>
              </w:rPr>
              <w:t xml:space="preserve">Provide ample time to project resources for calculation and data validation at all stages of the project, from requirements definition to testing. </w:t>
            </w:r>
            <w:r w:rsidR="008F5605" w:rsidRPr="008F5605">
              <w:rPr>
                <w:rFonts w:eastAsia="Times Roman"/>
                <w:color w:val="000000"/>
                <w14:textOutline w14:w="0" w14:cap="flat" w14:cmpd="sng" w14:algn="ctr">
                  <w14:noFill/>
                  <w14:prstDash w14:val="solid"/>
                  <w14:bevel/>
                </w14:textOutline>
              </w:rPr>
              <w:t>Automate all</w:t>
            </w:r>
            <w:r>
              <w:rPr>
                <w:rFonts w:eastAsia="Times Roman"/>
                <w:color w:val="000000"/>
                <w14:textOutline w14:w="0" w14:cap="flat" w14:cmpd="sng" w14:algn="ctr">
                  <w14:noFill/>
                  <w14:prstDash w14:val="solid"/>
                  <w14:bevel/>
                </w14:textOutline>
              </w:rPr>
              <w:t xml:space="preserve"> </w:t>
            </w:r>
            <w:r w:rsidR="008F5605" w:rsidRPr="008F5605">
              <w:rPr>
                <w:rFonts w:eastAsia="Times Roman"/>
                <w:color w:val="000000"/>
                <w14:textOutline w14:w="0" w14:cap="flat" w14:cmpd="sng" w14:algn="ctr">
                  <w14:noFill/>
                  <w14:prstDash w14:val="solid"/>
                  <w14:bevel/>
                </w14:textOutline>
              </w:rPr>
              <w:t>integration testing with robust development of detailed use case-driven test cases</w:t>
            </w:r>
            <w:r>
              <w:rPr>
                <w:rFonts w:eastAsia="Times Roman"/>
                <w:color w:val="000000"/>
                <w14:textOutline w14:w="0" w14:cap="flat" w14:cmpd="sng" w14:algn="ctr">
                  <w14:noFill/>
                  <w14:prstDash w14:val="solid"/>
                  <w14:bevel/>
                </w14:textOutline>
              </w:rPr>
              <w:t>, if possible.</w:t>
            </w:r>
          </w:p>
        </w:tc>
      </w:tr>
    </w:tbl>
    <w:p w14:paraId="1C2FD38E"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71D3BF6E" w14:textId="77777777" w:rsidR="008F5605" w:rsidRPr="008F5605" w:rsidRDefault="008F5605" w:rsidP="008F5605">
      <w:pPr>
        <w:spacing w:after="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kern w:val="0"/>
          <w14:ligatures w14:val="none"/>
        </w:rPr>
        <w:br w:type="page"/>
      </w:r>
    </w:p>
    <w:p w14:paraId="6363DEC9"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0966C0BB" w14:textId="2C68DC48" w:rsidR="008F5605" w:rsidRPr="008F5605" w:rsidRDefault="008F5605" w:rsidP="008F5605">
      <w:pPr>
        <w:spacing w:after="0" w:line="240" w:lineRule="auto"/>
        <w:rPr>
          <w:rFonts w:ascii="Times New Roman" w:eastAsia="Arial Unicode MS" w:hAnsi="Times New Roman" w:cs="Times New Roman"/>
          <w:smallCaps/>
          <w:color w:val="5A5A5A"/>
          <w:kern w:val="0"/>
          <w14:ligatures w14:val="none"/>
        </w:rPr>
      </w:pPr>
      <w:r w:rsidRPr="008F5605">
        <w:rPr>
          <w:rFonts w:ascii="Times New Roman" w:eastAsia="Arial Unicode MS" w:hAnsi="Times New Roman" w:cs="Times New Roman"/>
          <w:smallCaps/>
          <w:color w:val="5A5A5A"/>
          <w:kern w:val="0"/>
          <w14:ligatures w14:val="none"/>
        </w:rPr>
        <w:t>Implementation Barriers and Mitigation Strategies</w:t>
      </w:r>
    </w:p>
    <w:p w14:paraId="45FC7523"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15383E23" w14:textId="662F108F" w:rsidR="00B74AA0"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 xml:space="preserve">During the review and analysis of this project retrospectively, it was striking to notice the </w:t>
      </w:r>
      <w:r w:rsidR="00113F2F">
        <w:rPr>
          <w:rFonts w:ascii="Times New Roman" w:eastAsia="Arial Unicode MS" w:hAnsi="Times New Roman" w:cs="Times New Roman"/>
          <w:kern w:val="0"/>
          <w14:ligatures w14:val="none"/>
        </w:rPr>
        <w:t xml:space="preserve">nature of the partnership between business stakeholders and IT. As in so many organizations, Greenfield’s IT organization has struggled with asserting an advisory role in initiatives </w:t>
      </w:r>
      <w:r w:rsidR="00445E0E">
        <w:rPr>
          <w:rFonts w:ascii="Times New Roman" w:eastAsia="Arial Unicode MS" w:hAnsi="Times New Roman" w:cs="Times New Roman"/>
          <w:kern w:val="0"/>
          <w14:ligatures w14:val="none"/>
        </w:rPr>
        <w:t xml:space="preserve">originating in the business. While Greenfield’s business leadership is not prone to adopting technology merely for the sake of technology, there remains a gap in assessing the viability of some solutions in the real world. </w:t>
      </w:r>
      <w:r w:rsidR="003D20B9">
        <w:rPr>
          <w:rFonts w:ascii="Times New Roman" w:eastAsia="Arial Unicode MS" w:hAnsi="Times New Roman" w:cs="Times New Roman"/>
          <w:kern w:val="0"/>
          <w14:ligatures w14:val="none"/>
        </w:rPr>
        <w:t xml:space="preserve">The client portal is an example of that: the Minimum Viable Product (MVP) developed for the portal was designed as a means to accelerate self-service, but usability was not factored into the value proposition. Although the portal was intended to be the gateway through which clients would eventually begin to </w:t>
      </w:r>
      <w:r w:rsidR="00B74AA0">
        <w:rPr>
          <w:rFonts w:ascii="Times New Roman" w:eastAsia="Arial Unicode MS" w:hAnsi="Times New Roman" w:cs="Times New Roman"/>
          <w:kern w:val="0"/>
          <w14:ligatures w14:val="none"/>
        </w:rPr>
        <w:t>self-serve</w:t>
      </w:r>
      <w:r w:rsidR="003D20B9">
        <w:rPr>
          <w:rFonts w:ascii="Times New Roman" w:eastAsia="Arial Unicode MS" w:hAnsi="Times New Roman" w:cs="Times New Roman"/>
          <w:kern w:val="0"/>
          <w14:ligatures w14:val="none"/>
        </w:rPr>
        <w:t xml:space="preserve">, the platform’s functionality stagnated without ongoing, iterative enhancement that would have potentially driven adoption. This is a common occurrence in many organizations. Every quarter and every fiscal year provide fertile ground for ideation of new initiatives, often at the expense of first-generation MVPs that are no longer the “shiny thing” they once were. </w:t>
      </w:r>
      <w:r w:rsidR="00B74AA0">
        <w:rPr>
          <w:rFonts w:ascii="Times New Roman" w:eastAsia="Arial Unicode MS" w:hAnsi="Times New Roman" w:cs="Times New Roman"/>
          <w:kern w:val="0"/>
          <w14:ligatures w14:val="none"/>
        </w:rPr>
        <w:t xml:space="preserve">As a result, this project demands that the business implement means of measurable improvements to client portal adoption and that those improvements are sustainable for the duration of the portal’s lifespan. To do otherwise invites immediate failure: the development of an attractive, </w:t>
      </w:r>
      <w:r w:rsidR="0016762A">
        <w:rPr>
          <w:rFonts w:ascii="Times New Roman" w:eastAsia="Arial Unicode MS" w:hAnsi="Times New Roman" w:cs="Times New Roman"/>
          <w:kern w:val="0"/>
          <w14:ligatures w14:val="none"/>
        </w:rPr>
        <w:t>easy-to-use</w:t>
      </w:r>
      <w:r w:rsidR="00B74AA0">
        <w:rPr>
          <w:rFonts w:ascii="Times New Roman" w:eastAsia="Arial Unicode MS" w:hAnsi="Times New Roman" w:cs="Times New Roman"/>
          <w:kern w:val="0"/>
          <w14:ligatures w14:val="none"/>
        </w:rPr>
        <w:t xml:space="preserve"> tool with no user base.</w:t>
      </w:r>
    </w:p>
    <w:p w14:paraId="0C59B721" w14:textId="77777777" w:rsidR="00B74AA0" w:rsidRDefault="00B74AA0" w:rsidP="008F5605">
      <w:pPr>
        <w:spacing w:after="0" w:line="240" w:lineRule="auto"/>
        <w:ind w:firstLine="720"/>
        <w:rPr>
          <w:rFonts w:ascii="Times New Roman" w:eastAsia="Arial Unicode MS" w:hAnsi="Times New Roman" w:cs="Times New Roman"/>
          <w:kern w:val="0"/>
          <w14:ligatures w14:val="none"/>
        </w:rPr>
      </w:pPr>
    </w:p>
    <w:p w14:paraId="22954710" w14:textId="2FD58450" w:rsidR="00D8040D" w:rsidRDefault="0016762A" w:rsidP="00573F9E">
      <w:pPr>
        <w:spacing w:after="0" w:line="240" w:lineRule="auto"/>
        <w:ind w:firstLine="720"/>
        <w:rPr>
          <w:rFonts w:ascii="Times New Roman" w:eastAsia="Arial Unicode MS" w:hAnsi="Times New Roman" w:cs="Times New Roman"/>
          <w:kern w:val="0"/>
          <w14:ligatures w14:val="none"/>
        </w:rPr>
      </w:pPr>
      <w:r>
        <w:rPr>
          <w:rFonts w:ascii="Times New Roman" w:eastAsia="Arial Unicode MS" w:hAnsi="Times New Roman" w:cs="Times New Roman"/>
          <w:kern w:val="0"/>
          <w14:ligatures w14:val="none"/>
        </w:rPr>
        <w:t>Greenfield’s data transformation initiatives are a primary driver of IT development. The organization has sought to automate a number of manual processes and has developed system integration across a wide span of its platforms, including between Salesforce and its document management solution, its accounting and general ledger systems, its loan origination platforms</w:t>
      </w:r>
      <w:r w:rsidR="00B2020E">
        <w:rPr>
          <w:rFonts w:ascii="Times New Roman" w:eastAsia="Arial Unicode MS" w:hAnsi="Times New Roman" w:cs="Times New Roman"/>
          <w:kern w:val="0"/>
          <w14:ligatures w14:val="none"/>
        </w:rPr>
        <w:t>,</w:t>
      </w:r>
      <w:r>
        <w:rPr>
          <w:rFonts w:ascii="Times New Roman" w:eastAsia="Arial Unicode MS" w:hAnsi="Times New Roman" w:cs="Times New Roman"/>
          <w:kern w:val="0"/>
          <w14:ligatures w14:val="none"/>
        </w:rPr>
        <w:t xml:space="preserve"> and other key operational surfaces. As a consequence, the subject matter experts who provide the data mapping and validation during such projects are constantly in demand and hard to secure. Their leadership is protective of them following extended periods of demanding engagement to ensure their satisfaction and well-being. New projects that require access to this talented team compete with ongoing initiatives, technical debt resolution, and regular maintenance initiatives</w:t>
      </w:r>
      <w:r w:rsidR="00B2020E">
        <w:rPr>
          <w:rFonts w:ascii="Times New Roman" w:eastAsia="Arial Unicode MS" w:hAnsi="Times New Roman" w:cs="Times New Roman"/>
          <w:kern w:val="0"/>
          <w14:ligatures w14:val="none"/>
        </w:rPr>
        <w:t>,</w:t>
      </w:r>
      <w:r>
        <w:rPr>
          <w:rFonts w:ascii="Times New Roman" w:eastAsia="Arial Unicode MS" w:hAnsi="Times New Roman" w:cs="Times New Roman"/>
          <w:kern w:val="0"/>
          <w14:ligatures w14:val="none"/>
        </w:rPr>
        <w:t xml:space="preserve"> as well as with each other. </w:t>
      </w:r>
      <w:r w:rsidR="002356C9">
        <w:rPr>
          <w:rFonts w:ascii="Times New Roman" w:eastAsia="Arial Unicode MS" w:hAnsi="Times New Roman" w:cs="Times New Roman"/>
          <w:kern w:val="0"/>
          <w14:ligatures w14:val="none"/>
        </w:rPr>
        <w:t>Because of Greenfield’s nature as a niche financial services organization, recruitment of talent is challenging</w:t>
      </w:r>
      <w:r w:rsidR="00B2020E">
        <w:rPr>
          <w:rFonts w:ascii="Times New Roman" w:eastAsia="Arial Unicode MS" w:hAnsi="Times New Roman" w:cs="Times New Roman"/>
          <w:kern w:val="0"/>
          <w14:ligatures w14:val="none"/>
        </w:rPr>
        <w:t>,</w:t>
      </w:r>
      <w:r w:rsidR="002356C9">
        <w:rPr>
          <w:rFonts w:ascii="Times New Roman" w:eastAsia="Arial Unicode MS" w:hAnsi="Times New Roman" w:cs="Times New Roman"/>
          <w:kern w:val="0"/>
          <w14:ligatures w14:val="none"/>
        </w:rPr>
        <w:t xml:space="preserve"> and retention is paramount. It is absolutely incumbent on project and executive leadership to make a well-grounded and data-supported case for the </w:t>
      </w:r>
      <w:r w:rsidR="002356C9" w:rsidRPr="002356C9">
        <w:rPr>
          <w:rFonts w:ascii="Times New Roman" w:eastAsia="Arial Unicode MS" w:hAnsi="Times New Roman" w:cs="Times New Roman"/>
          <w:i/>
          <w:iCs/>
          <w:kern w:val="0"/>
          <w14:ligatures w14:val="none"/>
        </w:rPr>
        <w:t>Seedling</w:t>
      </w:r>
      <w:r w:rsidR="002356C9">
        <w:rPr>
          <w:rFonts w:ascii="Times New Roman" w:eastAsia="Arial Unicode MS" w:hAnsi="Times New Roman" w:cs="Times New Roman"/>
          <w:kern w:val="0"/>
          <w14:ligatures w14:val="none"/>
        </w:rPr>
        <w:t xml:space="preserve"> project to secure SME resources. </w:t>
      </w:r>
      <w:r w:rsidR="00D8040D">
        <w:rPr>
          <w:rFonts w:ascii="Times New Roman" w:eastAsia="Arial Unicode MS" w:hAnsi="Times New Roman" w:cs="Times New Roman"/>
          <w:kern w:val="0"/>
          <w14:ligatures w14:val="none"/>
        </w:rPr>
        <w:t>As noted earlier, the business must prove ROI and other non-tangible benefits to “sell” the project relative to other competing initiatives. Without the SMEs, the project cannot move forward.</w:t>
      </w:r>
    </w:p>
    <w:p w14:paraId="181CC3DB"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22925DC3" w14:textId="27285FAB"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The ability to ferret out potential risks and barriers to implementation requires substantial knowledge of organizational culture and priorities. In any organization, the quality of interpersonal relationships, competing priorities, and resource constraints has an enormous impact on effective collaboration and transparency. As I’ve related elsewhere, it is incumbent on a project manager to build and retain trust in order to, in turn, gain insight into how to elicit an accurate picture of the overarching landscape. The quality of the relationships established with stakeholders, interested parties</w:t>
      </w:r>
      <w:r w:rsidR="00573F9E">
        <w:rPr>
          <w:rFonts w:ascii="Times New Roman" w:eastAsia="Arial Unicode MS" w:hAnsi="Times New Roman" w:cs="Times New Roman"/>
          <w:kern w:val="0"/>
          <w14:ligatures w14:val="none"/>
        </w:rPr>
        <w:t>,</w:t>
      </w:r>
      <w:r w:rsidRPr="008F5605">
        <w:rPr>
          <w:rFonts w:ascii="Times New Roman" w:eastAsia="Arial Unicode MS" w:hAnsi="Times New Roman" w:cs="Times New Roman"/>
          <w:kern w:val="0"/>
          <w14:ligatures w14:val="none"/>
        </w:rPr>
        <w:t xml:space="preserve"> and executive leadership is crucial to ensuring honest, forthright communication. Cultivation of strong cross-functional relationships is essential for the candid disclosure of technical vulnerabilities, compliance risks, and cultural obstacles. </w:t>
      </w:r>
    </w:p>
    <w:p w14:paraId="6423B3F7"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48BBF86D" w14:textId="3BD7DF0F" w:rsidR="008F5605" w:rsidRPr="008F5605" w:rsidRDefault="008F5605" w:rsidP="003B4F87">
      <w:pPr>
        <w:spacing w:after="0" w:line="240" w:lineRule="auto"/>
        <w:rPr>
          <w:rFonts w:ascii="Times New Roman" w:eastAsia="Arial Unicode MS" w:hAnsi="Times New Roman" w:cs="Times New Roman"/>
          <w:kern w:val="0"/>
          <w14:ligatures w14:val="none"/>
        </w:rPr>
      </w:pPr>
    </w:p>
    <w:p w14:paraId="6E364470" w14:textId="25348CE1" w:rsidR="008F5605" w:rsidRPr="008F5605" w:rsidRDefault="00573F9E" w:rsidP="008F5605">
      <w:pPr>
        <w:spacing w:after="0" w:line="240" w:lineRule="auto"/>
        <w:rPr>
          <w:rFonts w:ascii="Times New Roman" w:eastAsia="Arial Unicode MS" w:hAnsi="Times New Roman" w:cs="Times New Roman"/>
          <w:smallCaps/>
          <w:color w:val="5A5A5A"/>
          <w:kern w:val="0"/>
          <w14:ligatures w14:val="none"/>
        </w:rPr>
      </w:pPr>
      <w:r>
        <w:rPr>
          <w:rFonts w:ascii="Times New Roman" w:eastAsia="Arial Unicode MS" w:hAnsi="Times New Roman" w:cs="Times New Roman"/>
          <w:smallCaps/>
          <w:color w:val="5A5A5A"/>
          <w:kern w:val="0"/>
          <w14:ligatures w14:val="none"/>
        </w:rPr>
        <w:t>The Project Manager as a Trusted Advisor and Consultant</w:t>
      </w:r>
    </w:p>
    <w:p w14:paraId="32EC6A89"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0275586C" w14:textId="07E7FE1B" w:rsidR="008F5605" w:rsidRPr="008F5605" w:rsidRDefault="00AB29C8" w:rsidP="008D7475">
      <w:pPr>
        <w:spacing w:after="0" w:line="240" w:lineRule="auto"/>
        <w:ind w:firstLine="720"/>
        <w:rPr>
          <w:rFonts w:ascii="Times New Roman" w:eastAsia="Arial Unicode MS" w:hAnsi="Times New Roman" w:cs="Times New Roman"/>
          <w:kern w:val="0"/>
          <w14:ligatures w14:val="none"/>
        </w:rPr>
      </w:pPr>
      <w:r>
        <w:rPr>
          <w:rFonts w:ascii="Times New Roman" w:eastAsia="Arial Unicode MS" w:hAnsi="Times New Roman" w:cs="Times New Roman"/>
          <w:kern w:val="0"/>
          <w14:ligatures w14:val="none"/>
        </w:rPr>
        <w:t>Early in my career, I worked for a manager who explained his role as a trusted advisor to operational leadership. He related that, by serving as a knowledgeable and informed consultant to the business</w:t>
      </w:r>
      <w:r w:rsidR="001B60C4">
        <w:rPr>
          <w:rFonts w:ascii="Times New Roman" w:eastAsia="Arial Unicode MS" w:hAnsi="Times New Roman" w:cs="Times New Roman"/>
          <w:kern w:val="0"/>
          <w14:ligatures w14:val="none"/>
        </w:rPr>
        <w:t>, he was able to</w:t>
      </w:r>
      <w:r w:rsidR="003B4F87">
        <w:rPr>
          <w:rFonts w:ascii="Times New Roman" w:eastAsia="Arial Unicode MS" w:hAnsi="Times New Roman" w:cs="Times New Roman"/>
          <w:kern w:val="0"/>
          <w14:ligatures w14:val="none"/>
        </w:rPr>
        <w:t xml:space="preserve"> influence strategic planning and tactical approaches to ongoing work. </w:t>
      </w:r>
      <w:r w:rsidR="001B60C4">
        <w:rPr>
          <w:rFonts w:ascii="Times New Roman" w:eastAsia="Arial Unicode MS" w:hAnsi="Times New Roman" w:cs="Times New Roman"/>
          <w:kern w:val="0"/>
          <w14:ligatures w14:val="none"/>
        </w:rPr>
        <w:t>This role</w:t>
      </w:r>
      <w:r w:rsidR="003B4F87">
        <w:rPr>
          <w:rFonts w:ascii="Times New Roman" w:eastAsia="Arial Unicode MS" w:hAnsi="Times New Roman" w:cs="Times New Roman"/>
          <w:kern w:val="0"/>
          <w14:ligatures w14:val="none"/>
        </w:rPr>
        <w:t xml:space="preserve"> positioned </w:t>
      </w:r>
      <w:r w:rsidR="001B60C4">
        <w:rPr>
          <w:rFonts w:ascii="Times New Roman" w:eastAsia="Arial Unicode MS" w:hAnsi="Times New Roman" w:cs="Times New Roman"/>
          <w:kern w:val="0"/>
          <w14:ligatures w14:val="none"/>
        </w:rPr>
        <w:t xml:space="preserve">him </w:t>
      </w:r>
      <w:r w:rsidR="003B4F87">
        <w:rPr>
          <w:rFonts w:ascii="Times New Roman" w:eastAsia="Arial Unicode MS" w:hAnsi="Times New Roman" w:cs="Times New Roman"/>
          <w:kern w:val="0"/>
          <w14:ligatures w14:val="none"/>
        </w:rPr>
        <w:t xml:space="preserve">to advocate for the success of the business by factoring in a holistic vision of the intersection of business need and technical capability. </w:t>
      </w:r>
      <w:r w:rsidR="00AF6A44">
        <w:rPr>
          <w:rFonts w:ascii="Times New Roman" w:eastAsia="Arial Unicode MS" w:hAnsi="Times New Roman" w:cs="Times New Roman"/>
          <w:kern w:val="0"/>
          <w14:ligatures w14:val="none"/>
        </w:rPr>
        <w:t>I adopted the goal of serving as a consulting advisor early in my career and believe p</w:t>
      </w:r>
      <w:r w:rsidR="00ED7516">
        <w:rPr>
          <w:rFonts w:ascii="Times New Roman" w:eastAsia="Arial Unicode MS" w:hAnsi="Times New Roman" w:cs="Times New Roman"/>
          <w:kern w:val="0"/>
          <w14:ligatures w14:val="none"/>
        </w:rPr>
        <w:t xml:space="preserve">roject leadership resources are called to look beyond the foundational elements of project execution in favor of proactively identifying obstacles or alternative approaches that could impact ultimate ROI. </w:t>
      </w:r>
      <w:r w:rsidR="00980F2A">
        <w:rPr>
          <w:rFonts w:ascii="Times New Roman" w:eastAsia="Arial Unicode MS" w:hAnsi="Times New Roman" w:cs="Times New Roman"/>
          <w:kern w:val="0"/>
          <w14:ligatures w14:val="none"/>
        </w:rPr>
        <w:t xml:space="preserve">Doing so requires constant communication with key resources in leadership roles, but also with their subordinates and peers. As I’ve related earlier, the quality and professional intimacy of business relationships with IT resources </w:t>
      </w:r>
      <w:r w:rsidR="00B2020E">
        <w:rPr>
          <w:rFonts w:ascii="Times New Roman" w:eastAsia="Arial Unicode MS" w:hAnsi="Times New Roman" w:cs="Times New Roman"/>
          <w:kern w:val="0"/>
          <w14:ligatures w14:val="none"/>
        </w:rPr>
        <w:t>are</w:t>
      </w:r>
      <w:r w:rsidR="00980F2A">
        <w:rPr>
          <w:rFonts w:ascii="Times New Roman" w:eastAsia="Arial Unicode MS" w:hAnsi="Times New Roman" w:cs="Times New Roman"/>
          <w:kern w:val="0"/>
          <w14:ligatures w14:val="none"/>
        </w:rPr>
        <w:t xml:space="preserve"> influential </w:t>
      </w:r>
      <w:r w:rsidR="008053E4">
        <w:rPr>
          <w:rFonts w:ascii="Times New Roman" w:eastAsia="Arial Unicode MS" w:hAnsi="Times New Roman" w:cs="Times New Roman"/>
          <w:kern w:val="0"/>
          <w14:ligatures w14:val="none"/>
        </w:rPr>
        <w:t>factors</w:t>
      </w:r>
      <w:r w:rsidR="00980F2A">
        <w:rPr>
          <w:rFonts w:ascii="Times New Roman" w:eastAsia="Arial Unicode MS" w:hAnsi="Times New Roman" w:cs="Times New Roman"/>
          <w:kern w:val="0"/>
          <w14:ligatures w14:val="none"/>
        </w:rPr>
        <w:t xml:space="preserve"> in project outcome</w:t>
      </w:r>
      <w:r w:rsidR="007B7CFE">
        <w:rPr>
          <w:rFonts w:ascii="Times New Roman" w:eastAsia="Arial Unicode MS" w:hAnsi="Times New Roman" w:cs="Times New Roman"/>
          <w:kern w:val="0"/>
          <w14:ligatures w14:val="none"/>
        </w:rPr>
        <w:t>s. But it is not enough to forge credibility regarding project execution and deliverables; IT project teams who want to avoid becoming “ticket takers” must learn business processes, expose themselves to the business’s key metrics and initiatives, and position themselves to speak to how organizational operations can be impacted, improved, or impaired by the intersection of people, processes, and technology.</w:t>
      </w:r>
    </w:p>
    <w:p w14:paraId="6ACDDE28"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76D083D7" w14:textId="77777777" w:rsidR="008F5605" w:rsidRPr="008F5605" w:rsidRDefault="008F5605" w:rsidP="008F5605">
      <w:pPr>
        <w:spacing w:after="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385EC1D2"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t>Legal, Ethical, and Policy Analysis</w:t>
      </w:r>
    </w:p>
    <w:p w14:paraId="263E72B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Legal Issues and Resolution</w:t>
      </w:r>
    </w:p>
    <w:p w14:paraId="454B4E3F" w14:textId="6EDA1D6C" w:rsidR="00BD02D7"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primary legal issue </w:t>
      </w:r>
      <w:r w:rsidR="0066350F">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to be considered in </w:t>
      </w:r>
      <w:r w:rsidR="0066350F" w:rsidRPr="0066350F">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Seedling’s</w:t>
      </w:r>
      <w:r w:rsidR="0066350F">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implementation </w:t>
      </w:r>
      <w:r w:rsidR="008053E4">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relates to </w:t>
      </w:r>
      <w:r w:rsidR="00C605ED">
        <w:rPr>
          <w:rFonts w:ascii="Times New Roman" w:eastAsia="Arial Unicode MS" w:hAnsi="Times New Roman" w:cs="Times New Roman"/>
          <w:color w:val="000000"/>
          <w:kern w:val="0"/>
          <w14:textOutline w14:w="0" w14:cap="flat" w14:cmpd="sng" w14:algn="ctr">
            <w14:noFill/>
            <w14:prstDash w14:val="solid"/>
            <w14:bevel/>
          </w14:textOutline>
          <w14:ligatures w14:val="none"/>
        </w:rPr>
        <w:t>regulator</w:t>
      </w:r>
      <w:r w:rsidR="008053E4">
        <w:rPr>
          <w:rFonts w:ascii="Times New Roman" w:eastAsia="Arial Unicode MS" w:hAnsi="Times New Roman" w:cs="Times New Roman"/>
          <w:color w:val="000000"/>
          <w:kern w:val="0"/>
          <w14:textOutline w14:w="0" w14:cap="flat" w14:cmpd="sng" w14:algn="ctr">
            <w14:noFill/>
            <w14:prstDash w14:val="solid"/>
            <w14:bevel/>
          </w14:textOutline>
          <w14:ligatures w14:val="none"/>
        </w:rPr>
        <w:t>y</w:t>
      </w:r>
      <w:r w:rsidR="00C605E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compliance issues. </w:t>
      </w:r>
      <w:r w:rsidR="00BD02D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As an Agricultural Credit Association (ACA), Greenfield is compelled to ensure data </w:t>
      </w:r>
      <w:r w:rsidR="00B01671">
        <w:rPr>
          <w:rFonts w:ascii="Times New Roman" w:eastAsia="Arial Unicode MS" w:hAnsi="Times New Roman" w:cs="Times New Roman"/>
          <w:color w:val="000000"/>
          <w:kern w:val="0"/>
          <w14:textOutline w14:w="0" w14:cap="flat" w14:cmpd="sng" w14:algn="ctr">
            <w14:noFill/>
            <w14:prstDash w14:val="solid"/>
            <w14:bevel/>
          </w14:textOutline>
          <w14:ligatures w14:val="none"/>
        </w:rPr>
        <w:t>integrity</w:t>
      </w:r>
      <w:r w:rsidR="00BD02D7">
        <w:rPr>
          <w:rFonts w:ascii="Times New Roman" w:eastAsia="Arial Unicode MS" w:hAnsi="Times New Roman" w:cs="Times New Roman"/>
          <w:color w:val="000000"/>
          <w:kern w:val="0"/>
          <w14:textOutline w14:w="0" w14:cap="flat" w14:cmpd="sng" w14:algn="ctr">
            <w14:noFill/>
            <w14:prstDash w14:val="solid"/>
            <w14:bevel/>
          </w14:textOutline>
          <w14:ligatures w14:val="none"/>
        </w:rPr>
        <w:t>, auditability, and fiduciary responsibility regarding client records. ACA regulations, governed by the Farm Credit Administration (FCA), mandate that all lending and financial reporting decisions be based on accurate, auditable, and timely data</w:t>
      </w:r>
      <w:r w:rsidR="00954BC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(Farm Credit Association, </w:t>
      </w:r>
      <w:r w:rsidR="00C7417E">
        <w:rPr>
          <w:rFonts w:ascii="Times New Roman" w:eastAsia="Arial Unicode MS" w:hAnsi="Times New Roman" w:cs="Times New Roman"/>
          <w:color w:val="000000"/>
          <w:kern w:val="0"/>
          <w14:textOutline w14:w="0" w14:cap="flat" w14:cmpd="sng" w14:algn="ctr">
            <w14:noFill/>
            <w14:prstDash w14:val="solid"/>
            <w14:bevel/>
          </w14:textOutline>
          <w14:ligatures w14:val="none"/>
        </w:rPr>
        <w:t>2023)</w:t>
      </w:r>
      <w:r w:rsidR="00BD02D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former manual intake process for balance sheets exposed the organization to systemic legal risk by introducing the prospect for human error into </w:t>
      </w:r>
      <w:r w:rsidR="008053E4">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w:t>
      </w:r>
      <w:r w:rsidR="00BD02D7">
        <w:rPr>
          <w:rFonts w:ascii="Times New Roman" w:eastAsia="Arial Unicode MS" w:hAnsi="Times New Roman" w:cs="Times New Roman"/>
          <w:color w:val="000000"/>
          <w:kern w:val="0"/>
          <w14:textOutline w14:w="0" w14:cap="flat" w14:cmpd="sng" w14:algn="ctr">
            <w14:noFill/>
            <w14:prstDash w14:val="solid"/>
            <w14:bevel/>
          </w14:textOutline>
          <w14:ligatures w14:val="none"/>
        </w:rPr>
        <w:t>data chain, resulting in the potential for corruption of the chain of custody for sensitive data. The implementation of the automated ETL pipeline, with a project mandate for 100% data accuracy during all stages of testing, is not merely a technical preference, but a compliance mechanism that establishes an unbroken, auditable digital trail for every element of each balance sheet’s dataset, ensuring that Greenfield meets its regulatory obligation to maintain unquestionable data fidelity for credit assessments, underwriting, and external audits.</w:t>
      </w:r>
    </w:p>
    <w:p w14:paraId="74D40727" w14:textId="77777777" w:rsidR="00BD02D7" w:rsidRDefault="00BD02D7"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22C03EC9" w14:textId="629C6A7A" w:rsidR="00D15F6B"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Additionally, </w:t>
      </w:r>
      <w:r w:rsidR="00564F2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implementation of client </w:t>
      </w:r>
      <w:r w:rsidR="00000454">
        <w:rPr>
          <w:rFonts w:ascii="Times New Roman" w:eastAsia="Arial Unicode MS" w:hAnsi="Times New Roman" w:cs="Times New Roman"/>
          <w:color w:val="000000"/>
          <w:kern w:val="0"/>
          <w14:textOutline w14:w="0" w14:cap="flat" w14:cmpd="sng" w14:algn="ctr">
            <w14:noFill/>
            <w14:prstDash w14:val="solid"/>
            <w14:bevel/>
          </w14:textOutline>
          <w14:ligatures w14:val="none"/>
        </w:rPr>
        <w:t>self-service</w:t>
      </w:r>
      <w:r w:rsidR="00564F21">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mitigates regulatory risk by shifting the </w:t>
      </w:r>
      <w:r w:rsidR="00000454">
        <w:rPr>
          <w:rFonts w:ascii="Times New Roman" w:eastAsia="Arial Unicode MS" w:hAnsi="Times New Roman" w:cs="Times New Roman"/>
          <w:color w:val="000000"/>
          <w:kern w:val="0"/>
          <w14:textOutline w14:w="0" w14:cap="flat" w14:cmpd="sng" w14:algn="ctr">
            <w14:noFill/>
            <w14:prstDash w14:val="solid"/>
            <w14:bevel/>
          </w14:textOutline>
          <w14:ligatures w14:val="none"/>
        </w:rPr>
        <w:t>data entry responsibility to the client and away from manual processes. The environment in which clients will submit balance sheet data is controlled and validated,</w:t>
      </w:r>
      <w:r w:rsidR="00AC5AA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places the onus for data quality and accuracy on the client once the manual data entry by internal resources is eliminated. </w:t>
      </w:r>
      <w:r w:rsidR="005D135C">
        <w:rPr>
          <w:rFonts w:ascii="Times New Roman" w:eastAsia="Arial Unicode MS" w:hAnsi="Times New Roman" w:cs="Times New Roman"/>
          <w:color w:val="000000"/>
          <w:kern w:val="0"/>
          <w14:textOutline w14:w="0" w14:cap="flat" w14:cmpd="sng" w14:algn="ctr">
            <w14:noFill/>
            <w14:prstDash w14:val="solid"/>
            <w14:bevel/>
          </w14:textOutline>
          <w14:ligatures w14:val="none"/>
        </w:rPr>
        <w:t>While the calculation logic and validation rules in the planned balance sheet functionality still place responsibility on Greenfield relative to their accuracy, the organization can also rest assured that all balance sheet data is treated in the same fashion and that the only potential for incorrect data stems from client error. Validation of user inputs via robust business rules and calculation methodologies</w:t>
      </w:r>
      <w:r w:rsidR="0038374F">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not only serves to eliminate inconsistencies from one balance sheet to the next, but the </w:t>
      </w:r>
      <w:r w:rsidR="00D15F6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diligence required to implement those rules and methodologies establishes the organization’s bona fides during any audit activity. In the final deliverable, the project creates a clean, auditable digital chain of custody from the source to the SSOT and downstream, securing the data fidelity required by the </w:t>
      </w:r>
      <w:r w:rsidR="00DB629B">
        <w:rPr>
          <w:rFonts w:ascii="Times New Roman" w:eastAsia="Arial Unicode MS" w:hAnsi="Times New Roman" w:cs="Times New Roman"/>
          <w:color w:val="000000"/>
          <w:kern w:val="0"/>
          <w14:textOutline w14:w="0" w14:cap="flat" w14:cmpd="sng" w14:algn="ctr">
            <w14:noFill/>
            <w14:prstDash w14:val="solid"/>
            <w14:bevel/>
          </w14:textOutline>
          <w14:ligatures w14:val="none"/>
        </w:rPr>
        <w:t>F</w:t>
      </w:r>
      <w:r w:rsidR="00D15F6B">
        <w:rPr>
          <w:rFonts w:ascii="Times New Roman" w:eastAsia="Arial Unicode MS" w:hAnsi="Times New Roman" w:cs="Times New Roman"/>
          <w:color w:val="000000"/>
          <w:kern w:val="0"/>
          <w14:textOutline w14:w="0" w14:cap="flat" w14:cmpd="sng" w14:algn="ctr">
            <w14:noFill/>
            <w14:prstDash w14:val="solid"/>
            <w14:bevel/>
          </w14:textOutline>
          <w14:ligatures w14:val="none"/>
        </w:rPr>
        <w:t>CA.</w:t>
      </w:r>
    </w:p>
    <w:p w14:paraId="30B80589" w14:textId="2846759F" w:rsidR="008F5605" w:rsidRPr="008F5605" w:rsidRDefault="005D135C"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000454">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t>
      </w:r>
      <w:r w:rsidR="00DB629B">
        <w:rPr>
          <w:rFonts w:ascii="Times New Roman" w:eastAsia="Arial Unicode MS" w:hAnsi="Times New Roman" w:cs="Times New Roman"/>
          <w:color w:val="000000"/>
          <w:kern w:val="0"/>
          <w14:textOutline w14:w="0" w14:cap="flat" w14:cmpd="sng" w14:algn="ctr">
            <w14:noFill/>
            <w14:prstDash w14:val="solid"/>
            <w14:bevel/>
          </w14:textOutline>
          <w14:ligatures w14:val="none"/>
        </w:rPr>
        <w:t>Because the project is leveraging existing technology, the implementation will already be aligned with the rigorous data management and security policies that are stringent elements of the FCA</w:t>
      </w:r>
      <w:r w:rsidR="00B01671">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r w:rsidR="00DB629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 </w:t>
      </w:r>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regulatory requirements. These existing policies mandate the confidential handling of client records, require strict access controls, and enforce auditability across all core systems, ranging from the client portal to </w:t>
      </w:r>
      <w:proofErr w:type="spellStart"/>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AgriBank’s</w:t>
      </w:r>
      <w:proofErr w:type="spellEnd"/>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core banking systems and all points in between. </w:t>
      </w:r>
      <w:proofErr w:type="spellStart"/>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Y</w:t>
      </w:r>
      <w:proofErr w:type="spellEnd"/>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using existing infrastructure and processes, Greenfield is virtually automatically compliant. Seedling adheres to the SSOT both by managing client balance sheet data in </w:t>
      </w:r>
      <w:r w:rsidR="00381E24">
        <w:rPr>
          <w:rFonts w:ascii="Times New Roman" w:eastAsia="Arial Unicode MS" w:hAnsi="Times New Roman" w:cs="Times New Roman"/>
          <w:color w:val="000000"/>
          <w:kern w:val="0"/>
          <w14:textOutline w14:w="0" w14:cap="flat" w14:cmpd="sng" w14:algn="ctr">
            <w14:noFill/>
            <w14:prstDash w14:val="solid"/>
            <w14:bevel/>
          </w14:textOutline>
          <w14:ligatures w14:val="none"/>
        </w:rPr>
        <w:t>Salesforce</w:t>
      </w:r>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and by transmitting that data downstream to </w:t>
      </w:r>
      <w:proofErr w:type="spellStart"/>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AgriBank</w:t>
      </w:r>
      <w:proofErr w:type="spellEnd"/>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whose SSOT is </w:t>
      </w:r>
      <w:proofErr w:type="spellStart"/>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its</w:t>
      </w:r>
      <w:proofErr w:type="spellEnd"/>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core banking platform. By inheriting these controls, </w:t>
      </w:r>
      <w:r w:rsidR="001A34BA" w:rsidRPr="001A34BA">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Seedling</w:t>
      </w:r>
      <w:r w:rsidR="001A34BA">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can focus on its value proposition rather than on building security and compliance from the ground up.</w:t>
      </w:r>
    </w:p>
    <w:p w14:paraId="1EB938FB" w14:textId="28B97B79" w:rsidR="008F5605" w:rsidRPr="008F5605" w:rsidRDefault="008F5605" w:rsidP="0080684D">
      <w:pPr>
        <w:tabs>
          <w:tab w:val="left" w:pos="6912"/>
        </w:tabs>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lastRenderedPageBreak/>
        <w:t>Ethical Issues and Resolution</w:t>
      </w:r>
      <w:r w:rsidR="0080684D">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ab/>
      </w:r>
    </w:p>
    <w:p w14:paraId="42CBB15A" w14:textId="2E6E255B"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pr</w:t>
      </w:r>
      <w:r w:rsidR="0080684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imary ethical considerations of the Seedling project center on data integrity as a fiduciary responsibility and on the project’s impact on the social contract with Greenfield’s employees. </w:t>
      </w:r>
      <w:r w:rsidR="006C2222">
        <w:rPr>
          <w:rFonts w:ascii="Times New Roman" w:eastAsia="Arial Unicode MS" w:hAnsi="Times New Roman" w:cs="Times New Roman"/>
          <w:color w:val="000000"/>
          <w:kern w:val="0"/>
          <w14:textOutline w14:w="0" w14:cap="flat" w14:cmpd="sng" w14:algn="ctr">
            <w14:noFill/>
            <w14:prstDash w14:val="solid"/>
            <w14:bevel/>
          </w14:textOutline>
          <w14:ligatures w14:val="none"/>
        </w:rPr>
        <w:t>T</w:t>
      </w:r>
      <w:r w:rsidR="0080684D">
        <w:rPr>
          <w:rFonts w:ascii="Times New Roman" w:eastAsia="Arial Unicode MS" w:hAnsi="Times New Roman" w:cs="Times New Roman"/>
          <w:color w:val="000000"/>
          <w:kern w:val="0"/>
          <w14:textOutline w14:w="0" w14:cap="flat" w14:cmpd="sng" w14:algn="ctr">
            <w14:noFill/>
            <w14:prstDash w14:val="solid"/>
            <w14:bevel/>
          </w14:textOutline>
          <w14:ligatures w14:val="none"/>
        </w:rPr>
        <w:t>he project’s aim to reduce the expense of bala</w:t>
      </w:r>
      <w:r w:rsidR="006C2222">
        <w:rPr>
          <w:rFonts w:ascii="Times New Roman" w:eastAsia="Arial Unicode MS" w:hAnsi="Times New Roman" w:cs="Times New Roman"/>
          <w:color w:val="000000"/>
          <w:kern w:val="0"/>
          <w14:textOutline w14:w="0" w14:cap="flat" w14:cmpd="sng" w14:algn="ctr">
            <w14:noFill/>
            <w14:prstDash w14:val="solid"/>
            <w14:bevel/>
          </w14:textOutline>
          <w14:ligatures w14:val="none"/>
        </w:rPr>
        <w:t>nc</w:t>
      </w:r>
      <w:r w:rsidR="0080684D">
        <w:rPr>
          <w:rFonts w:ascii="Times New Roman" w:eastAsia="Arial Unicode MS" w:hAnsi="Times New Roman" w:cs="Times New Roman"/>
          <w:color w:val="000000"/>
          <w:kern w:val="0"/>
          <w14:textOutline w14:w="0" w14:cap="flat" w14:cmpd="sng" w14:algn="ctr">
            <w14:noFill/>
            <w14:prstDash w14:val="solid"/>
            <w14:bevel/>
          </w14:textOutline>
          <w14:ligatures w14:val="none"/>
        </w:rPr>
        <w:t>e</w:t>
      </w:r>
      <w:r w:rsidR="006C2222">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sheet</w:t>
      </w:r>
      <w:r w:rsidR="0080684D">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intake and data management is a strong business driver, </w:t>
      </w:r>
      <w:r w:rsidR="00F00B26">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but a key risk identified earlier derives not only from legal liability but also from ethical obligation. Greenfield prides itself on building and maintaining long-standing relationships with its clients, and in so doing establishes an inviolable ethical relationship as well. Ensuring that financial data submitted by clients via the new functionality in the portal is safe, secure, and correct is not only a compliance obligation, but an ethical imperative as well. </w:t>
      </w:r>
      <w:r w:rsidR="002C671C">
        <w:rPr>
          <w:rFonts w:ascii="Times New Roman" w:eastAsia="Arial Unicode MS" w:hAnsi="Times New Roman" w:cs="Times New Roman"/>
          <w:color w:val="000000"/>
          <w:kern w:val="0"/>
          <w14:textOutline w14:w="0" w14:cap="flat" w14:cmpd="sng" w14:algn="ctr">
            <w14:noFill/>
            <w14:prstDash w14:val="solid"/>
            <w14:bevel/>
          </w14:textOutline>
          <w14:ligatures w14:val="none"/>
        </w:rPr>
        <w:t>Any laxity in this area would not only jeopardize the relationships that Greenfield prides itself on but would be a grave disservice to the community the organization champions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w:t>
      </w:r>
    </w:p>
    <w:p w14:paraId="1B5F9E11" w14:textId="5619AEE9"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Internally, the ethics of the project are rooted in </w:t>
      </w:r>
      <w:r w:rsidR="00C9320B">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benefits afforded to employees who no longer have to sacrifice their evenings and weekends for several weeks each year. </w:t>
      </w:r>
      <w:r w:rsidR="00BF17A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Staff morale suffers every January as they are bound to their desks, repetitively keying the same categories of data into </w:t>
      </w:r>
      <w:proofErr w:type="spellStart"/>
      <w:r w:rsidR="00BF17A7">
        <w:rPr>
          <w:rFonts w:ascii="Times New Roman" w:eastAsia="Arial Unicode MS" w:hAnsi="Times New Roman" w:cs="Times New Roman"/>
          <w:color w:val="000000"/>
          <w:kern w:val="0"/>
          <w14:textOutline w14:w="0" w14:cap="flat" w14:cmpd="sng" w14:algn="ctr">
            <w14:noFill/>
            <w14:prstDash w14:val="solid"/>
            <w14:bevel/>
          </w14:textOutline>
          <w14:ligatures w14:val="none"/>
        </w:rPr>
        <w:t>AgriBank’s</w:t>
      </w:r>
      <w:proofErr w:type="spellEnd"/>
      <w:r w:rsidR="00BF17A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core banking solution. Despite rewards such as free meals and small cash rewards, the effort takes a toll. By removing much of this task from its staff’s responsibility, Greenfield is treating its employees with the respect they deserve. </w:t>
      </w:r>
      <w:r w:rsidR="00F63C6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E </w:t>
      </w:r>
    </w:p>
    <w:p w14:paraId="3E3FB9E2"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Policy Issues and Potential Conflict</w:t>
      </w:r>
    </w:p>
    <w:p w14:paraId="5BF69679" w14:textId="4EBC8CC8" w:rsidR="008F5605" w:rsidRPr="008F5605" w:rsidRDefault="00F63C67" w:rsidP="005941B6">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While the project builds on existing processes and infrastructure with robust and proven management and security policies, Seedling may trigger updates to policies governing client data entry, including identifying the data originating from the portal in audit trails. </w:t>
      </w:r>
      <w:r w:rsidR="00910809">
        <w:rPr>
          <w:rFonts w:ascii="Times New Roman" w:eastAsia="Arial Unicode MS" w:hAnsi="Times New Roman" w:cs="Times New Roman"/>
          <w:color w:val="000000"/>
          <w:kern w:val="0"/>
          <w14:textOutline w14:w="0" w14:cap="flat" w14:cmpd="sng" w14:algn="ctr">
            <w14:noFill/>
            <w14:prstDash w14:val="solid"/>
            <w14:bevel/>
          </w14:textOutline>
          <w14:ligatures w14:val="none"/>
        </w:rPr>
        <w:t>It would behoove Greenfield to consider updating the existing Data Governance Policy to explicitly grant Sa</w:t>
      </w:r>
      <w:r w:rsidR="00C82C17">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lesforce master data ownership in its role as SSOT so that the roles responsible for ETL validation and data quality evaluation can be established and enforced. </w:t>
      </w:r>
      <w:r w:rsidR="008F5605" w:rsidRPr="008F5605">
        <w:rPr>
          <w:rFonts w:ascii="Times New Roman" w:eastAsia="Arial Unicode MS" w:hAnsi="Times New Roman" w:cs="Times New Roman"/>
          <w:kern w:val="0"/>
          <w14:ligatures w14:val="none"/>
        </w:rPr>
        <w:br w:type="page"/>
      </w:r>
    </w:p>
    <w:p w14:paraId="1DF7869C" w14:textId="77777777" w:rsidR="008F5605" w:rsidRPr="008F5605" w:rsidRDefault="008F5605" w:rsidP="008F5605">
      <w:pPr>
        <w:suppressAutoHyphens/>
        <w:spacing w:after="240" w:line="240" w:lineRule="auto"/>
        <w:ind w:firstLine="720"/>
        <w:jc w:val="center"/>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lastRenderedPageBreak/>
        <w:t>References</w:t>
      </w:r>
    </w:p>
    <w:p w14:paraId="3BF3E2AB"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29FC2370" w14:textId="77777777" w:rsidR="00381E24" w:rsidRDefault="00C7417E" w:rsidP="002D3463">
      <w:pPr>
        <w:rPr>
          <w:rFonts w:ascii="Times New Roman" w:hAnsi="Times New Roman" w:cs="Times New Roman"/>
        </w:rPr>
      </w:pPr>
      <w:r>
        <w:rPr>
          <w:rFonts w:ascii="Times New Roman" w:hAnsi="Times New Roman" w:cs="Times New Roman"/>
        </w:rPr>
        <w:t>Farm Credit Administration. (2023, October 5). FCA board approves final rule on eligibility and</w:t>
      </w:r>
    </w:p>
    <w:p w14:paraId="68DA36FA" w14:textId="4260624E" w:rsidR="00381E24" w:rsidRPr="002D3463" w:rsidRDefault="00C7417E" w:rsidP="00381E24">
      <w:pPr>
        <w:ind w:left="720"/>
        <w:rPr>
          <w:rFonts w:ascii="Times New Roman" w:hAnsi="Times New Roman" w:cs="Times New Roman"/>
        </w:rPr>
      </w:pPr>
      <w:r>
        <w:rPr>
          <w:rFonts w:ascii="Times New Roman" w:hAnsi="Times New Roman" w:cs="Times New Roman"/>
        </w:rPr>
        <w:t>scope of financing (News Release NR-23-15-10-05-23).</w:t>
      </w:r>
      <w:r w:rsidR="00381E24">
        <w:rPr>
          <w:rFonts w:ascii="Times New Roman" w:hAnsi="Times New Roman" w:cs="Times New Roman"/>
        </w:rPr>
        <w:t xml:space="preserve"> </w:t>
      </w:r>
      <w:r w:rsidR="00381E24" w:rsidRPr="00381E24">
        <w:rPr>
          <w:rFonts w:ascii="Times New Roman" w:hAnsi="Times New Roman" w:cs="Times New Roman"/>
          <w:u w:val="single"/>
        </w:rPr>
        <w:t>https://ww3.fca.gov/news/Lists/New%Releases/Attachments/697/NR-23-15-10-05-23.pdf</w:t>
      </w:r>
    </w:p>
    <w:p w14:paraId="346D45FE" w14:textId="06A82574" w:rsidR="00C7417E" w:rsidRDefault="00381E24" w:rsidP="00381E24">
      <w:pPr>
        <w:tabs>
          <w:tab w:val="left" w:pos="3270"/>
        </w:tabs>
        <w:rPr>
          <w:rStyle w:val="None"/>
          <w:rFonts w:ascii="Times New Roman" w:hAnsi="Times New Roman" w:cs="Times New Roman"/>
        </w:rPr>
      </w:pPr>
      <w:r>
        <w:rPr>
          <w:rStyle w:val="None"/>
          <w:rFonts w:ascii="Times New Roman" w:hAnsi="Times New Roman" w:cs="Times New Roman"/>
        </w:rPr>
        <w:tab/>
      </w:r>
    </w:p>
    <w:p w14:paraId="034A5FB6" w14:textId="6DCEDFD1" w:rsidR="002D3463" w:rsidRPr="002D3463" w:rsidRDefault="002D3463" w:rsidP="002D3463">
      <w:pPr>
        <w:rPr>
          <w:rStyle w:val="None"/>
          <w:rFonts w:ascii="Times New Roman" w:hAnsi="Times New Roman" w:cs="Times New Roman"/>
        </w:rPr>
      </w:pPr>
      <w:r w:rsidRPr="002D3463">
        <w:rPr>
          <w:rStyle w:val="None"/>
          <w:rFonts w:ascii="Times New Roman" w:hAnsi="Times New Roman" w:cs="Times New Roman"/>
        </w:rPr>
        <w:t>Khatri, A., Gupta, N., &amp; Parashar, A. (2020). Application of technology acceptance model</w:t>
      </w:r>
    </w:p>
    <w:p w14:paraId="57468522" w14:textId="77777777" w:rsidR="002D3463" w:rsidRPr="002D3463" w:rsidRDefault="002D3463" w:rsidP="002D3463">
      <w:pPr>
        <w:ind w:firstLine="720"/>
        <w:rPr>
          <w:rStyle w:val="None"/>
          <w:rFonts w:ascii="Times New Roman" w:hAnsi="Times New Roman" w:cs="Times New Roman"/>
        </w:rPr>
      </w:pPr>
      <w:r w:rsidRPr="002D3463">
        <w:rPr>
          <w:rStyle w:val="None"/>
          <w:rFonts w:ascii="Times New Roman" w:hAnsi="Times New Roman" w:cs="Times New Roman"/>
        </w:rPr>
        <w:t xml:space="preserve">(TAM) in fintech services. </w:t>
      </w:r>
      <w:r w:rsidRPr="002D3463">
        <w:rPr>
          <w:rStyle w:val="None"/>
          <w:rFonts w:ascii="Times New Roman" w:hAnsi="Times New Roman" w:cs="Times New Roman"/>
          <w:i/>
          <w:iCs/>
        </w:rPr>
        <w:t>International Journal of Management, 11</w:t>
      </w:r>
      <w:r w:rsidRPr="002D3463">
        <w:rPr>
          <w:rStyle w:val="None"/>
          <w:rFonts w:ascii="Times New Roman" w:hAnsi="Times New Roman" w:cs="Times New Roman"/>
        </w:rPr>
        <w:t>(12), 3520-3548.</w:t>
      </w:r>
    </w:p>
    <w:p w14:paraId="634BA0FD"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676BFD26" w14:textId="77777777" w:rsidR="008F5605" w:rsidRPr="00DD397E" w:rsidRDefault="008F5605" w:rsidP="00DD397E">
      <w:pPr>
        <w:spacing w:line="240" w:lineRule="auto"/>
        <w:rPr>
          <w:rFonts w:ascii="Times New Roman" w:hAnsi="Times New Roman" w:cs="Times New Roman"/>
        </w:rPr>
      </w:pPr>
      <w:r w:rsidRPr="00DD397E">
        <w:rPr>
          <w:rFonts w:ascii="Times New Roman" w:hAnsi="Times New Roman" w:cs="Times New Roman"/>
        </w:rPr>
        <w:t>Pang, C., Szafron, D. (2014). Single Source of Truth (SSOT) for Service Oriented Architecture</w:t>
      </w:r>
    </w:p>
    <w:p w14:paraId="34DB8295" w14:textId="77777777" w:rsidR="008F5605" w:rsidRPr="00DD397E" w:rsidRDefault="008F5605" w:rsidP="00DD397E">
      <w:pPr>
        <w:spacing w:line="240" w:lineRule="auto"/>
        <w:ind w:left="720"/>
        <w:rPr>
          <w:rFonts w:ascii="Times New Roman" w:hAnsi="Times New Roman" w:cs="Times New Roman"/>
        </w:rPr>
      </w:pPr>
      <w:r w:rsidRPr="00DD397E">
        <w:rPr>
          <w:rFonts w:ascii="Times New Roman" w:hAnsi="Times New Roman" w:cs="Times New Roman"/>
        </w:rPr>
        <w:t xml:space="preserve">(SOA). In X. Franch,  A.K. Ghose, G.A. Lewis, S. </w:t>
      </w:r>
      <w:proofErr w:type="spellStart"/>
      <w:r w:rsidRPr="00DD397E">
        <w:rPr>
          <w:rFonts w:ascii="Times New Roman" w:hAnsi="Times New Roman" w:cs="Times New Roman"/>
        </w:rPr>
        <w:t>Bhiri</w:t>
      </w:r>
      <w:proofErr w:type="spellEnd"/>
      <w:r w:rsidRPr="00DD397E">
        <w:rPr>
          <w:rFonts w:ascii="Times New Roman" w:hAnsi="Times New Roman" w:cs="Times New Roman"/>
        </w:rPr>
        <w:t xml:space="preserve"> (Eds.), </w:t>
      </w:r>
      <w:r w:rsidRPr="00DD397E">
        <w:rPr>
          <w:rFonts w:ascii="Times New Roman" w:hAnsi="Times New Roman" w:cs="Times New Roman"/>
          <w:i/>
          <w:iCs/>
        </w:rPr>
        <w:t xml:space="preserve">Service Oriented Computing. ICSOC 2014 </w:t>
      </w:r>
      <w:r w:rsidRPr="00DD397E">
        <w:rPr>
          <w:rFonts w:ascii="Times New Roman" w:hAnsi="Times New Roman" w:cs="Times New Roman"/>
        </w:rPr>
        <w:t xml:space="preserve">(Vol. 8831). Springer. </w:t>
      </w:r>
      <w:hyperlink r:id="rId5" w:history="1">
        <w:r w:rsidRPr="00DD397E">
          <w:rPr>
            <w:rFonts w:ascii="Times New Roman" w:hAnsi="Times New Roman" w:cs="Times New Roman"/>
            <w:u w:val="single"/>
          </w:rPr>
          <w:t>https://doi.org/10.1007/978-3-662-45391-9_50</w:t>
        </w:r>
      </w:hyperlink>
    </w:p>
    <w:p w14:paraId="642D578F" w14:textId="77777777" w:rsidR="008F5605" w:rsidRPr="008F5605" w:rsidRDefault="008F5605" w:rsidP="008F5605">
      <w:pPr>
        <w:suppressAutoHyphens/>
        <w:spacing w:after="299"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4629B3E1" w14:textId="77777777" w:rsidR="00B01671" w:rsidRPr="00B01671" w:rsidRDefault="00B01671" w:rsidP="00B01671">
      <w:pPr>
        <w:rPr>
          <w:rFonts w:ascii="Times New Roman" w:hAnsi="Times New Roman" w:cs="Times New Roman"/>
        </w:rPr>
      </w:pPr>
      <w:r w:rsidRPr="00B01671">
        <w:rPr>
          <w:rFonts w:ascii="Times New Roman" w:hAnsi="Times New Roman" w:cs="Times New Roman"/>
        </w:rPr>
        <w:t>Vossen, J., &amp; Meijer, M. (2014). IT governance and enterprise data architecture: A new approach</w:t>
      </w:r>
    </w:p>
    <w:p w14:paraId="0AB25275" w14:textId="24B56CFC" w:rsidR="00B01671" w:rsidRDefault="00B01671" w:rsidP="00B01671">
      <w:pPr>
        <w:ind w:left="720"/>
        <w:rPr>
          <w:rFonts w:ascii="Times New Roman" w:hAnsi="Times New Roman" w:cs="Times New Roman"/>
        </w:rPr>
      </w:pPr>
      <w:r w:rsidRPr="00B01671">
        <w:rPr>
          <w:rFonts w:ascii="Times New Roman" w:hAnsi="Times New Roman" w:cs="Times New Roman"/>
        </w:rPr>
        <w:t>for application integration and data access in higher education. Proceedings of the 20</w:t>
      </w:r>
      <w:r w:rsidRPr="00B01671">
        <w:rPr>
          <w:rFonts w:ascii="Times New Roman" w:hAnsi="Times New Roman" w:cs="Times New Roman"/>
          <w:vertAlign w:val="superscript"/>
        </w:rPr>
        <w:t>th</w:t>
      </w:r>
      <w:r w:rsidRPr="00B01671">
        <w:rPr>
          <w:rFonts w:ascii="Times New Roman" w:hAnsi="Times New Roman" w:cs="Times New Roman"/>
        </w:rPr>
        <w:t xml:space="preserve"> Annual Conference of the European University Information Systems Organization (EUNIS 2014). </w:t>
      </w:r>
      <w:r w:rsidRPr="00B01671">
        <w:rPr>
          <w:rFonts w:ascii="Times New Roman" w:hAnsi="Times New Roman" w:cs="Times New Roman"/>
          <w:u w:val="single"/>
        </w:rPr>
        <w:t>https://eunis.org</w:t>
      </w:r>
    </w:p>
    <w:p w14:paraId="62936E38" w14:textId="77777777" w:rsidR="00B01671" w:rsidRDefault="00B01671" w:rsidP="00EA21AF">
      <w:pPr>
        <w:rPr>
          <w:rFonts w:ascii="Times New Roman" w:hAnsi="Times New Roman" w:cs="Times New Roman"/>
        </w:rPr>
      </w:pPr>
    </w:p>
    <w:p w14:paraId="3E558D95" w14:textId="2DB06159" w:rsidR="00EA21AF" w:rsidRDefault="00EA21AF" w:rsidP="00EA21AF">
      <w:pPr>
        <w:rPr>
          <w:rFonts w:ascii="Times New Roman" w:hAnsi="Times New Roman" w:cs="Times New Roman"/>
          <w:i/>
          <w:iCs/>
        </w:rPr>
      </w:pPr>
      <w:proofErr w:type="spellStart"/>
      <w:r w:rsidRPr="00EA21AF">
        <w:rPr>
          <w:rFonts w:ascii="Times New Roman" w:hAnsi="Times New Roman" w:cs="Times New Roman"/>
        </w:rPr>
        <w:t>Wewege</w:t>
      </w:r>
      <w:proofErr w:type="spellEnd"/>
      <w:r w:rsidRPr="00EA21AF">
        <w:rPr>
          <w:rFonts w:ascii="Times New Roman" w:hAnsi="Times New Roman" w:cs="Times New Roman"/>
        </w:rPr>
        <w:t xml:space="preserve">, L., Lee, J., </w:t>
      </w:r>
      <w:r w:rsidRPr="00EA21AF">
        <w:rPr>
          <w:rFonts w:ascii="Times New Roman" w:hAnsi="Times New Roman" w:cs="Times New Roman"/>
        </w:rPr>
        <w:t xml:space="preserve">&amp; </w:t>
      </w:r>
      <w:proofErr w:type="spellStart"/>
      <w:r w:rsidRPr="00EA21AF">
        <w:rPr>
          <w:rFonts w:ascii="Times New Roman" w:hAnsi="Times New Roman" w:cs="Times New Roman"/>
        </w:rPr>
        <w:t>Thomsett</w:t>
      </w:r>
      <w:proofErr w:type="spellEnd"/>
      <w:r w:rsidRPr="00EA21AF">
        <w:rPr>
          <w:rFonts w:ascii="Times New Roman" w:hAnsi="Times New Roman" w:cs="Times New Roman"/>
        </w:rPr>
        <w:t>, M.C. (2020). Disruptions and digital banking trends.</w:t>
      </w:r>
    </w:p>
    <w:p w14:paraId="20EA6125" w14:textId="716EAFA7" w:rsidR="00EA21AF" w:rsidRDefault="00EA21AF" w:rsidP="00EA21AF">
      <w:pPr>
        <w:ind w:left="720"/>
        <w:rPr>
          <w:rFonts w:ascii="Times New Roman" w:hAnsi="Times New Roman" w:cs="Times New Roman"/>
        </w:rPr>
      </w:pPr>
      <w:r w:rsidRPr="00EA21AF">
        <w:rPr>
          <w:rFonts w:ascii="Times New Roman" w:hAnsi="Times New Roman" w:cs="Times New Roman"/>
          <w:i/>
          <w:iCs/>
        </w:rPr>
        <w:t>Journal of</w:t>
      </w:r>
      <w:r w:rsidRPr="00EA21AF">
        <w:rPr>
          <w:rFonts w:ascii="Times New Roman" w:hAnsi="Times New Roman" w:cs="Times New Roman"/>
          <w:i/>
          <w:iCs/>
        </w:rPr>
        <w:t xml:space="preserve"> </w:t>
      </w:r>
      <w:r w:rsidRPr="00EA21AF">
        <w:rPr>
          <w:rFonts w:ascii="Times New Roman" w:hAnsi="Times New Roman" w:cs="Times New Roman"/>
          <w:i/>
          <w:iCs/>
        </w:rPr>
        <w:t>Applied Finance and Banking, 10</w:t>
      </w:r>
      <w:r w:rsidRPr="00EA21AF">
        <w:rPr>
          <w:rFonts w:ascii="Times New Roman" w:hAnsi="Times New Roman" w:cs="Times New Roman"/>
        </w:rPr>
        <w:t>(6), 15-56.</w:t>
      </w:r>
    </w:p>
    <w:p w14:paraId="7CEC09C3" w14:textId="77777777" w:rsidR="00EA21AF" w:rsidRPr="00EA21AF" w:rsidRDefault="00EA21AF" w:rsidP="00EA21AF">
      <w:pPr>
        <w:ind w:left="720"/>
        <w:rPr>
          <w:rFonts w:ascii="Times New Roman" w:hAnsi="Times New Roman" w:cs="Times New Roman"/>
          <w:i/>
          <w:iCs/>
        </w:rPr>
      </w:pPr>
    </w:p>
    <w:p w14:paraId="26D41917"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31D34DA4" w14:textId="77777777" w:rsidR="008F5605" w:rsidRPr="008F5605" w:rsidRDefault="008F5605" w:rsidP="008F5605">
      <w:pPr>
        <w:suppressAutoHyphens/>
        <w:spacing w:after="299" w:line="240" w:lineRule="auto"/>
        <w:rPr>
          <w:rFonts w:ascii="Helvetica Neue" w:eastAsia="Arial Unicode MS" w:hAnsi="Helvetica Neue" w:cs="Arial Unicode MS"/>
          <w:color w:val="000000"/>
          <w:kern w:val="0"/>
          <w14:textOutline w14:w="0" w14:cap="flat" w14:cmpd="sng" w14:algn="ctr">
            <w14:noFill/>
            <w14:prstDash w14:val="solid"/>
            <w14:bevel/>
          </w14:textOutline>
          <w14:ligatures w14:val="none"/>
        </w:rPr>
      </w:pPr>
    </w:p>
    <w:p w14:paraId="346AAC7A"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imes Roman">
    <w:altName w:val="Times New Roman"/>
    <w:charset w:val="00"/>
    <w:family w:val="roman"/>
    <w:pitch w:val="default"/>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6AD"/>
    <w:multiLevelType w:val="hybridMultilevel"/>
    <w:tmpl w:val="7CEA8C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D522C33"/>
    <w:multiLevelType w:val="hybridMultilevel"/>
    <w:tmpl w:val="E0D2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E51E1"/>
    <w:multiLevelType w:val="hybridMultilevel"/>
    <w:tmpl w:val="C948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71790">
    <w:abstractNumId w:val="0"/>
  </w:num>
  <w:num w:numId="2" w16cid:durableId="895051662">
    <w:abstractNumId w:val="1"/>
  </w:num>
  <w:num w:numId="3" w16cid:durableId="1621886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05"/>
    <w:rsid w:val="00000454"/>
    <w:rsid w:val="00040253"/>
    <w:rsid w:val="0004183A"/>
    <w:rsid w:val="00087408"/>
    <w:rsid w:val="000B1209"/>
    <w:rsid w:val="000E0E25"/>
    <w:rsid w:val="000E62CD"/>
    <w:rsid w:val="00113F2F"/>
    <w:rsid w:val="0012097D"/>
    <w:rsid w:val="0014374B"/>
    <w:rsid w:val="0016762A"/>
    <w:rsid w:val="001732F3"/>
    <w:rsid w:val="00177EFB"/>
    <w:rsid w:val="001A34BA"/>
    <w:rsid w:val="001B60C4"/>
    <w:rsid w:val="001E24D1"/>
    <w:rsid w:val="001F09F0"/>
    <w:rsid w:val="001F0E3B"/>
    <w:rsid w:val="002356C9"/>
    <w:rsid w:val="00241065"/>
    <w:rsid w:val="00242DD7"/>
    <w:rsid w:val="002440FE"/>
    <w:rsid w:val="002639B2"/>
    <w:rsid w:val="002C671C"/>
    <w:rsid w:val="002D3463"/>
    <w:rsid w:val="002E771A"/>
    <w:rsid w:val="00341803"/>
    <w:rsid w:val="00371721"/>
    <w:rsid w:val="00381E24"/>
    <w:rsid w:val="0038374F"/>
    <w:rsid w:val="0039707B"/>
    <w:rsid w:val="003B4F87"/>
    <w:rsid w:val="003D0716"/>
    <w:rsid w:val="003D20B9"/>
    <w:rsid w:val="00445E0E"/>
    <w:rsid w:val="00462A5C"/>
    <w:rsid w:val="00486DB3"/>
    <w:rsid w:val="0052414F"/>
    <w:rsid w:val="00564F21"/>
    <w:rsid w:val="00573F9E"/>
    <w:rsid w:val="00577250"/>
    <w:rsid w:val="00583702"/>
    <w:rsid w:val="005941B6"/>
    <w:rsid w:val="005B7C27"/>
    <w:rsid w:val="005D135C"/>
    <w:rsid w:val="005D6EDE"/>
    <w:rsid w:val="006338F3"/>
    <w:rsid w:val="00636535"/>
    <w:rsid w:val="0066350F"/>
    <w:rsid w:val="0069511D"/>
    <w:rsid w:val="006C2222"/>
    <w:rsid w:val="006E6BCB"/>
    <w:rsid w:val="00736FA1"/>
    <w:rsid w:val="00747D68"/>
    <w:rsid w:val="007A2167"/>
    <w:rsid w:val="007B7CFE"/>
    <w:rsid w:val="007E4597"/>
    <w:rsid w:val="007F7BE7"/>
    <w:rsid w:val="008053E4"/>
    <w:rsid w:val="0080684D"/>
    <w:rsid w:val="00821E69"/>
    <w:rsid w:val="00840AA3"/>
    <w:rsid w:val="00880A80"/>
    <w:rsid w:val="008915A3"/>
    <w:rsid w:val="008A73F3"/>
    <w:rsid w:val="008B6C5C"/>
    <w:rsid w:val="008D7475"/>
    <w:rsid w:val="008F5605"/>
    <w:rsid w:val="00910809"/>
    <w:rsid w:val="00917A1E"/>
    <w:rsid w:val="00954BC1"/>
    <w:rsid w:val="009655E5"/>
    <w:rsid w:val="00971258"/>
    <w:rsid w:val="00974694"/>
    <w:rsid w:val="00980F2A"/>
    <w:rsid w:val="00985505"/>
    <w:rsid w:val="009B2E87"/>
    <w:rsid w:val="009B6BE1"/>
    <w:rsid w:val="009C741D"/>
    <w:rsid w:val="009F3A1C"/>
    <w:rsid w:val="00A34E10"/>
    <w:rsid w:val="00A55237"/>
    <w:rsid w:val="00A839CB"/>
    <w:rsid w:val="00A8475E"/>
    <w:rsid w:val="00AB29C8"/>
    <w:rsid w:val="00AC034B"/>
    <w:rsid w:val="00AC5AAD"/>
    <w:rsid w:val="00AF6A44"/>
    <w:rsid w:val="00B01671"/>
    <w:rsid w:val="00B11133"/>
    <w:rsid w:val="00B1448F"/>
    <w:rsid w:val="00B2020E"/>
    <w:rsid w:val="00B74AA0"/>
    <w:rsid w:val="00BD02D7"/>
    <w:rsid w:val="00BD5FFD"/>
    <w:rsid w:val="00BF17A7"/>
    <w:rsid w:val="00BF5B11"/>
    <w:rsid w:val="00BF62EF"/>
    <w:rsid w:val="00C605ED"/>
    <w:rsid w:val="00C67E7C"/>
    <w:rsid w:val="00C7417E"/>
    <w:rsid w:val="00C82C17"/>
    <w:rsid w:val="00C9320B"/>
    <w:rsid w:val="00CA5772"/>
    <w:rsid w:val="00CD0093"/>
    <w:rsid w:val="00D15F6B"/>
    <w:rsid w:val="00D2129E"/>
    <w:rsid w:val="00D46976"/>
    <w:rsid w:val="00D64F8E"/>
    <w:rsid w:val="00D8040D"/>
    <w:rsid w:val="00DB629B"/>
    <w:rsid w:val="00DD397E"/>
    <w:rsid w:val="00DE626D"/>
    <w:rsid w:val="00E07A2B"/>
    <w:rsid w:val="00E3538A"/>
    <w:rsid w:val="00EA21AF"/>
    <w:rsid w:val="00EA46DB"/>
    <w:rsid w:val="00ED05AE"/>
    <w:rsid w:val="00ED7516"/>
    <w:rsid w:val="00EE06CC"/>
    <w:rsid w:val="00F00B26"/>
    <w:rsid w:val="00F34C35"/>
    <w:rsid w:val="00F4019A"/>
    <w:rsid w:val="00F55C0D"/>
    <w:rsid w:val="00F63C67"/>
    <w:rsid w:val="00F65F94"/>
    <w:rsid w:val="00F705EC"/>
    <w:rsid w:val="00F758A6"/>
    <w:rsid w:val="00F8605B"/>
    <w:rsid w:val="00FF39D6"/>
    <w:rsid w:val="00FF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A8268"/>
  <w15:chartTrackingRefBased/>
  <w15:docId w15:val="{A6206579-05E6-4CA6-BFC3-F86F09463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605"/>
    <w:rPr>
      <w:rFonts w:eastAsiaTheme="majorEastAsia" w:cstheme="majorBidi"/>
      <w:color w:val="272727" w:themeColor="text1" w:themeTint="D8"/>
    </w:rPr>
  </w:style>
  <w:style w:type="paragraph" w:styleId="Title">
    <w:name w:val="Title"/>
    <w:basedOn w:val="Normal"/>
    <w:next w:val="Normal"/>
    <w:link w:val="TitleChar"/>
    <w:uiPriority w:val="10"/>
    <w:qFormat/>
    <w:rsid w:val="008F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605"/>
    <w:pPr>
      <w:spacing w:before="160"/>
      <w:jc w:val="center"/>
    </w:pPr>
    <w:rPr>
      <w:i/>
      <w:iCs/>
      <w:color w:val="404040" w:themeColor="text1" w:themeTint="BF"/>
    </w:rPr>
  </w:style>
  <w:style w:type="character" w:customStyle="1" w:styleId="QuoteChar">
    <w:name w:val="Quote Char"/>
    <w:basedOn w:val="DefaultParagraphFont"/>
    <w:link w:val="Quote"/>
    <w:uiPriority w:val="29"/>
    <w:rsid w:val="008F5605"/>
    <w:rPr>
      <w:i/>
      <w:iCs/>
      <w:color w:val="404040" w:themeColor="text1" w:themeTint="BF"/>
    </w:rPr>
  </w:style>
  <w:style w:type="paragraph" w:styleId="ListParagraph">
    <w:name w:val="List Paragraph"/>
    <w:basedOn w:val="Normal"/>
    <w:uiPriority w:val="34"/>
    <w:qFormat/>
    <w:rsid w:val="008F5605"/>
    <w:pPr>
      <w:ind w:left="720"/>
      <w:contextualSpacing/>
    </w:pPr>
  </w:style>
  <w:style w:type="character" w:styleId="IntenseEmphasis">
    <w:name w:val="Intense Emphasis"/>
    <w:basedOn w:val="DefaultParagraphFont"/>
    <w:uiPriority w:val="21"/>
    <w:qFormat/>
    <w:rsid w:val="008F5605"/>
    <w:rPr>
      <w:i/>
      <w:iCs/>
      <w:color w:val="0F4761" w:themeColor="accent1" w:themeShade="BF"/>
    </w:rPr>
  </w:style>
  <w:style w:type="paragraph" w:styleId="IntenseQuote">
    <w:name w:val="Intense Quote"/>
    <w:basedOn w:val="Normal"/>
    <w:next w:val="Normal"/>
    <w:link w:val="IntenseQuoteChar"/>
    <w:uiPriority w:val="30"/>
    <w:qFormat/>
    <w:rsid w:val="008F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605"/>
    <w:rPr>
      <w:i/>
      <w:iCs/>
      <w:color w:val="0F4761" w:themeColor="accent1" w:themeShade="BF"/>
    </w:rPr>
  </w:style>
  <w:style w:type="character" w:styleId="IntenseReference">
    <w:name w:val="Intense Reference"/>
    <w:basedOn w:val="DefaultParagraphFont"/>
    <w:uiPriority w:val="32"/>
    <w:qFormat/>
    <w:rsid w:val="008F5605"/>
    <w:rPr>
      <w:b/>
      <w:bCs/>
      <w:smallCaps/>
      <w:color w:val="0F4761" w:themeColor="accent1" w:themeShade="BF"/>
      <w:spacing w:val="5"/>
    </w:rPr>
  </w:style>
  <w:style w:type="table" w:styleId="TableGrid">
    <w:name w:val="Table Grid"/>
    <w:basedOn w:val="TableNormal"/>
    <w:uiPriority w:val="39"/>
    <w:rsid w:val="008F5605"/>
    <w:pPr>
      <w:spacing w:after="0" w:line="240" w:lineRule="auto"/>
    </w:pPr>
    <w:rPr>
      <w:rFonts w:ascii="Times New Roman" w:eastAsia="Arial Unicode MS" w:hAnsi="Times New Roman" w:cs="Times New Roman"/>
      <w:kern w:val="0"/>
      <w:sz w:val="20"/>
      <w:szCs w:val="20"/>
      <w:bdr w:val="none" w:sz="0" w:space="0" w:color="auto" w:frame="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1F0E3B"/>
    <w:rPr>
      <w:smallCaps/>
      <w:color w:val="5A5A5A" w:themeColor="text1" w:themeTint="A5"/>
    </w:rPr>
  </w:style>
  <w:style w:type="character" w:customStyle="1" w:styleId="None">
    <w:name w:val="None"/>
    <w:rsid w:val="002D3463"/>
  </w:style>
  <w:style w:type="character" w:styleId="Hyperlink">
    <w:name w:val="Hyperlink"/>
    <w:basedOn w:val="DefaultParagraphFont"/>
    <w:uiPriority w:val="99"/>
    <w:unhideWhenUsed/>
    <w:rsid w:val="00381E24"/>
    <w:rPr>
      <w:color w:val="467886" w:themeColor="hyperlink"/>
      <w:u w:val="single"/>
    </w:rPr>
  </w:style>
  <w:style w:type="character" w:styleId="UnresolvedMention">
    <w:name w:val="Unresolved Mention"/>
    <w:basedOn w:val="DefaultParagraphFont"/>
    <w:uiPriority w:val="99"/>
    <w:semiHidden/>
    <w:unhideWhenUsed/>
    <w:rsid w:val="00381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978-3-662-45391-9_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11</Pages>
  <Words>3736</Words>
  <Characters>22197</Characters>
  <Application>Microsoft Office Word</Application>
  <DocSecurity>0</DocSecurity>
  <Lines>403</Lines>
  <Paragraphs>108</Paragraphs>
  <ScaleCrop>false</ScaleCrop>
  <Company/>
  <LinksUpToDate>false</LinksUpToDate>
  <CharactersWithSpaces>25825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126</cp:revision>
  <dcterms:created xsi:type="dcterms:W3CDTF">2025-11-01T11:30:00Z</dcterms:created>
  <dcterms:modified xsi:type="dcterms:W3CDTF">2025-11-15T16:49:00Z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ed0b71f8-7dce-4138-bd3c-7512f193c6d8</vt:lpwstr>
  </property>
</Properties>
</file>