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AD48" w14:textId="77777777" w:rsidR="00BF13C8" w:rsidRDefault="00BF13C8" w:rsidP="00BF13C8">
      <w:pPr>
        <w:pStyle w:val="Default"/>
        <w:suppressAutoHyphens/>
        <w:spacing w:after="299" w:line="240" w:lineRule="auto"/>
        <w:jc w:val="center"/>
        <w:rPr>
          <w:rFonts w:ascii="Times Roman" w:hAnsi="Times Roman"/>
          <w:b/>
          <w:bCs/>
        </w:rPr>
      </w:pPr>
    </w:p>
    <w:p w14:paraId="355F8D1B" w14:textId="77777777" w:rsidR="00BF13C8" w:rsidRDefault="00BF13C8" w:rsidP="00BF13C8">
      <w:pPr>
        <w:pStyle w:val="Default"/>
        <w:suppressAutoHyphens/>
        <w:spacing w:after="299" w:line="240" w:lineRule="auto"/>
        <w:jc w:val="center"/>
        <w:rPr>
          <w:rFonts w:ascii="Times Roman" w:hAnsi="Times Roman"/>
          <w:b/>
          <w:bCs/>
        </w:rPr>
      </w:pPr>
    </w:p>
    <w:p w14:paraId="2DB51881" w14:textId="77777777" w:rsidR="00BF13C8" w:rsidRDefault="00BF13C8" w:rsidP="00BF13C8">
      <w:pPr>
        <w:pStyle w:val="Default"/>
        <w:suppressAutoHyphens/>
        <w:spacing w:after="299" w:line="240" w:lineRule="auto"/>
        <w:jc w:val="center"/>
        <w:rPr>
          <w:rFonts w:ascii="Times Roman" w:hAnsi="Times Roman"/>
          <w:b/>
          <w:bCs/>
        </w:rPr>
      </w:pPr>
    </w:p>
    <w:p w14:paraId="1779E296" w14:textId="77777777" w:rsidR="00BF13C8" w:rsidRDefault="00BF13C8" w:rsidP="00BF13C8">
      <w:pPr>
        <w:pStyle w:val="Default"/>
        <w:suppressAutoHyphens/>
        <w:spacing w:after="299" w:line="240" w:lineRule="auto"/>
        <w:jc w:val="center"/>
        <w:rPr>
          <w:rFonts w:ascii="Times Roman" w:hAnsi="Times Roman"/>
          <w:b/>
          <w:bCs/>
        </w:rPr>
      </w:pPr>
      <w:r>
        <w:rPr>
          <w:rFonts w:ascii="Times Roman" w:hAnsi="Times Roman"/>
          <w:b/>
          <w:bCs/>
        </w:rPr>
        <w:t>Seedling:</w:t>
      </w:r>
    </w:p>
    <w:p w14:paraId="39F6402D" w14:textId="77777777" w:rsidR="00BF13C8" w:rsidRDefault="00BF13C8" w:rsidP="00BF13C8">
      <w:pPr>
        <w:pStyle w:val="Default"/>
        <w:suppressAutoHyphens/>
        <w:spacing w:after="299" w:line="240" w:lineRule="auto"/>
        <w:jc w:val="center"/>
        <w:rPr>
          <w:rFonts w:ascii="Times Roman" w:hAnsi="Times Roman"/>
          <w:b/>
          <w:bCs/>
        </w:rPr>
      </w:pPr>
      <w:r>
        <w:rPr>
          <w:rFonts w:ascii="Times Roman" w:hAnsi="Times Roman"/>
          <w:b/>
          <w:bCs/>
        </w:rPr>
        <w:t>A Data-Driven Architecture for Cost Mitigation</w:t>
      </w:r>
    </w:p>
    <w:p w14:paraId="3708D437" w14:textId="77777777" w:rsidR="00BF13C8" w:rsidRDefault="00BF13C8" w:rsidP="00BF13C8">
      <w:pPr>
        <w:pStyle w:val="Default"/>
        <w:suppressAutoHyphens/>
        <w:spacing w:after="299" w:line="240" w:lineRule="auto"/>
        <w:jc w:val="center"/>
        <w:rPr>
          <w:rFonts w:ascii="Times Roman" w:hAnsi="Times Roman"/>
        </w:rPr>
      </w:pPr>
      <w:r>
        <w:rPr>
          <w:rFonts w:ascii="Times Roman" w:hAnsi="Times Roman"/>
          <w:b/>
          <w:bCs/>
        </w:rPr>
        <w:t>and Digital Transformation</w:t>
      </w:r>
    </w:p>
    <w:p w14:paraId="68C221F6" w14:textId="77777777" w:rsidR="00BF13C8" w:rsidRDefault="00BF13C8" w:rsidP="00BF13C8">
      <w:pPr>
        <w:pStyle w:val="Default"/>
        <w:suppressAutoHyphens/>
        <w:spacing w:after="299" w:line="240" w:lineRule="auto"/>
        <w:jc w:val="center"/>
        <w:rPr>
          <w:rFonts w:ascii="Times Roman" w:hAnsi="Times Roman"/>
        </w:rPr>
      </w:pPr>
    </w:p>
    <w:p w14:paraId="7A9DCE5A" w14:textId="77777777" w:rsidR="00BF13C8" w:rsidRDefault="00BF13C8" w:rsidP="00BF13C8">
      <w:pPr>
        <w:pStyle w:val="Default"/>
        <w:suppressAutoHyphens/>
        <w:spacing w:after="299" w:line="240" w:lineRule="auto"/>
        <w:jc w:val="center"/>
        <w:rPr>
          <w:rFonts w:ascii="Times Roman" w:hAnsi="Times Roman"/>
        </w:rPr>
      </w:pPr>
      <w:r>
        <w:rPr>
          <w:rFonts w:ascii="Times Roman" w:hAnsi="Times Roman"/>
        </w:rPr>
        <w:t>Kate Herrick</w:t>
      </w:r>
    </w:p>
    <w:p w14:paraId="130259CB" w14:textId="77777777" w:rsidR="00BF13C8" w:rsidRDefault="00BF13C8" w:rsidP="00BF13C8">
      <w:pPr>
        <w:pStyle w:val="Default"/>
        <w:suppressAutoHyphens/>
        <w:spacing w:after="299" w:line="240" w:lineRule="auto"/>
        <w:jc w:val="center"/>
        <w:rPr>
          <w:rFonts w:ascii="Times Roman" w:hAnsi="Times Roman"/>
        </w:rPr>
      </w:pPr>
      <w:r>
        <w:rPr>
          <w:rFonts w:ascii="Times Roman" w:hAnsi="Times Roman"/>
        </w:rPr>
        <w:t>Capella University</w:t>
      </w:r>
    </w:p>
    <w:p w14:paraId="5C3B8767" w14:textId="77777777" w:rsidR="00BF13C8" w:rsidRDefault="00BF13C8" w:rsidP="00BF13C8">
      <w:pPr>
        <w:pStyle w:val="Default"/>
        <w:suppressAutoHyphens/>
        <w:spacing w:after="299" w:line="240" w:lineRule="auto"/>
        <w:jc w:val="center"/>
        <w:rPr>
          <w:rFonts w:ascii="Times Roman" w:hAnsi="Times Roman"/>
        </w:rPr>
      </w:pPr>
      <w:r>
        <w:rPr>
          <w:rFonts w:ascii="Times Roman" w:hAnsi="Times Roman"/>
        </w:rPr>
        <w:t>IT-FPX 4998: Capstone II</w:t>
      </w:r>
    </w:p>
    <w:p w14:paraId="72C65F45" w14:textId="77777777" w:rsidR="00BF13C8" w:rsidRDefault="00BF13C8" w:rsidP="00BF13C8">
      <w:pPr>
        <w:pStyle w:val="Default"/>
        <w:suppressAutoHyphens/>
        <w:spacing w:after="299" w:line="240" w:lineRule="auto"/>
        <w:jc w:val="center"/>
        <w:rPr>
          <w:rFonts w:ascii="Times Roman" w:hAnsi="Times Roman"/>
        </w:rPr>
      </w:pPr>
      <w:r>
        <w:rPr>
          <w:rFonts w:ascii="Times Roman" w:hAnsi="Times Roman"/>
        </w:rPr>
        <w:t>Site Supervisor: Angela Baughman</w:t>
      </w:r>
    </w:p>
    <w:p w14:paraId="3F41C6A3" w14:textId="77777777" w:rsidR="00BF13C8" w:rsidRDefault="00BF13C8" w:rsidP="00BF13C8">
      <w:pPr>
        <w:pStyle w:val="Default"/>
        <w:suppressAutoHyphens/>
        <w:spacing w:before="0" w:after="299" w:line="240" w:lineRule="auto"/>
        <w:jc w:val="center"/>
      </w:pPr>
      <w:r>
        <w:rPr>
          <w:rFonts w:ascii="Times Roman" w:hAnsi="Times Roman"/>
        </w:rPr>
        <w:t>November 16, 2025</w:t>
      </w:r>
      <w:r>
        <w:rPr>
          <w:rFonts w:ascii="Arial Unicode MS" w:hAnsi="Arial Unicode MS"/>
          <w:sz w:val="36"/>
          <w:szCs w:val="36"/>
        </w:rPr>
        <w:br w:type="page"/>
      </w:r>
    </w:p>
    <w:p w14:paraId="596E3CB2" w14:textId="77777777" w:rsidR="00BF13C8" w:rsidRDefault="00BF13C8" w:rsidP="00BF13C8">
      <w:pPr>
        <w:pStyle w:val="Default"/>
        <w:suppressAutoHyphens/>
        <w:spacing w:before="0" w:after="299" w:line="240" w:lineRule="auto"/>
        <w:rPr>
          <w:rStyle w:val="SubtleReference"/>
          <w:sz w:val="32"/>
          <w:szCs w:val="32"/>
        </w:rPr>
      </w:pPr>
      <w:r>
        <w:rPr>
          <w:rStyle w:val="SubtleReference"/>
          <w:sz w:val="32"/>
          <w:szCs w:val="32"/>
        </w:rPr>
        <w:lastRenderedPageBreak/>
        <w:t>Executive Summary: Project “Seedling”</w:t>
      </w:r>
    </w:p>
    <w:p w14:paraId="751B5E90" w14:textId="77777777" w:rsidR="00BF13C8" w:rsidRDefault="00BF13C8" w:rsidP="00BF13C8">
      <w:pPr>
        <w:pStyle w:val="Default"/>
        <w:spacing w:line="240" w:lineRule="auto"/>
        <w:ind w:firstLine="720"/>
        <w:rPr>
          <w:rFonts w:ascii="Times New Roman" w:hAnsi="Times New Roman" w:cs="Times New Roman"/>
        </w:rPr>
      </w:pPr>
      <w:r>
        <w:rPr>
          <w:rFonts w:ascii="Times New Roman" w:hAnsi="Times New Roman" w:cs="Times New Roman"/>
        </w:rPr>
        <w:t xml:space="preserve">The Greenfield Financial </w:t>
      </w:r>
      <w:r>
        <w:rPr>
          <w:rFonts w:ascii="Times New Roman" w:hAnsi="Times New Roman" w:cs="Times New Roman"/>
          <w:i/>
          <w:iCs/>
        </w:rPr>
        <w:t>Seedling</w:t>
      </w:r>
      <w:r>
        <w:rPr>
          <w:rFonts w:ascii="Times New Roman" w:hAnsi="Times New Roman" w:cs="Times New Roman"/>
        </w:rPr>
        <w:t xml:space="preserve"> project was launched to address the organization</w:t>
      </w:r>
      <w:r>
        <w:rPr>
          <w:rFonts w:ascii="Times New Roman" w:hAnsi="Times New Roman" w:cs="Times New Roman" w:hint="cs"/>
          <w:rtl/>
        </w:rPr>
        <w:t>’</w:t>
      </w:r>
      <w:r>
        <w:rPr>
          <w:rFonts w:ascii="Times New Roman" w:hAnsi="Times New Roman" w:cs="Times New Roman"/>
        </w:rPr>
        <w:t>s single largest operational expenditure: the millions of dollars spent annually on manual transcription labor for client balance sheets. While the primary driver is financial, the project's focus centers on the development of a solution that mitigates data integrity risk stemming from the institution's error-prone manual process and that serves as a springboard to further client self-service functionality. An initial review of current-state processes confirmed that relying on human data entry violates the Single Source of Truth (SSOT) principle, compromising data fidelity and business intelligence.</w:t>
      </w:r>
    </w:p>
    <w:p w14:paraId="3607BBB7" w14:textId="77777777" w:rsidR="00BF13C8" w:rsidRDefault="00BF13C8" w:rsidP="00BF13C8">
      <w:pPr>
        <w:pStyle w:val="Default"/>
        <w:spacing w:line="240" w:lineRule="auto"/>
        <w:ind w:firstLine="720"/>
        <w:rPr>
          <w:rFonts w:ascii="Times New Roman" w:hAnsi="Times New Roman" w:cs="Times New Roman"/>
        </w:rPr>
      </w:pPr>
      <w:r>
        <w:rPr>
          <w:rFonts w:ascii="Times New Roman" w:hAnsi="Times New Roman" w:cs="Times New Roman"/>
        </w:rPr>
        <w:t>The initiative's core objectives are threefold:</w:t>
      </w:r>
    </w:p>
    <w:p w14:paraId="61B929A1" w14:textId="77777777" w:rsidR="00BF13C8" w:rsidRDefault="00BF13C8" w:rsidP="00BF13C8">
      <w:pPr>
        <w:pStyle w:val="Default"/>
        <w:numPr>
          <w:ilvl w:val="0"/>
          <w:numId w:val="1"/>
        </w:numPr>
        <w:spacing w:line="240" w:lineRule="auto"/>
        <w:rPr>
          <w:rFonts w:ascii="Times New Roman" w:hAnsi="Times New Roman" w:cs="Times New Roman"/>
        </w:rPr>
      </w:pPr>
      <w:r>
        <w:rPr>
          <w:rFonts w:ascii="Times New Roman" w:hAnsi="Times New Roman" w:cs="Times New Roman"/>
        </w:rPr>
        <w:t>To achieve cost mitigation and ROI by requiring that the business reach client portal engagement levels sufficient to sustain the solution after implementation before the project lifecycle, ensuring the business takes ownership of the shift to self-service.</w:t>
      </w:r>
    </w:p>
    <w:p w14:paraId="177EF0A3" w14:textId="77777777" w:rsidR="00BF13C8" w:rsidRDefault="00BF13C8" w:rsidP="00BF13C8">
      <w:pPr>
        <w:pStyle w:val="Default"/>
        <w:numPr>
          <w:ilvl w:val="0"/>
          <w:numId w:val="1"/>
        </w:numPr>
        <w:spacing w:line="240" w:lineRule="auto"/>
        <w:rPr>
          <w:rFonts w:ascii="Times New Roman" w:hAnsi="Times New Roman" w:cs="Times New Roman"/>
        </w:rPr>
      </w:pPr>
      <w:r>
        <w:rPr>
          <w:rFonts w:ascii="Times New Roman" w:hAnsi="Times New Roman" w:cs="Times New Roman"/>
        </w:rPr>
        <w:t>To enhance employee well-being and data integrity by replacing error-prone manual transcription with an automated ETL data pipeline and establishing Salesforce as the SSOT for client financial data.</w:t>
      </w:r>
    </w:p>
    <w:p w14:paraId="7BE26D4F" w14:textId="77777777" w:rsidR="00BF13C8" w:rsidRDefault="00BF13C8" w:rsidP="00BF13C8">
      <w:pPr>
        <w:pStyle w:val="Default"/>
        <w:numPr>
          <w:ilvl w:val="0"/>
          <w:numId w:val="1"/>
        </w:numPr>
        <w:spacing w:line="240" w:lineRule="auto"/>
        <w:rPr>
          <w:rFonts w:ascii="Times New Roman" w:hAnsi="Times New Roman" w:cs="Times New Roman"/>
        </w:rPr>
      </w:pPr>
      <w:r>
        <w:rPr>
          <w:rFonts w:ascii="Times New Roman" w:hAnsi="Times New Roman" w:cs="Times New Roman"/>
        </w:rPr>
        <w:t>To secure the Primary Lineage Point (PLP) of the data at the data input source in the client portal, preventing data corruption and creating a superior, auditable record.</w:t>
      </w:r>
    </w:p>
    <w:p w14:paraId="38887692" w14:textId="77777777" w:rsidR="00BF13C8" w:rsidRDefault="00BF13C8" w:rsidP="00BF13C8">
      <w:pPr>
        <w:pStyle w:val="Default"/>
        <w:spacing w:after="240" w:line="240" w:lineRule="auto"/>
        <w:rPr>
          <w:rStyle w:val="SubtleReference"/>
        </w:rPr>
      </w:pPr>
      <w:r>
        <w:rPr>
          <w:rStyle w:val="SubtleReference"/>
        </w:rPr>
        <w:t>Project Lifecycle and Milestones</w:t>
      </w:r>
    </w:p>
    <w:p w14:paraId="66399714" w14:textId="77777777" w:rsidR="00BF13C8" w:rsidRDefault="00BF13C8" w:rsidP="00BF13C8">
      <w:pPr>
        <w:pStyle w:val="Default"/>
        <w:spacing w:line="240" w:lineRule="auto"/>
        <w:ind w:firstLine="720"/>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iCs/>
        </w:rPr>
        <w:t>Seedling</w:t>
      </w:r>
      <w:r>
        <w:rPr>
          <w:rFonts w:ascii="Times New Roman" w:hAnsi="Times New Roman" w:cs="Times New Roman"/>
        </w:rPr>
        <w:t xml:space="preserve"> Initiative is executed using a hybrid Agile/Waterfall methodology, strategically front-loading the data governance and SME-intensive requirements into the earliest project phases. The overall timeline is designed for a nine-month delivery, focusing first on data integrity and risk mitigation and then on client-facing feature development.</w:t>
      </w:r>
    </w:p>
    <w:p w14:paraId="4A65C483" w14:textId="77777777" w:rsidR="00BF13C8" w:rsidRDefault="00BF13C8" w:rsidP="00BF13C8">
      <w:pPr>
        <w:pStyle w:val="Default"/>
        <w:suppressAutoHyphens/>
        <w:spacing w:after="240" w:line="240" w:lineRule="auto"/>
        <w:ind w:firstLine="720"/>
        <w:rPr>
          <w:rFonts w:ascii="Times New Roman" w:hAnsi="Times New Roman" w:cs="Times New Roman"/>
        </w:rPr>
      </w:pPr>
      <w:r>
        <w:rPr>
          <w:rFonts w:ascii="Times New Roman" w:hAnsi="Times New Roman" w:cs="Times New Roman"/>
        </w:rPr>
        <w:t xml:space="preserve">The project scope extends to before project kickoff, in that client portal utilization must be increased as an upstream dependency; this dependency must be met to achieve project viability. Thereafter, the scope provides for the development of a feature-rich, intuitive balance sheet data entry solution within the existing client portal and the housing of the data inputs into a new Salesforce custom object. This establishes Salesforce as the SSOT for client financial balance sheet data and enables transmission of that data downstream to internal, on-premises SQL databases for aggregation and normalization, and then to </w:t>
      </w:r>
      <w:proofErr w:type="spellStart"/>
      <w:r>
        <w:rPr>
          <w:rFonts w:ascii="Times New Roman" w:hAnsi="Times New Roman" w:cs="Times New Roman"/>
        </w:rPr>
        <w:t>AgriBank’s</w:t>
      </w:r>
      <w:proofErr w:type="spellEnd"/>
      <w:r>
        <w:rPr>
          <w:rFonts w:ascii="Times New Roman" w:hAnsi="Times New Roman" w:cs="Times New Roman"/>
        </w:rPr>
        <w:t xml:space="preserve"> core banking system, where the data comes to rest. The data transmission process leverages existing ETL batch jobs, requiring no net new technical processes or storage repositories.</w:t>
      </w:r>
    </w:p>
    <w:p w14:paraId="3D30C529" w14:textId="77777777" w:rsidR="00BF13C8" w:rsidRDefault="00BF13C8" w:rsidP="00BF13C8">
      <w:pPr>
        <w:pStyle w:val="Default"/>
        <w:suppressAutoHyphens/>
        <w:spacing w:after="240" w:line="240" w:lineRule="auto"/>
        <w:ind w:firstLine="720"/>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i/>
          <w:iCs/>
        </w:rPr>
        <w:t>Seedling</w:t>
      </w:r>
      <w:r>
        <w:rPr>
          <w:rFonts w:ascii="Times New Roman" w:hAnsi="Times New Roman" w:cs="Times New Roman"/>
        </w:rPr>
        <w:t xml:space="preserve"> project is targeted for completion within nine months (T+9), following a phased approach. The first critical deliverables, the user interface design, requirements, and calculation use cases, are scheduled for delivery at T+3 months. This is followed by the development of the user interface and its related calculation methodology at T+5, after which ETL data mapping exercises and development work will be delivered at T+7. All testing, data validation, and defect resolution will be completed at T+8, followed by production deployment and hand-off at T+9 Months, launching the balance sheet solution and end-to-end data integration.</w:t>
      </w:r>
    </w:p>
    <w:p w14:paraId="13087B22" w14:textId="77777777" w:rsidR="00BF13C8" w:rsidRDefault="00BF13C8" w:rsidP="00BF13C8">
      <w:pPr>
        <w:pStyle w:val="Default"/>
        <w:spacing w:line="240" w:lineRule="auto"/>
        <w:ind w:firstLine="720"/>
        <w:rPr>
          <w:rFonts w:ascii="Times New Roman" w:hAnsi="Times New Roman" w:cs="Times New Roman"/>
        </w:rPr>
      </w:pPr>
    </w:p>
    <w:p w14:paraId="47687488" w14:textId="77777777" w:rsidR="00BF13C8" w:rsidRDefault="00BF13C8" w:rsidP="00BF13C8">
      <w:pPr>
        <w:pStyle w:val="Default"/>
        <w:spacing w:line="240" w:lineRule="auto"/>
        <w:ind w:firstLine="720"/>
        <w:rPr>
          <w:rFonts w:ascii="Times New Roman" w:hAnsi="Times New Roman" w:cs="Times New Roman"/>
        </w:rPr>
      </w:pPr>
    </w:p>
    <w:p w14:paraId="0D4B738E" w14:textId="77777777" w:rsidR="00BF13C8" w:rsidRDefault="00BF13C8" w:rsidP="00BF13C8">
      <w:pPr>
        <w:pStyle w:val="Default"/>
        <w:spacing w:after="240" w:line="240" w:lineRule="auto"/>
        <w:ind w:firstLine="720"/>
        <w:rPr>
          <w:rFonts w:ascii="Times New Roman" w:hAnsi="Times New Roman" w:cs="Times New Roman"/>
        </w:rPr>
      </w:pPr>
    </w:p>
    <w:p w14:paraId="229CC283" w14:textId="77777777" w:rsidR="00BF13C8" w:rsidRDefault="00BF13C8" w:rsidP="00BF13C8">
      <w:pPr>
        <w:pStyle w:val="Default"/>
        <w:spacing w:after="240" w:line="240" w:lineRule="auto"/>
        <w:rPr>
          <w:rStyle w:val="SubtleReference"/>
        </w:rPr>
      </w:pPr>
      <w:r>
        <w:rPr>
          <w:rStyle w:val="SubtleReference"/>
        </w:rPr>
        <w:t>Architectural Foundation and Business Value</w:t>
      </w:r>
    </w:p>
    <w:p w14:paraId="72DEF0B5" w14:textId="77777777" w:rsidR="00BF13C8" w:rsidRDefault="00BF13C8" w:rsidP="00BF13C8">
      <w:pPr>
        <w:pStyle w:val="Default"/>
        <w:spacing w:line="240" w:lineRule="auto"/>
        <w:ind w:firstLine="720"/>
        <w:rPr>
          <w:rFonts w:ascii="Times New Roman" w:hAnsi="Times New Roman" w:cs="Times New Roman"/>
        </w:rPr>
      </w:pPr>
      <w:r>
        <w:rPr>
          <w:rFonts w:ascii="Times New Roman" w:hAnsi="Times New Roman" w:cs="Times New Roman"/>
        </w:rPr>
        <w:t>The success of the Seedling project rests on the strategic implementation of data architecture principles to realize business value:</w:t>
      </w:r>
    </w:p>
    <w:p w14:paraId="6DC536C7" w14:textId="77777777" w:rsidR="00BF13C8" w:rsidRDefault="00BF13C8" w:rsidP="00BF13C8">
      <w:pPr>
        <w:pStyle w:val="Default"/>
        <w:numPr>
          <w:ilvl w:val="0"/>
          <w:numId w:val="2"/>
        </w:numPr>
        <w:spacing w:line="240" w:lineRule="auto"/>
        <w:rPr>
          <w:rFonts w:ascii="Times New Roman" w:hAnsi="Times New Roman" w:cs="Times New Roman"/>
        </w:rPr>
      </w:pPr>
      <w:r>
        <w:rPr>
          <w:rFonts w:ascii="Times New Roman" w:hAnsi="Times New Roman" w:cs="Times New Roman"/>
          <w:i/>
          <w:iCs/>
        </w:rPr>
        <w:t>Single Source of Truth (SSOT) and ETL:</w:t>
      </w:r>
      <w:r>
        <w:rPr>
          <w:rFonts w:ascii="Times New Roman" w:hAnsi="Times New Roman" w:cs="Times New Roman"/>
        </w:rPr>
        <w:t xml:space="preserve"> The project fundamentally shifts data ownership. The Salesforce platform is designated as the SSOT for client balance sheet data instead of </w:t>
      </w:r>
      <w:proofErr w:type="spellStart"/>
      <w:r>
        <w:rPr>
          <w:rFonts w:ascii="Times New Roman" w:hAnsi="Times New Roman" w:cs="Times New Roman"/>
        </w:rPr>
        <w:t>AgriBank’s</w:t>
      </w:r>
      <w:proofErr w:type="spellEnd"/>
      <w:r>
        <w:rPr>
          <w:rFonts w:ascii="Times New Roman" w:hAnsi="Times New Roman" w:cs="Times New Roman"/>
        </w:rPr>
        <w:t xml:space="preserve"> core banking system, consuming the structured input from the client portal via the ETL pipeline. This architecture eliminates data silos, ensures every internal stakeholder accesses the same validated information, and is critical for improving business intelligence.</w:t>
      </w:r>
    </w:p>
    <w:p w14:paraId="41D36734" w14:textId="77777777" w:rsidR="00BF13C8" w:rsidRDefault="00BF13C8" w:rsidP="00BF13C8">
      <w:pPr>
        <w:pStyle w:val="Default"/>
        <w:numPr>
          <w:ilvl w:val="0"/>
          <w:numId w:val="2"/>
        </w:numPr>
        <w:spacing w:line="240" w:lineRule="auto"/>
        <w:rPr>
          <w:rFonts w:ascii="Times New Roman" w:hAnsi="Times New Roman" w:cs="Times New Roman"/>
        </w:rPr>
      </w:pPr>
      <w:r>
        <w:rPr>
          <w:rFonts w:ascii="Times New Roman" w:hAnsi="Times New Roman" w:cs="Times New Roman"/>
          <w:i/>
          <w:iCs/>
        </w:rPr>
        <w:t>The Primary Lineage Point (PLP)</w:t>
      </w:r>
      <w:r>
        <w:rPr>
          <w:rFonts w:ascii="Times New Roman" w:hAnsi="Times New Roman" w:cs="Times New Roman"/>
        </w:rPr>
        <w:t>: By enforcing data collection through the client portal, the project formally establishes the PLP at the point of client entry. This is the first, most critical step in data governance, ensuring a clean, auditable, and reliable origin for the data. This structural change is what eliminates the inherent risk of the previous manual process.</w:t>
      </w:r>
    </w:p>
    <w:p w14:paraId="662B19EB" w14:textId="77777777" w:rsidR="00BF13C8" w:rsidRDefault="00BF13C8" w:rsidP="00BF13C8">
      <w:pPr>
        <w:pStyle w:val="Default"/>
        <w:numPr>
          <w:ilvl w:val="0"/>
          <w:numId w:val="2"/>
        </w:numPr>
        <w:spacing w:line="240" w:lineRule="auto"/>
        <w:rPr>
          <w:rFonts w:ascii="Times New Roman" w:hAnsi="Times New Roman" w:cs="Times New Roman"/>
        </w:rPr>
      </w:pPr>
      <w:r>
        <w:rPr>
          <w:rFonts w:ascii="Times New Roman" w:hAnsi="Times New Roman" w:cs="Times New Roman"/>
          <w:i/>
          <w:iCs/>
        </w:rPr>
        <w:t>Ethical and Employee Benefit</w:t>
      </w:r>
      <w:r>
        <w:rPr>
          <w:rFonts w:ascii="Times New Roman" w:hAnsi="Times New Roman" w:cs="Times New Roman"/>
        </w:rPr>
        <w:t>: The automation eliminates the need for employees to work late nights and weekends during the peak submission season in January. This positive impact on employee well-being and work-life balance is a significant ethical benefit of the project, allowing staff to reallocate their time to higher-value client relationship activities rather than low-value transcription tasks.</w:t>
      </w:r>
    </w:p>
    <w:p w14:paraId="1E8E3905" w14:textId="77777777" w:rsidR="00BF13C8" w:rsidRDefault="00BF13C8" w:rsidP="00BF13C8">
      <w:pPr>
        <w:pStyle w:val="Default"/>
        <w:spacing w:line="240" w:lineRule="auto"/>
        <w:rPr>
          <w:rFonts w:ascii="Times New Roman" w:hAnsi="Times New Roman" w:cs="Times New Roman"/>
        </w:rPr>
      </w:pPr>
    </w:p>
    <w:p w14:paraId="512E36D4" w14:textId="77777777" w:rsidR="00BF13C8" w:rsidRDefault="00BF13C8" w:rsidP="00BF13C8">
      <w:pPr>
        <w:pStyle w:val="Default"/>
        <w:spacing w:after="240" w:line="240" w:lineRule="auto"/>
        <w:rPr>
          <w:rStyle w:val="SubtleReference"/>
        </w:rPr>
      </w:pPr>
      <w:r>
        <w:rPr>
          <w:rStyle w:val="SubtleReference"/>
        </w:rPr>
        <w:t>Risk and Communication Strategy</w:t>
      </w:r>
    </w:p>
    <w:p w14:paraId="74FA3DD3" w14:textId="77777777" w:rsidR="00BF13C8" w:rsidRDefault="00BF13C8" w:rsidP="00BF13C8">
      <w:pPr>
        <w:pStyle w:val="Default"/>
        <w:spacing w:line="240" w:lineRule="auto"/>
        <w:ind w:firstLine="720"/>
        <w:rPr>
          <w:rFonts w:ascii="Times New Roman" w:hAnsi="Times New Roman" w:cs="Times New Roman"/>
        </w:rPr>
      </w:pPr>
      <w:r>
        <w:rPr>
          <w:rFonts w:ascii="Times New Roman" w:hAnsi="Times New Roman" w:cs="Times New Roman"/>
        </w:rPr>
        <w:t>The highest-priority threats to project delivery are low client adoption and subject matter expert (SME) resource constraints. These are actively mitigated by executive action and governance controls.</w:t>
      </w:r>
    </w:p>
    <w:p w14:paraId="3F22CD8D" w14:textId="77777777" w:rsidR="00BF13C8" w:rsidRDefault="00BF13C8" w:rsidP="00BF13C8">
      <w:pPr>
        <w:pStyle w:val="Default"/>
        <w:spacing w:line="240" w:lineRule="auto"/>
        <w:rPr>
          <w:rFonts w:ascii="Times New Roman" w:hAnsi="Times New Roman" w:cs="Times New Roman"/>
          <w:b/>
          <w:bCs/>
        </w:rPr>
      </w:pPr>
      <w:r>
        <w:rPr>
          <w:rFonts w:ascii="Times New Roman" w:hAnsi="Times New Roman" w:cs="Times New Roman"/>
          <w:b/>
          <w:bCs/>
        </w:rPr>
        <w:t>Risk Mitigation:</w:t>
      </w:r>
    </w:p>
    <w:p w14:paraId="3534647A" w14:textId="77777777" w:rsidR="00BF13C8" w:rsidRDefault="00BF13C8" w:rsidP="00BF13C8">
      <w:pPr>
        <w:pStyle w:val="Default"/>
        <w:numPr>
          <w:ilvl w:val="0"/>
          <w:numId w:val="3"/>
        </w:numPr>
        <w:spacing w:line="240" w:lineRule="auto"/>
        <w:rPr>
          <w:rFonts w:ascii="Times New Roman" w:hAnsi="Times New Roman" w:cs="Times New Roman"/>
        </w:rPr>
      </w:pPr>
      <w:r>
        <w:rPr>
          <w:rFonts w:ascii="Times New Roman" w:hAnsi="Times New Roman" w:cs="Times New Roman"/>
          <w:i/>
          <w:iCs/>
        </w:rPr>
        <w:t>Low Client Adoption Risk</w:t>
      </w:r>
      <w:r>
        <w:rPr>
          <w:rFonts w:ascii="Times New Roman" w:hAnsi="Times New Roman" w:cs="Times New Roman"/>
        </w:rPr>
        <w:t>: This is the greatest risk to realizing ROI. It is actively addressed by establishing it as an upstream dependency of the project, which prevents project initiation until established participation benchmarks are met.</w:t>
      </w:r>
    </w:p>
    <w:p w14:paraId="35FF7663" w14:textId="77777777" w:rsidR="00BF13C8" w:rsidRDefault="00BF13C8" w:rsidP="00BF13C8">
      <w:pPr>
        <w:pStyle w:val="Default"/>
        <w:numPr>
          <w:ilvl w:val="0"/>
          <w:numId w:val="3"/>
        </w:numPr>
        <w:spacing w:line="240" w:lineRule="auto"/>
        <w:rPr>
          <w:rFonts w:ascii="Times New Roman" w:hAnsi="Times New Roman" w:cs="Times New Roman"/>
        </w:rPr>
      </w:pPr>
      <w:r>
        <w:rPr>
          <w:rFonts w:ascii="Times New Roman" w:hAnsi="Times New Roman" w:cs="Times New Roman"/>
          <w:i/>
          <w:iCs/>
        </w:rPr>
        <w:t>SME Resource Constraints</w:t>
      </w:r>
      <w:r>
        <w:rPr>
          <w:rFonts w:ascii="Times New Roman" w:hAnsi="Times New Roman" w:cs="Times New Roman"/>
        </w:rPr>
        <w:t>: This technical risk is mitigated by executive mandate during project charter development in the T+1 milestone. By executing the project as a hybrid waterfall/Agile effort, the Project Manager strategically leverages the organizational priority of the project to compel resource allocation for necessary work in a bid to avoid the perception of the data mapping and validation efforts as technical debt or maintenance work that could easily be deprioritized in favor of other projects.</w:t>
      </w:r>
    </w:p>
    <w:p w14:paraId="246D742E" w14:textId="77777777" w:rsidR="00BF13C8" w:rsidRDefault="00BF13C8" w:rsidP="00BF13C8">
      <w:pPr>
        <w:pStyle w:val="Default"/>
        <w:spacing w:line="240" w:lineRule="auto"/>
        <w:rPr>
          <w:rFonts w:ascii="Times New Roman" w:hAnsi="Times New Roman" w:cs="Times New Roman"/>
        </w:rPr>
      </w:pPr>
      <w:r>
        <w:rPr>
          <w:rFonts w:ascii="Times New Roman" w:hAnsi="Times New Roman" w:cs="Times New Roman"/>
          <w:b/>
          <w:bCs/>
        </w:rPr>
        <w:lastRenderedPageBreak/>
        <w:t>Stakeholder Communication</w:t>
      </w:r>
      <w:r>
        <w:rPr>
          <w:rFonts w:ascii="Times New Roman" w:hAnsi="Times New Roman" w:cs="Times New Roman"/>
        </w:rPr>
        <w:t xml:space="preserve">: </w:t>
      </w:r>
    </w:p>
    <w:p w14:paraId="160ED5BD" w14:textId="77777777" w:rsidR="00BF13C8" w:rsidRDefault="00BF13C8" w:rsidP="00BF13C8">
      <w:pPr>
        <w:pStyle w:val="Default"/>
        <w:spacing w:line="240" w:lineRule="auto"/>
        <w:ind w:firstLine="720"/>
        <w:rPr>
          <w:rFonts w:ascii="Times New Roman" w:hAnsi="Times New Roman" w:cs="Times New Roman"/>
        </w:rPr>
      </w:pPr>
      <w:r>
        <w:rPr>
          <w:rFonts w:ascii="Times New Roman" w:hAnsi="Times New Roman" w:cs="Times New Roman"/>
        </w:rPr>
        <w:t>Stakeholder communication is tailored by audience and frequency to maintain focus on the core objectives of cost mitigation and adoption.</w:t>
      </w:r>
    </w:p>
    <w:p w14:paraId="522A8302" w14:textId="77777777" w:rsidR="00BF13C8" w:rsidRDefault="00BF13C8" w:rsidP="00BF13C8">
      <w:pPr>
        <w:pStyle w:val="Default"/>
        <w:numPr>
          <w:ilvl w:val="0"/>
          <w:numId w:val="4"/>
        </w:numPr>
        <w:spacing w:line="240" w:lineRule="auto"/>
        <w:rPr>
          <w:rFonts w:ascii="Times New Roman" w:hAnsi="Times New Roman" w:cs="Times New Roman"/>
        </w:rPr>
      </w:pPr>
      <w:r>
        <w:rPr>
          <w:rFonts w:ascii="Times New Roman" w:hAnsi="Times New Roman" w:cs="Times New Roman"/>
          <w:i/>
          <w:iCs/>
        </w:rPr>
        <w:t>Steering Committee</w:t>
      </w:r>
      <w:r>
        <w:rPr>
          <w:rFonts w:ascii="Times New Roman" w:hAnsi="Times New Roman" w:cs="Times New Roman"/>
        </w:rPr>
        <w:t>: Will receive bi-weekly briefings focused primarily on Adoption Checkpoint readiness, cost-saving projections, resource concerns, and formal sign-off requests.</w:t>
      </w:r>
    </w:p>
    <w:p w14:paraId="43F0CB47" w14:textId="77777777" w:rsidR="00BF13C8" w:rsidRDefault="00BF13C8" w:rsidP="00BF13C8">
      <w:pPr>
        <w:pStyle w:val="Default"/>
        <w:numPr>
          <w:ilvl w:val="0"/>
          <w:numId w:val="4"/>
        </w:numPr>
        <w:spacing w:line="240" w:lineRule="auto"/>
        <w:rPr>
          <w:rFonts w:ascii="Times New Roman" w:hAnsi="Times New Roman" w:cs="Times New Roman"/>
        </w:rPr>
      </w:pPr>
      <w:r>
        <w:rPr>
          <w:rFonts w:ascii="Times New Roman" w:hAnsi="Times New Roman" w:cs="Times New Roman"/>
          <w:i/>
          <w:iCs/>
        </w:rPr>
        <w:t>Business Stakeholders</w:t>
      </w:r>
      <w:r>
        <w:rPr>
          <w:rFonts w:ascii="Times New Roman" w:hAnsi="Times New Roman" w:cs="Times New Roman"/>
        </w:rPr>
        <w:t>: Will be furnished with weekly status reports that detail client portal UI/UX development status, adoption campaign progress, and metrics related to Perceived Ease of Use (PEU).</w:t>
      </w:r>
    </w:p>
    <w:p w14:paraId="07B33DAF" w14:textId="77777777" w:rsidR="00BF13C8" w:rsidRDefault="00BF13C8" w:rsidP="00BF13C8">
      <w:pPr>
        <w:pStyle w:val="Default"/>
        <w:numPr>
          <w:ilvl w:val="0"/>
          <w:numId w:val="4"/>
        </w:numPr>
        <w:spacing w:line="240" w:lineRule="auto"/>
        <w:rPr>
          <w:rFonts w:ascii="Times New Roman" w:hAnsi="Times New Roman" w:cs="Times New Roman"/>
        </w:rPr>
      </w:pPr>
      <w:r>
        <w:rPr>
          <w:rFonts w:ascii="Times New Roman" w:hAnsi="Times New Roman" w:cs="Times New Roman"/>
          <w:i/>
          <w:iCs/>
        </w:rPr>
        <w:t>Technical Teams</w:t>
      </w:r>
      <w:r>
        <w:rPr>
          <w:rFonts w:ascii="Times New Roman" w:hAnsi="Times New Roman" w:cs="Times New Roman"/>
        </w:rPr>
        <w:t>: Will hold daily meetings focused on functional development, integration, data mapping, ETL development, and ETL validation testing, ensuring the technical integrity of the data pipeline remains the central focus.</w:t>
      </w:r>
    </w:p>
    <w:p w14:paraId="025222B8" w14:textId="77777777" w:rsidR="00BF13C8" w:rsidRDefault="00BF13C8" w:rsidP="00BF13C8">
      <w:pPr>
        <w:pStyle w:val="Default"/>
        <w:spacing w:line="240" w:lineRule="auto"/>
        <w:ind w:firstLine="720"/>
        <w:rPr>
          <w:rFonts w:ascii="Times New Roman" w:hAnsi="Times New Roman" w:cs="Times New Roman"/>
        </w:rPr>
      </w:pPr>
      <w:r>
        <w:rPr>
          <w:rFonts w:ascii="Times New Roman" w:hAnsi="Times New Roman" w:cs="Times New Roman"/>
        </w:rPr>
        <w:t>This disciplined communication structure ensures that the critical link between the client experience and the business case remains transparent to all leaders, providing a clear and managed path to strategic success.</w:t>
      </w:r>
    </w:p>
    <w:p w14:paraId="240A8C8A" w14:textId="77777777" w:rsidR="00BF13C8" w:rsidRDefault="00BF13C8" w:rsidP="00BF13C8">
      <w:pPr>
        <w:pStyle w:val="Default"/>
        <w:suppressAutoHyphens/>
        <w:spacing w:before="0" w:after="240" w:line="240" w:lineRule="auto"/>
        <w:ind w:firstLine="720"/>
        <w:rPr>
          <w:rFonts w:ascii="Times New Roman" w:hAnsi="Times New Roman" w:cs="Times New Roman"/>
        </w:rPr>
      </w:pPr>
    </w:p>
    <w:p w14:paraId="1F0A7103" w14:textId="77777777" w:rsidR="008A73F3" w:rsidRDefault="008A73F3"/>
    <w:sectPr w:rsidR="008A73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686"/>
    <w:multiLevelType w:val="hybridMultilevel"/>
    <w:tmpl w:val="AA6C81E6"/>
    <w:numStyleLink w:val="Numbered"/>
  </w:abstractNum>
  <w:abstractNum w:abstractNumId="1" w15:restartNumberingAfterBreak="0">
    <w:nsid w:val="245D39E5"/>
    <w:multiLevelType w:val="hybridMultilevel"/>
    <w:tmpl w:val="96CED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6423DA6"/>
    <w:multiLevelType w:val="hybridMultilevel"/>
    <w:tmpl w:val="B89006E4"/>
    <w:styleLink w:val="Bullet"/>
    <w:lvl w:ilvl="0" w:tplc="D42A0DE2">
      <w:start w:val="1"/>
      <w:numFmt w:val="bullet"/>
      <w:lvlText w:val="•"/>
      <w:lvlJc w:val="left"/>
      <w:pPr>
        <w:ind w:left="720" w:hanging="500"/>
      </w:pPr>
      <w:rPr>
        <w:rFonts w:ascii="Times Roman" w:eastAsia="Times Roman" w:hAnsi="Times Roman" w:cs="Times Roman"/>
        <w:b/>
        <w:bCs/>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86AE46A">
      <w:start w:val="1"/>
      <w:numFmt w:val="bullet"/>
      <w:lvlText w:val="•"/>
      <w:lvlJc w:val="left"/>
      <w:pPr>
        <w:ind w:left="940" w:hanging="500"/>
      </w:pPr>
      <w:rPr>
        <w:rFonts w:ascii="Times Roman" w:eastAsia="Times Roman" w:hAnsi="Times Roman" w:cs="Times Roman"/>
        <w:b/>
        <w:bCs/>
        <w:i w:val="0"/>
        <w:iCs w:val="0"/>
        <w:caps w:val="0"/>
        <w:smallCaps w:val="0"/>
        <w:strike w:val="0"/>
        <w:dstrike w:val="0"/>
        <w:spacing w:val="0"/>
        <w:w w:val="100"/>
        <w:kern w:val="0"/>
        <w:position w:val="-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3D1CA852">
      <w:start w:val="1"/>
      <w:numFmt w:val="bullet"/>
      <w:lvlText w:val="•"/>
      <w:lvlJc w:val="left"/>
      <w:pPr>
        <w:ind w:left="1160" w:hanging="500"/>
      </w:pPr>
      <w:rPr>
        <w:rFonts w:ascii="Times Roman" w:eastAsia="Times Roman" w:hAnsi="Times Roman" w:cs="Times Roman"/>
        <w:b/>
        <w:bCs/>
        <w:i w:val="0"/>
        <w:iCs w:val="0"/>
        <w:caps w:val="0"/>
        <w:smallCaps w:val="0"/>
        <w:strike w:val="0"/>
        <w:dstrike w:val="0"/>
        <w:spacing w:val="0"/>
        <w:w w:val="100"/>
        <w:kern w:val="0"/>
        <w:position w:val="-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3189C1E">
      <w:start w:val="1"/>
      <w:numFmt w:val="bullet"/>
      <w:lvlText w:val="•"/>
      <w:lvlJc w:val="left"/>
      <w:pPr>
        <w:ind w:left="1380" w:hanging="500"/>
      </w:pPr>
      <w:rPr>
        <w:rFonts w:ascii="Times Roman" w:eastAsia="Times Roman" w:hAnsi="Times Roman" w:cs="Times Roman"/>
        <w:b/>
        <w:bCs/>
        <w:i w:val="0"/>
        <w:iCs w:val="0"/>
        <w:caps w:val="0"/>
        <w:smallCaps w:val="0"/>
        <w:strike w:val="0"/>
        <w:dstrike w:val="0"/>
        <w:spacing w:val="0"/>
        <w:w w:val="100"/>
        <w:kern w:val="0"/>
        <w:position w:val="-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C2FA789C">
      <w:start w:val="1"/>
      <w:numFmt w:val="bullet"/>
      <w:lvlText w:val="•"/>
      <w:lvlJc w:val="left"/>
      <w:pPr>
        <w:ind w:left="1600" w:hanging="500"/>
      </w:pPr>
      <w:rPr>
        <w:rFonts w:ascii="Times Roman" w:eastAsia="Times Roman" w:hAnsi="Times Roman" w:cs="Times Roman"/>
        <w:b/>
        <w:bCs/>
        <w:i w:val="0"/>
        <w:iCs w:val="0"/>
        <w:caps w:val="0"/>
        <w:smallCaps w:val="0"/>
        <w:strike w:val="0"/>
        <w:dstrike w:val="0"/>
        <w:spacing w:val="0"/>
        <w:w w:val="100"/>
        <w:kern w:val="0"/>
        <w:position w:val="-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5A5851A8">
      <w:start w:val="1"/>
      <w:numFmt w:val="bullet"/>
      <w:lvlText w:val="•"/>
      <w:lvlJc w:val="left"/>
      <w:pPr>
        <w:ind w:left="1820" w:hanging="500"/>
      </w:pPr>
      <w:rPr>
        <w:rFonts w:ascii="Times Roman" w:eastAsia="Times Roman" w:hAnsi="Times Roman" w:cs="Times Roman"/>
        <w:b/>
        <w:bCs/>
        <w:i w:val="0"/>
        <w:iCs w:val="0"/>
        <w:caps w:val="0"/>
        <w:smallCaps w:val="0"/>
        <w:strike w:val="0"/>
        <w:dstrike w:val="0"/>
        <w:spacing w:val="0"/>
        <w:w w:val="100"/>
        <w:kern w:val="0"/>
        <w:position w:val="-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052E373A">
      <w:start w:val="1"/>
      <w:numFmt w:val="bullet"/>
      <w:lvlText w:val="•"/>
      <w:lvlJc w:val="left"/>
      <w:pPr>
        <w:ind w:left="2040" w:hanging="500"/>
      </w:pPr>
      <w:rPr>
        <w:rFonts w:ascii="Times Roman" w:eastAsia="Times Roman" w:hAnsi="Times Roman" w:cs="Times Roman"/>
        <w:b/>
        <w:bCs/>
        <w:i w:val="0"/>
        <w:iCs w:val="0"/>
        <w:caps w:val="0"/>
        <w:smallCaps w:val="0"/>
        <w:strike w:val="0"/>
        <w:dstrike w:val="0"/>
        <w:spacing w:val="0"/>
        <w:w w:val="100"/>
        <w:kern w:val="0"/>
        <w:position w:val="-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017C4E8E">
      <w:start w:val="1"/>
      <w:numFmt w:val="bullet"/>
      <w:lvlText w:val="•"/>
      <w:lvlJc w:val="left"/>
      <w:pPr>
        <w:ind w:left="2260" w:hanging="500"/>
      </w:pPr>
      <w:rPr>
        <w:rFonts w:ascii="Times Roman" w:eastAsia="Times Roman" w:hAnsi="Times Roman" w:cs="Times Roman"/>
        <w:b/>
        <w:bCs/>
        <w:i w:val="0"/>
        <w:iCs w:val="0"/>
        <w:caps w:val="0"/>
        <w:smallCaps w:val="0"/>
        <w:strike w:val="0"/>
        <w:dstrike w:val="0"/>
        <w:spacing w:val="0"/>
        <w:w w:val="100"/>
        <w:kern w:val="0"/>
        <w:position w:val="-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1065BB2">
      <w:start w:val="1"/>
      <w:numFmt w:val="bullet"/>
      <w:lvlText w:val="•"/>
      <w:lvlJc w:val="left"/>
      <w:pPr>
        <w:ind w:left="2480" w:hanging="500"/>
      </w:pPr>
      <w:rPr>
        <w:rFonts w:ascii="Times Roman" w:eastAsia="Times Roman" w:hAnsi="Times Roman" w:cs="Times Roman"/>
        <w:b/>
        <w:bCs/>
        <w:i w:val="0"/>
        <w:iCs w:val="0"/>
        <w:caps w:val="0"/>
        <w:smallCaps w:val="0"/>
        <w:strike w:val="0"/>
        <w:dstrike w:val="0"/>
        <w:spacing w:val="0"/>
        <w:w w:val="100"/>
        <w:kern w:val="0"/>
        <w:position w:val="-2"/>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 w15:restartNumberingAfterBreak="0">
    <w:nsid w:val="48582248"/>
    <w:multiLevelType w:val="hybridMultilevel"/>
    <w:tmpl w:val="AA6C81E6"/>
    <w:styleLink w:val="Numbered"/>
    <w:lvl w:ilvl="0" w:tplc="B4629B2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30A06F4">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FC68D236">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03DA3EE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684EF93A">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C586185E">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1D76B700">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EF16BDBE">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D1DA4E3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 w15:restartNumberingAfterBreak="0">
    <w:nsid w:val="52263737"/>
    <w:multiLevelType w:val="hybridMultilevel"/>
    <w:tmpl w:val="B89006E4"/>
    <w:numStyleLink w:val="Bullet"/>
  </w:abstractNum>
  <w:abstractNum w:abstractNumId="5" w15:restartNumberingAfterBreak="0">
    <w:nsid w:val="6FE3258F"/>
    <w:multiLevelType w:val="hybridMultilevel"/>
    <w:tmpl w:val="0E40E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79728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9150756">
    <w:abstractNumId w:val="1"/>
    <w:lvlOverride w:ilvl="0"/>
    <w:lvlOverride w:ilvl="1"/>
    <w:lvlOverride w:ilvl="2"/>
    <w:lvlOverride w:ilvl="3"/>
    <w:lvlOverride w:ilvl="4"/>
    <w:lvlOverride w:ilvl="5"/>
    <w:lvlOverride w:ilvl="6"/>
    <w:lvlOverride w:ilvl="7"/>
    <w:lvlOverride w:ilvl="8"/>
  </w:num>
  <w:num w:numId="3" w16cid:durableId="1264680500">
    <w:abstractNumId w:val="4"/>
    <w:lvlOverride w:ilvl="0"/>
    <w:lvlOverride w:ilvl="1"/>
    <w:lvlOverride w:ilvl="2"/>
    <w:lvlOverride w:ilvl="3"/>
    <w:lvlOverride w:ilvl="4"/>
    <w:lvlOverride w:ilvl="5"/>
    <w:lvlOverride w:ilvl="6"/>
    <w:lvlOverride w:ilvl="7"/>
    <w:lvlOverride w:ilvl="8"/>
  </w:num>
  <w:num w:numId="4" w16cid:durableId="1803225717">
    <w:abstractNumId w:val="5"/>
    <w:lvlOverride w:ilvl="0"/>
    <w:lvlOverride w:ilvl="1"/>
    <w:lvlOverride w:ilvl="2"/>
    <w:lvlOverride w:ilvl="3"/>
    <w:lvlOverride w:ilvl="4"/>
    <w:lvlOverride w:ilvl="5"/>
    <w:lvlOverride w:ilvl="6"/>
    <w:lvlOverride w:ilvl="7"/>
    <w:lvlOverride w:ilvl="8"/>
  </w:num>
  <w:num w:numId="5" w16cid:durableId="1348213643">
    <w:abstractNumId w:val="2"/>
  </w:num>
  <w:num w:numId="6" w16cid:durableId="1376125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C8"/>
    <w:rsid w:val="00462A5C"/>
    <w:rsid w:val="008373E1"/>
    <w:rsid w:val="008A73F3"/>
    <w:rsid w:val="00BF13C8"/>
    <w:rsid w:val="00F8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D8D10"/>
  <w15:chartTrackingRefBased/>
  <w15:docId w15:val="{FEE3A315-F868-4CDF-BF09-3A9A4E2E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3C8"/>
    <w:rPr>
      <w:rFonts w:eastAsiaTheme="majorEastAsia" w:cstheme="majorBidi"/>
      <w:color w:val="272727" w:themeColor="text1" w:themeTint="D8"/>
    </w:rPr>
  </w:style>
  <w:style w:type="paragraph" w:styleId="Title">
    <w:name w:val="Title"/>
    <w:basedOn w:val="Normal"/>
    <w:next w:val="Normal"/>
    <w:link w:val="TitleChar"/>
    <w:uiPriority w:val="10"/>
    <w:qFormat/>
    <w:rsid w:val="00BF1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3C8"/>
    <w:pPr>
      <w:spacing w:before="160"/>
      <w:jc w:val="center"/>
    </w:pPr>
    <w:rPr>
      <w:i/>
      <w:iCs/>
      <w:color w:val="404040" w:themeColor="text1" w:themeTint="BF"/>
    </w:rPr>
  </w:style>
  <w:style w:type="character" w:customStyle="1" w:styleId="QuoteChar">
    <w:name w:val="Quote Char"/>
    <w:basedOn w:val="DefaultParagraphFont"/>
    <w:link w:val="Quote"/>
    <w:uiPriority w:val="29"/>
    <w:rsid w:val="00BF13C8"/>
    <w:rPr>
      <w:i/>
      <w:iCs/>
      <w:color w:val="404040" w:themeColor="text1" w:themeTint="BF"/>
    </w:rPr>
  </w:style>
  <w:style w:type="paragraph" w:styleId="ListParagraph">
    <w:name w:val="List Paragraph"/>
    <w:basedOn w:val="Normal"/>
    <w:uiPriority w:val="34"/>
    <w:qFormat/>
    <w:rsid w:val="00BF13C8"/>
    <w:pPr>
      <w:ind w:left="720"/>
      <w:contextualSpacing/>
    </w:pPr>
  </w:style>
  <w:style w:type="character" w:styleId="IntenseEmphasis">
    <w:name w:val="Intense Emphasis"/>
    <w:basedOn w:val="DefaultParagraphFont"/>
    <w:uiPriority w:val="21"/>
    <w:qFormat/>
    <w:rsid w:val="00BF13C8"/>
    <w:rPr>
      <w:i/>
      <w:iCs/>
      <w:color w:val="0F4761" w:themeColor="accent1" w:themeShade="BF"/>
    </w:rPr>
  </w:style>
  <w:style w:type="paragraph" w:styleId="IntenseQuote">
    <w:name w:val="Intense Quote"/>
    <w:basedOn w:val="Normal"/>
    <w:next w:val="Normal"/>
    <w:link w:val="IntenseQuoteChar"/>
    <w:uiPriority w:val="30"/>
    <w:qFormat/>
    <w:rsid w:val="00BF1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3C8"/>
    <w:rPr>
      <w:i/>
      <w:iCs/>
      <w:color w:val="0F4761" w:themeColor="accent1" w:themeShade="BF"/>
    </w:rPr>
  </w:style>
  <w:style w:type="character" w:styleId="IntenseReference">
    <w:name w:val="Intense Reference"/>
    <w:basedOn w:val="DefaultParagraphFont"/>
    <w:uiPriority w:val="32"/>
    <w:qFormat/>
    <w:rsid w:val="00BF13C8"/>
    <w:rPr>
      <w:b/>
      <w:bCs/>
      <w:smallCaps/>
      <w:color w:val="0F4761" w:themeColor="accent1" w:themeShade="BF"/>
      <w:spacing w:val="5"/>
    </w:rPr>
  </w:style>
  <w:style w:type="paragraph" w:customStyle="1" w:styleId="Default">
    <w:name w:val="Default"/>
    <w:rsid w:val="00BF13C8"/>
    <w:pPr>
      <w:spacing w:before="160" w:after="0" w:line="288" w:lineRule="auto"/>
    </w:pPr>
    <w:rPr>
      <w:rFonts w:ascii="Helvetica Neue" w:eastAsia="Arial Unicode MS" w:hAnsi="Helvetica Neue" w:cs="Arial Unicode MS"/>
      <w:color w:val="000000"/>
      <w:kern w:val="0"/>
      <w14:textOutline w14:w="0" w14:cap="flat" w14:cmpd="sng" w14:algn="ctr">
        <w14:noFill/>
        <w14:prstDash w14:val="solid"/>
        <w14:bevel/>
      </w14:textOutline>
      <w14:ligatures w14:val="none"/>
    </w:rPr>
  </w:style>
  <w:style w:type="character" w:styleId="SubtleReference">
    <w:name w:val="Subtle Reference"/>
    <w:basedOn w:val="DefaultParagraphFont"/>
    <w:uiPriority w:val="31"/>
    <w:qFormat/>
    <w:rsid w:val="00BF13C8"/>
    <w:rPr>
      <w:smallCaps/>
      <w:color w:val="5A5A5A" w:themeColor="text1" w:themeTint="A5"/>
    </w:rPr>
  </w:style>
  <w:style w:type="numbering" w:customStyle="1" w:styleId="Bullet">
    <w:name w:val="Bullet"/>
    <w:rsid w:val="00BF13C8"/>
    <w:pPr>
      <w:numPr>
        <w:numId w:val="5"/>
      </w:numPr>
    </w:pPr>
  </w:style>
  <w:style w:type="numbering" w:customStyle="1" w:styleId="Numbered">
    <w:name w:val="Numbered"/>
    <w:rsid w:val="00BF13C8"/>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976</Words>
  <Characters>5888</Characters>
  <Application>Microsoft Office Word</Application>
  <DocSecurity>0</DocSecurity>
  <Lines>105</Lines>
  <Paragraphs>39</Paragraphs>
  <ScaleCrop>false</ScaleCrop>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Slothk8 Herrick</dc:creator>
  <cp:keywords/>
  <dc:description/>
  <cp:lastModifiedBy>Slothk8 Herrick</cp:lastModifiedBy>
  <cp:revision>1</cp:revision>
  <dcterms:created xsi:type="dcterms:W3CDTF">2025-11-15T17:26:00Z</dcterms:created>
  <dcterms:modified xsi:type="dcterms:W3CDTF">2025-11-15T17:28:00Z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17ed2eb8-5443-40e4-ba75-42d428e6c2c2</vt:lpwstr>
  </property>
</Properties>
</file>