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Executive Summary: Project </w:t>
      </w:r>
      <w:r>
        <w:rPr>
          <w:rFonts w:ascii="Times Roman" w:hAnsi="Times Roman" w:hint="default"/>
          <w:b w:val="1"/>
          <w:bCs w:val="1"/>
          <w:sz w:val="28"/>
          <w:szCs w:val="28"/>
          <w:rtl w:val="1"/>
          <w:lang w:val="ar-SA" w:bidi="ar-SA"/>
        </w:rPr>
        <w:t>“</w:t>
      </w:r>
      <w:r>
        <w:rPr>
          <w:rFonts w:ascii="Times Roman" w:hAnsi="Times Roman"/>
          <w:b w:val="1"/>
          <w:bCs w:val="1"/>
          <w:sz w:val="28"/>
          <w:szCs w:val="28"/>
          <w:rtl w:val="0"/>
          <w:lang w:val="en-US"/>
        </w:rPr>
        <w:t>Seedling</w:t>
      </w:r>
      <w:r>
        <w:rPr>
          <w:rFonts w:ascii="Times Roman" w:hAnsi="Times Roman" w:hint="default"/>
          <w:b w:val="1"/>
          <w:bCs w:val="1"/>
          <w:sz w:val="28"/>
          <w:szCs w:val="28"/>
          <w:rtl w:val="0"/>
        </w:rPr>
        <w: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Greenfield Financial </w:t>
      </w:r>
      <w:r>
        <w:rPr>
          <w:rFonts w:ascii="Times Roman" w:hAnsi="Times Roman"/>
          <w:b w:val="1"/>
          <w:bCs w:val="1"/>
          <w:rtl w:val="0"/>
          <w:lang w:val="en-US"/>
        </w:rPr>
        <w:t>Seedling Initiative</w:t>
      </w:r>
      <w:r>
        <w:rPr>
          <w:rFonts w:ascii="Times Roman" w:hAnsi="Times Roman"/>
          <w:rtl w:val="0"/>
          <w:lang w:val="en-US"/>
        </w:rPr>
        <w:t xml:space="preserve"> was launched to eliminate the organization</w:t>
      </w:r>
      <w:r>
        <w:rPr>
          <w:rFonts w:ascii="Times Roman" w:hAnsi="Times Roman" w:hint="default"/>
          <w:rtl w:val="1"/>
        </w:rPr>
        <w:t>’</w:t>
      </w:r>
      <w:r>
        <w:rPr>
          <w:rFonts w:ascii="Times Roman" w:hAnsi="Times Roman"/>
          <w:rtl w:val="0"/>
          <w:lang w:val="en-US"/>
        </w:rPr>
        <w:t xml:space="preserve">s single largest operational expenditure: the over </w:t>
      </w:r>
      <w:r>
        <w:rPr>
          <w:rFonts w:ascii="Times Roman" w:hAnsi="Times Roman"/>
          <w:b w:val="1"/>
          <w:bCs w:val="1"/>
          <w:rtl w:val="0"/>
          <w:lang w:val="en-US"/>
        </w:rPr>
        <w:t>$3 million</w:t>
      </w:r>
      <w:r>
        <w:rPr>
          <w:rFonts w:ascii="Times Roman" w:hAnsi="Times Roman"/>
          <w:rtl w:val="0"/>
          <w:lang w:val="en-US"/>
        </w:rPr>
        <w:t xml:space="preserve"> spent annually on manual transcription labor for client balance sheets. This outdated, paper-based process is not only costly and inefficient but exposes the organization to significant </w:t>
      </w:r>
      <w:r>
        <w:rPr>
          <w:rFonts w:ascii="Times Roman" w:hAnsi="Times Roman"/>
          <w:b w:val="1"/>
          <w:bCs w:val="1"/>
          <w:rtl w:val="0"/>
          <w:lang w:val="en-US"/>
        </w:rPr>
        <w:t>data integrity risk</w:t>
      </w:r>
      <w:r>
        <w:rPr>
          <w:rFonts w:ascii="Times Roman" w:hAnsi="Times Roman"/>
          <w:rtl w:val="0"/>
          <w:lang w:val="en-US"/>
        </w:rPr>
        <w:t xml:space="preserve"> by violating the </w:t>
      </w:r>
      <w:r>
        <w:rPr>
          <w:rFonts w:ascii="Times Roman" w:hAnsi="Times Roman"/>
          <w:b w:val="1"/>
          <w:bCs w:val="1"/>
          <w:rtl w:val="0"/>
          <w:lang w:val="en-US"/>
        </w:rPr>
        <w:t>Single Source of Truth (SSOT)</w:t>
      </w:r>
      <w:r>
        <w:rPr>
          <w:rFonts w:ascii="Times Roman" w:hAnsi="Times Roman"/>
          <w:rtl w:val="0"/>
          <w:lang w:val="it-IT"/>
        </w:rPr>
        <w:t xml:space="preserve"> principle.</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initiative</w:t>
      </w:r>
      <w:r>
        <w:rPr>
          <w:rFonts w:ascii="Times Roman" w:hAnsi="Times Roman" w:hint="default"/>
          <w:rtl w:val="1"/>
        </w:rPr>
        <w:t>’</w:t>
      </w:r>
      <w:r>
        <w:rPr>
          <w:rFonts w:ascii="Times Roman" w:hAnsi="Times Roman"/>
          <w:rtl w:val="0"/>
          <w:lang w:val="en-US"/>
        </w:rPr>
        <w:t xml:space="preserve">s primary focus is to transition the organization from error-prone manual transcription to a fully automated </w:t>
      </w:r>
      <w:r>
        <w:rPr>
          <w:rFonts w:ascii="Times Roman" w:hAnsi="Times Roman"/>
          <w:b w:val="1"/>
          <w:bCs w:val="1"/>
          <w:rtl w:val="0"/>
          <w:lang w:val="en-US"/>
        </w:rPr>
        <w:t>Extract, Transform, Load (ETL) data pipeline</w:t>
      </w:r>
      <w:r>
        <w:rPr>
          <w:rFonts w:ascii="Times Roman" w:hAnsi="Times Roman"/>
          <w:rtl w:val="0"/>
          <w:lang w:val="en-US"/>
        </w:rPr>
        <w:t>. The core strategic objectives, reflecting the mandate to mitigate risk while driving efficiency, are threefold:</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numPr>
          <w:ilvl w:val="0"/>
          <w:numId w:val="2"/>
        </w:numPr>
        <w:suppressAutoHyphens w:val="1"/>
        <w:spacing w:before="0" w:after="240" w:line="240" w:lineRule="auto"/>
        <w:jc w:val="left"/>
        <w:rPr>
          <w:rFonts w:ascii="Times Roman" w:cs="Times Roman" w:hAnsi="Times Roman" w:eastAsia="Times Roman"/>
        </w:rPr>
      </w:pPr>
      <w:r>
        <w:rPr>
          <w:rFonts w:ascii="Times Roman" w:cs="Times Roman" w:hAnsi="Times Roman" w:eastAsia="Times Roman"/>
        </w:rPr>
        <w:br w:type="textWrapping"/>
      </w:r>
      <w:r>
        <w:rPr>
          <w:rFonts w:ascii="Times Roman" w:hAnsi="Times Roman"/>
          <w:b w:val="1"/>
          <w:bCs w:val="1"/>
          <w:rtl w:val="0"/>
          <w:lang w:val="en-US"/>
        </w:rPr>
        <w:t>Cost Mitigation &amp; ROI:</w:t>
      </w:r>
      <w:r>
        <w:rPr>
          <w:rFonts w:ascii="Times Roman" w:hAnsi="Times Roman"/>
          <w:rtl w:val="0"/>
          <w:lang w:val="en-US"/>
        </w:rPr>
        <w:t xml:space="preserve"> Reduce the annual expense from over $3 million to a projected $1.5 million by requiring the business to achieve a minimum client portal engagement level (</w:t>
      </w:r>
      <w:r>
        <w:rPr>
          <w:rFonts w:ascii="Times Roman" w:hAnsi="Times Roman"/>
          <w:b w:val="1"/>
          <w:bCs w:val="1"/>
          <w:rtl w:val="0"/>
          <w:lang w:val="en-US"/>
        </w:rPr>
        <w:t>Adoption Checkpoint</w:t>
      </w:r>
      <w:r>
        <w:rPr>
          <w:rFonts w:ascii="Times Roman" w:hAnsi="Times Roman"/>
          <w:rtl w:val="0"/>
        </w:rPr>
        <w:t xml:space="preserve">) </w:t>
      </w:r>
      <w:r>
        <w:rPr>
          <w:rFonts w:ascii="Times Roman" w:hAnsi="Times Roman"/>
          <w:i w:val="1"/>
          <w:iCs w:val="1"/>
          <w:rtl w:val="0"/>
          <w:lang w:val="en-US"/>
        </w:rPr>
        <w:t>before</w:t>
      </w:r>
      <w:r>
        <w:rPr>
          <w:rFonts w:ascii="Times Roman" w:hAnsi="Times Roman"/>
          <w:rtl w:val="0"/>
          <w:lang w:val="en-US"/>
        </w:rPr>
        <w:t xml:space="preserve"> the development lifecycle begins.</w:t>
      </w:r>
      <w:r>
        <w:rPr>
          <w:rFonts w:ascii="Times Roman" w:cs="Times Roman" w:hAnsi="Times Roman" w:eastAsia="Times Roman"/>
        </w:rPr>
        <w:br w:type="textWrapping"/>
        <w:br w:type="textWrapping"/>
        <w:br w:type="textWrapping"/>
      </w:r>
    </w:p>
    <w:p>
      <w:pPr>
        <w:pStyle w:val="Default"/>
        <w:numPr>
          <w:ilvl w:val="0"/>
          <w:numId w:val="2"/>
        </w:numPr>
        <w:suppressAutoHyphens w:val="1"/>
        <w:spacing w:before="0" w:after="240" w:line="240" w:lineRule="auto"/>
        <w:jc w:val="left"/>
        <w:rPr>
          <w:rFonts w:ascii="Times Roman" w:cs="Times Roman" w:hAnsi="Times Roman" w:eastAsia="Times Roman"/>
        </w:rPr>
      </w:pPr>
      <w:r>
        <w:rPr>
          <w:rFonts w:ascii="Times Roman" w:cs="Times Roman" w:hAnsi="Times Roman" w:eastAsia="Times Roman"/>
        </w:rPr>
        <w:br w:type="textWrapping"/>
      </w:r>
      <w:r>
        <w:rPr>
          <w:rFonts w:ascii="Times Roman" w:hAnsi="Times Roman"/>
          <w:b w:val="1"/>
          <w:bCs w:val="1"/>
          <w:rtl w:val="0"/>
          <w:lang w:val="en-US"/>
        </w:rPr>
        <w:t>Data Integrity &amp; Employee Experience:</w:t>
      </w:r>
      <w:r>
        <w:rPr>
          <w:rFonts w:ascii="Times Roman" w:hAnsi="Times Roman"/>
          <w:rtl w:val="0"/>
          <w:lang w:val="en-US"/>
        </w:rPr>
        <w:t xml:space="preserve"> Replace manual data entry with an automated process, </w:t>
      </w:r>
      <w:r>
        <w:rPr>
          <w:rFonts w:ascii="Times Roman" w:hAnsi="Times Roman"/>
          <w:b w:val="1"/>
          <w:bCs w:val="1"/>
          <w:rtl w:val="0"/>
          <w:lang w:val="en-US"/>
        </w:rPr>
        <w:t>establishing Salesforce as the SSOT</w:t>
      </w:r>
      <w:r>
        <w:rPr>
          <w:rFonts w:ascii="Times Roman" w:hAnsi="Times Roman"/>
          <w:rtl w:val="0"/>
          <w:lang w:val="en-US"/>
        </w:rPr>
        <w:t xml:space="preserve"> for client financial data, and securing the </w:t>
      </w:r>
      <w:r>
        <w:rPr>
          <w:rFonts w:ascii="Times Roman" w:hAnsi="Times Roman"/>
          <w:b w:val="1"/>
          <w:bCs w:val="1"/>
          <w:rtl w:val="0"/>
          <w:lang w:val="en-US"/>
        </w:rPr>
        <w:t>Primary Lineage Point (PLP)</w:t>
      </w:r>
      <w:r>
        <w:rPr>
          <w:rFonts w:ascii="Times Roman" w:hAnsi="Times Roman"/>
          <w:rtl w:val="0"/>
          <w:lang w:val="en-US"/>
        </w:rPr>
        <w:t xml:space="preserve"> at the initial point of client input. This also improves staff well-being by eliminating tedious night and weekend labor.</w:t>
      </w:r>
      <w:r>
        <w:rPr>
          <w:rFonts w:ascii="Times Roman" w:cs="Times Roman" w:hAnsi="Times Roman" w:eastAsia="Times Roman"/>
        </w:rPr>
        <w:br w:type="textWrapping"/>
        <w:br w:type="textWrapping"/>
        <w:br w:type="textWrapping"/>
        <w:br w:type="textWrapping"/>
        <w:br w:type="textWrapping"/>
        <w:br w:type="textWrapping"/>
      </w:r>
    </w:p>
    <w:p>
      <w:pPr>
        <w:pStyle w:val="Default"/>
        <w:numPr>
          <w:ilvl w:val="0"/>
          <w:numId w:val="2"/>
        </w:numPr>
        <w:suppressAutoHyphens w:val="1"/>
        <w:spacing w:before="0" w:after="240" w:line="240" w:lineRule="auto"/>
        <w:jc w:val="left"/>
        <w:rPr>
          <w:rFonts w:ascii="Times Roman" w:cs="Times Roman" w:hAnsi="Times Roman" w:eastAsia="Times Roman"/>
        </w:rPr>
      </w:pPr>
      <w:r>
        <w:rPr>
          <w:rFonts w:ascii="Times Roman" w:cs="Times Roman" w:hAnsi="Times Roman" w:eastAsia="Times Roman"/>
        </w:rPr>
        <w:br w:type="textWrapping"/>
      </w:r>
      <w:r>
        <w:rPr>
          <w:rFonts w:ascii="Times Roman" w:hAnsi="Times Roman"/>
          <w:b w:val="1"/>
          <w:bCs w:val="1"/>
          <w:rtl w:val="0"/>
        </w:rPr>
        <w:t>Digital Transformation:</w:t>
      </w:r>
      <w:r>
        <w:rPr>
          <w:rFonts w:ascii="Times Roman" w:hAnsi="Times Roman"/>
          <w:rtl w:val="0"/>
          <w:lang w:val="en-US"/>
        </w:rPr>
        <w:t xml:space="preserve"> Use the solution as a springboard to further client self-service functionality, aligning the Information System architecture with superior customer service goals.</w:t>
      </w:r>
      <w:r>
        <w:rPr>
          <w:rFonts w:ascii="Times Roman" w:cs="Times Roman" w:hAnsi="Times Roman" w:eastAsia="Times Roman"/>
        </w:rPr>
        <w:br w:type="textWrapping"/>
        <w:br w:type="textWrapping"/>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project is targeted for completion with production deployment and operational hand-off at </w:t>
      </w:r>
      <w:r>
        <w:rPr>
          <w:rFonts w:ascii="Times Roman" w:hAnsi="Times Roman"/>
          <w:b w:val="1"/>
          <w:bCs w:val="1"/>
          <w:rtl w:val="0"/>
          <w:lang w:val="en-US"/>
        </w:rPr>
        <w:t>T+9 months</w:t>
      </w:r>
      <w:r>
        <w:rPr>
          <w:rFonts w:ascii="Times Roman" w:hAnsi="Times Roman"/>
          <w:rtl w:val="0"/>
          <w:lang w:val="en-US"/>
        </w:rPr>
        <w:t xml:space="preserve"> (September 2026), following a nine-month development effort.</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Organization and Site Supervisor Selection</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project is being conducted internally within </w:t>
      </w:r>
      <w:r>
        <w:rPr>
          <w:rFonts w:ascii="Times Roman" w:hAnsi="Times Roman"/>
          <w:b w:val="1"/>
          <w:bCs w:val="1"/>
          <w:rtl w:val="0"/>
          <w:lang w:val="en-US"/>
        </w:rPr>
        <w:t>Greenfield Financial</w:t>
      </w:r>
      <w:r>
        <w:rPr>
          <w:rFonts w:ascii="Times Roman" w:hAnsi="Times Roman"/>
          <w:rtl w:val="0"/>
          <w:lang w:val="en-US"/>
        </w:rPr>
        <w:t xml:space="preserve">, a Farm Credit System Agricultural Credit Association (ACA). The organization's mission, </w:t>
      </w:r>
      <w:r>
        <w:rPr>
          <w:rFonts w:ascii="Times Roman" w:hAnsi="Times Roman" w:hint="default"/>
          <w:rtl w:val="1"/>
          <w:lang w:val="ar-SA" w:bidi="ar-SA"/>
        </w:rPr>
        <w:t>“</w:t>
      </w:r>
      <w:r>
        <w:rPr>
          <w:rFonts w:ascii="Times Roman" w:hAnsi="Times Roman"/>
          <w:rtl w:val="0"/>
          <w:lang w:val="en-US"/>
        </w:rPr>
        <w:t>Enriching agriculture and rural America,</w:t>
      </w:r>
      <w:r>
        <w:rPr>
          <w:rFonts w:ascii="Times Roman" w:hAnsi="Times Roman" w:hint="default"/>
          <w:rtl w:val="0"/>
        </w:rPr>
        <w:t xml:space="preserve">” </w:t>
      </w:r>
      <w:r>
        <w:rPr>
          <w:rFonts w:ascii="Times Roman" w:hAnsi="Times Roman"/>
          <w:rtl w:val="0"/>
          <w:lang w:val="en-US"/>
        </w:rPr>
        <w:t xml:space="preserve">is inherently dependent on deep client relationships and maintaining the fiscal health of its clients. A critical element of its operations is the annual submission of detailed balance sheets for portfolio analysis and </w:t>
      </w:r>
      <w:r>
        <w:rPr>
          <w:rFonts w:ascii="Times Roman" w:hAnsi="Times Roman"/>
          <w:b w:val="1"/>
          <w:bCs w:val="1"/>
          <w:rtl w:val="0"/>
          <w:lang w:val="en-US"/>
        </w:rPr>
        <w:t>regulatory reporting to the Farm Credit Administration (FCA)</w:t>
      </w:r>
      <w:r>
        <w:rPr>
          <w:rFonts w:ascii="Times Roman" w:hAnsi="Times Roman"/>
          <w:rtl w:val="0"/>
          <w:lang w:val="en-US"/>
        </w:rPr>
        <w:t>. The organization</w:t>
      </w:r>
      <w:r>
        <w:rPr>
          <w:rFonts w:ascii="Times Roman" w:hAnsi="Times Roman" w:hint="default"/>
          <w:rtl w:val="1"/>
        </w:rPr>
        <w:t>’</w:t>
      </w:r>
      <w:r>
        <w:rPr>
          <w:rFonts w:ascii="Times Roman" w:hAnsi="Times Roman"/>
          <w:rtl w:val="0"/>
          <w:lang w:val="en-US"/>
        </w:rPr>
        <w:t>s reliance on paper forms and error-prone manual data entry is therefore a fundamental competitive and operational weakness that the project is designed to resolve.</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designated site supervisor for this project is </w:t>
      </w:r>
      <w:r>
        <w:rPr>
          <w:rFonts w:ascii="Times Roman" w:hAnsi="Times Roman"/>
          <w:b w:val="1"/>
          <w:bCs w:val="1"/>
          <w:rtl w:val="0"/>
          <w:lang w:val="en-US"/>
        </w:rPr>
        <w:t>Angela Baughman</w:t>
      </w:r>
      <w:r>
        <w:rPr>
          <w:rFonts w:ascii="Times Roman" w:hAnsi="Times Roman"/>
          <w:rtl w:val="0"/>
          <w:lang w:val="en-US"/>
        </w:rPr>
        <w:t>, the Product Manager for the relevant systems. Her role is essential as she oversees the alignment of the technology solution with the business's product strategy and objectives. Her sponsorship ensures the project remains aligned with the organization</w:t>
      </w:r>
      <w:r>
        <w:rPr>
          <w:rFonts w:ascii="Times Roman" w:hAnsi="Times Roman" w:hint="default"/>
          <w:rtl w:val="1"/>
        </w:rPr>
        <w:t>’</w:t>
      </w:r>
      <w:r>
        <w:rPr>
          <w:rFonts w:ascii="Times Roman" w:hAnsi="Times Roman"/>
          <w:rtl w:val="0"/>
          <w:lang w:val="en-US"/>
        </w:rPr>
        <w:t>s vision for digital transformation and is critical for navigating the internal landscape, particularly regarding the mandatory adoption precursor.</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Environmental Scan</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operational environment that prompted the </w:t>
      </w:r>
      <w:r>
        <w:rPr>
          <w:rFonts w:ascii="Times Roman" w:hAnsi="Times Roman"/>
          <w:b w:val="1"/>
          <w:bCs w:val="1"/>
          <w:rtl w:val="0"/>
          <w:lang w:val="en-US"/>
        </w:rPr>
        <w:t>Seedling Initiative</w:t>
      </w:r>
      <w:r>
        <w:rPr>
          <w:rFonts w:ascii="Times Roman" w:hAnsi="Times Roman"/>
          <w:rtl w:val="0"/>
          <w:lang w:val="en-US"/>
        </w:rPr>
        <w:t xml:space="preserve"> is defined by an unsustainable operational expense and critical data integrity exposure within the financial services sector.</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key operational bottleneck</w:t>
      </w:r>
      <w:r>
        <w:rPr>
          <w:rFonts w:ascii="Times Roman" w:hAnsi="Times Roman"/>
          <w:rtl w:val="0"/>
          <w:lang w:val="en-US"/>
        </w:rPr>
        <w:t xml:space="preserve"> is the manual processing of thousands of client balance sheets every January. This process is inefficient, costly (over $3 million annually), and introduces high </w:t>
      </w:r>
      <w:r>
        <w:rPr>
          <w:rFonts w:ascii="Times Roman" w:hAnsi="Times Roman"/>
          <w:b w:val="1"/>
          <w:bCs w:val="1"/>
          <w:rtl w:val="0"/>
          <w:lang w:val="en-US"/>
        </w:rPr>
        <w:t>data integrity risk</w:t>
      </w:r>
      <w:r>
        <w:rPr>
          <w:rFonts w:ascii="Times Roman" w:hAnsi="Times Roman"/>
          <w:rtl w:val="0"/>
          <w:lang w:val="en-US"/>
        </w:rPr>
        <w:t>, violating sound architectural principles. The solution is to leverage the existing Salesforce-based client portal to enable self-service, allowing clients to digitally input their balance sheet data directly. The project is a necessary step to address Greenfield</w:t>
      </w:r>
      <w:r>
        <w:rPr>
          <w:rFonts w:ascii="Times Roman" w:hAnsi="Times Roman" w:hint="default"/>
          <w:rtl w:val="1"/>
        </w:rPr>
        <w:t>’</w:t>
      </w:r>
      <w:r>
        <w:rPr>
          <w:rFonts w:ascii="Times Roman" w:hAnsi="Times Roman"/>
          <w:rtl w:val="0"/>
          <w:lang w:val="en-US"/>
        </w:rPr>
        <w:t>s competitive weakness in a financial services sector that has been moving away from manual processes for decades.</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structural weakness</w:t>
      </w:r>
      <w:r>
        <w:rPr>
          <w:rFonts w:ascii="Times Roman" w:hAnsi="Times Roman"/>
          <w:rtl w:val="0"/>
          <w:lang w:val="en-US"/>
        </w:rPr>
        <w:t xml:space="preserve"> is rooted in the current reliance on human transcription, which prevents the establishment of a reliable, auditable </w:t>
      </w:r>
      <w:r>
        <w:rPr>
          <w:rFonts w:ascii="Times Roman" w:hAnsi="Times Roman"/>
          <w:b w:val="1"/>
          <w:bCs w:val="1"/>
          <w:rtl w:val="0"/>
          <w:lang w:val="en-US"/>
        </w:rPr>
        <w:t>Single Source of Truth (SSOT)</w:t>
      </w:r>
      <w:r>
        <w:rPr>
          <w:rFonts w:ascii="Times Roman" w:hAnsi="Times Roman"/>
          <w:rtl w:val="0"/>
          <w:lang w:val="en-US"/>
        </w:rPr>
        <w:t xml:space="preserve"> and compromises business intelligence efforts. The environmental need is clear: the organization requires cost mitigation, but the data must be accurate, auditable, and seamlessly integrated into the existing data ecosystem, which the current paper-based process cannot guarantee.</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Literature Review</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project</w:t>
      </w:r>
      <w:r>
        <w:rPr>
          <w:rFonts w:ascii="Times Roman" w:hAnsi="Times Roman" w:hint="default"/>
          <w:rtl w:val="1"/>
        </w:rPr>
        <w:t>’</w:t>
      </w:r>
      <w:r>
        <w:rPr>
          <w:rFonts w:ascii="Times Roman" w:hAnsi="Times Roman"/>
          <w:rtl w:val="0"/>
          <w:lang w:val="en-US"/>
        </w:rPr>
        <w:t>s strategy is well-grounded in academic research and established best practices across three themes, ensuring the solution is a comprehensive process and architectural update.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Governing Risk: Data Governance and Strategic IS Alignment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project is inherently one of IT governance, as the integrity of the institution</w:t>
      </w:r>
      <w:r>
        <w:rPr>
          <w:rFonts w:ascii="Times Roman" w:hAnsi="Times Roman" w:hint="default"/>
          <w:rtl w:val="1"/>
        </w:rPr>
        <w:t>’</w:t>
      </w:r>
      <w:r>
        <w:rPr>
          <w:rFonts w:ascii="Times Roman" w:hAnsi="Times Roman"/>
          <w:rtl w:val="0"/>
          <w:lang w:val="en-US"/>
        </w:rPr>
        <w:t>s core financial data is at stake. Literature confirms that for customer service initiatives (like client self-service) to succeed, they must be supported by an information architecture aligned with service goals (Peppard, 1998). By integrating data directly into Salesforce, the project alters the IS landscape to better enable superior, personalized customer experience, aligning the technology investment with the organizational mission of "Enriching agriculture and rural America".</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Data Integrity and Architectural Principles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literature validates the decision to establish </w:t>
      </w:r>
      <w:r>
        <w:rPr>
          <w:rFonts w:ascii="Times Roman" w:hAnsi="Times Roman"/>
          <w:b w:val="1"/>
          <w:bCs w:val="1"/>
          <w:rtl w:val="0"/>
          <w:lang w:val="en-US"/>
        </w:rPr>
        <w:t>Salesforce as the SSOT</w:t>
      </w:r>
      <w:r>
        <w:rPr>
          <w:rFonts w:ascii="Times Roman" w:hAnsi="Times Roman"/>
          <w:rtl w:val="0"/>
          <w:lang w:val="en-US"/>
        </w:rPr>
        <w:t xml:space="preserve">. Research emphasizes the importance of an SSOT model for Service Oriented Architecture (SOA) to consolidate data access to a single repository, which is critical for sensitive financial data and ensures data integrity (Pang, 2014). The new automated ETL data pipeline will replace manual data management, which is the primary source of current risk, and secure the </w:t>
      </w:r>
      <w:r>
        <w:rPr>
          <w:rFonts w:ascii="Times Roman" w:hAnsi="Times Roman"/>
          <w:b w:val="1"/>
          <w:bCs w:val="1"/>
          <w:rtl w:val="0"/>
          <w:lang w:val="en-US"/>
        </w:rPr>
        <w:t>Primary Lineage Point (PLP)</w:t>
      </w:r>
      <w:r>
        <w:rPr>
          <w:rFonts w:ascii="Times Roman" w:hAnsi="Times Roman"/>
          <w:rtl w:val="0"/>
          <w:lang w:val="en-US"/>
        </w:rPr>
        <w:t xml:space="preserve"> at the client's point of entry, ensuring data traceability.</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rPr>
        <w:t>Strategic Imperative: Digital Self-Service Adoption</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research provides the strategic imperative for the solution. The need for </w:t>
      </w:r>
      <w:r>
        <w:rPr>
          <w:rFonts w:ascii="Times Roman" w:hAnsi="Times Roman"/>
          <w:b w:val="1"/>
          <w:bCs w:val="1"/>
          <w:rtl w:val="0"/>
          <w:lang w:val="en-US"/>
        </w:rPr>
        <w:t>client self-service</w:t>
      </w:r>
      <w:r>
        <w:rPr>
          <w:rFonts w:ascii="Times Roman" w:hAnsi="Times Roman"/>
          <w:rtl w:val="0"/>
          <w:lang w:val="en-US"/>
        </w:rPr>
        <w:t xml:space="preserve"> is a competitive necessity in the modern financial services environment. However, the success of this digital transformation is predicated on user acceptance, which is analyzed through the </w:t>
      </w:r>
      <w:r>
        <w:rPr>
          <w:rFonts w:ascii="Times Roman" w:hAnsi="Times Roman"/>
          <w:b w:val="1"/>
          <w:bCs w:val="1"/>
          <w:rtl w:val="0"/>
          <w:lang w:val="en-US"/>
        </w:rPr>
        <w:t>Technology Acceptance Model (TAM)</w:t>
      </w:r>
      <w:r>
        <w:rPr>
          <w:rFonts w:ascii="Times Roman" w:hAnsi="Times Roman"/>
          <w:rtl w:val="0"/>
          <w:lang w:val="en-US"/>
        </w:rPr>
        <w:t xml:space="preserve">. To mitigate the risk of low client adoption, the solution must prioritize </w:t>
      </w:r>
      <w:r>
        <w:rPr>
          <w:rFonts w:ascii="Times Roman" w:hAnsi="Times Roman"/>
          <w:b w:val="1"/>
          <w:bCs w:val="1"/>
          <w:rtl w:val="0"/>
          <w:lang w:val="en-US"/>
        </w:rPr>
        <w:t>Perceived Ease of Use (PEU)</w:t>
      </w:r>
      <w:r>
        <w:rPr>
          <w:rFonts w:ascii="Times Roman" w:hAnsi="Times Roman"/>
          <w:rtl w:val="0"/>
          <w:lang w:val="en-US"/>
        </w:rPr>
        <w:t xml:space="preserve">, which justifies the focus on intuitive UI/UX design and the mandatory </w:t>
      </w:r>
      <w:r>
        <w:rPr>
          <w:rFonts w:ascii="Times Roman" w:hAnsi="Times Roman"/>
          <w:b w:val="1"/>
          <w:bCs w:val="1"/>
          <w:rtl w:val="0"/>
          <w:lang w:val="en-US"/>
        </w:rPr>
        <w:t>Adoption Checkpoint</w:t>
      </w:r>
      <w:r>
        <w:rPr>
          <w:rFonts w:ascii="Times Roman" w:hAnsi="Times Roman"/>
          <w:rtl w:val="0"/>
        </w:rPr>
        <w:t xml:space="preserve"> precursor.</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Solution Analysis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formal solution for the </w:t>
      </w:r>
      <w:r>
        <w:rPr>
          <w:rFonts w:ascii="Times Roman" w:hAnsi="Times Roman"/>
          <w:b w:val="1"/>
          <w:bCs w:val="1"/>
          <w:rtl w:val="0"/>
          <w:lang w:val="en-US"/>
        </w:rPr>
        <w:t>Seedling Initiative</w:t>
      </w:r>
      <w:r>
        <w:rPr>
          <w:rFonts w:ascii="Times Roman" w:hAnsi="Times Roman"/>
          <w:rtl w:val="0"/>
          <w:lang w:val="en-US"/>
        </w:rPr>
        <w:t xml:space="preserve"> recognizes that the challenge is twofold: achieving data availability through integration and enforcing organizational behavior change to realize the financial return.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integrated solution addresses both aspects through two key components:</w:t>
      </w:r>
    </w:p>
    <w:p>
      <w:pPr>
        <w:pStyle w:val="Default"/>
        <w:numPr>
          <w:ilvl w:val="0"/>
          <w:numId w:val="4"/>
        </w:numPr>
        <w:suppressAutoHyphens w:val="1"/>
        <w:spacing w:before="0" w:after="240" w:line="240" w:lineRule="auto"/>
        <w:jc w:val="left"/>
        <w:rPr>
          <w:rFonts w:ascii="Times Roman" w:cs="Times Roman" w:hAnsi="Times Roman" w:eastAsia="Times Roman"/>
        </w:rPr>
      </w:pPr>
      <w:r>
        <w:rPr>
          <w:rFonts w:ascii="Times Roman" w:cs="Times Roman" w:hAnsi="Times Roman" w:eastAsia="Times Roman"/>
        </w:rPr>
        <w:br w:type="textWrapping"/>
      </w:r>
      <w:r>
        <w:rPr>
          <w:rFonts w:ascii="Times Roman" w:hAnsi="Times Roman"/>
          <w:b w:val="1"/>
          <w:bCs w:val="1"/>
          <w:rtl w:val="0"/>
          <w:lang w:val="es-ES_tradnl"/>
        </w:rPr>
        <w:t>Organizational Precursor:</w:t>
      </w:r>
      <w:r>
        <w:rPr>
          <w:rFonts w:ascii="Times Roman" w:hAnsi="Times Roman"/>
          <w:rtl w:val="0"/>
          <w:lang w:val="en-US"/>
        </w:rPr>
        <w:t xml:space="preserve"> The project is tied to a mandatory business-driven requirement to reach sufficient client portal utilization (the </w:t>
      </w:r>
      <w:r>
        <w:rPr>
          <w:rFonts w:ascii="Times Roman" w:hAnsi="Times Roman"/>
          <w:b w:val="1"/>
          <w:bCs w:val="1"/>
          <w:rtl w:val="0"/>
          <w:lang w:val="en-US"/>
        </w:rPr>
        <w:t>Adoption Checkpoint</w:t>
      </w:r>
      <w:r>
        <w:rPr>
          <w:rFonts w:ascii="Times Roman" w:hAnsi="Times Roman"/>
          <w:rtl w:val="0"/>
        </w:rPr>
        <w:t xml:space="preserve">) </w:t>
      </w:r>
      <w:r>
        <w:rPr>
          <w:rFonts w:ascii="Times Roman" w:hAnsi="Times Roman"/>
          <w:i w:val="1"/>
          <w:iCs w:val="1"/>
          <w:rtl w:val="0"/>
          <w:lang w:val="en-US"/>
        </w:rPr>
        <w:t>before</w:t>
      </w:r>
      <w:r>
        <w:rPr>
          <w:rFonts w:ascii="Times Roman" w:hAnsi="Times Roman"/>
          <w:rtl w:val="0"/>
          <w:lang w:val="en-US"/>
        </w:rPr>
        <w:t xml:space="preserve"> technical development begins. This ensures the business takes ownership of the change management effort necessary to drive adoption and guarantees the projected ROI is feasible.</w:t>
      </w:r>
      <w:r>
        <w:rPr>
          <w:rFonts w:ascii="Times Roman" w:cs="Times Roman" w:hAnsi="Times Roman" w:eastAsia="Times Roman"/>
        </w:rPr>
        <w:br w:type="textWrapping"/>
        <w:br w:type="textWrapping"/>
        <w:br w:type="textWrapping"/>
      </w:r>
    </w:p>
    <w:p>
      <w:pPr>
        <w:pStyle w:val="Default"/>
        <w:numPr>
          <w:ilvl w:val="0"/>
          <w:numId w:val="4"/>
        </w:numPr>
        <w:suppressAutoHyphens w:val="1"/>
        <w:spacing w:before="0" w:after="240" w:line="240" w:lineRule="auto"/>
        <w:jc w:val="left"/>
        <w:rPr>
          <w:rFonts w:ascii="Times Roman" w:cs="Times Roman" w:hAnsi="Times Roman" w:eastAsia="Times Roman"/>
        </w:rPr>
      </w:pPr>
      <w:r>
        <w:rPr>
          <w:rFonts w:ascii="Times Roman" w:cs="Times Roman" w:hAnsi="Times Roman" w:eastAsia="Times Roman"/>
        </w:rPr>
        <w:br w:type="textWrapping"/>
      </w:r>
      <w:r>
        <w:rPr>
          <w:rFonts w:ascii="Times Roman" w:hAnsi="Times Roman"/>
          <w:b w:val="1"/>
          <w:bCs w:val="1"/>
          <w:rtl w:val="0"/>
          <w:lang w:val="en-US"/>
        </w:rPr>
        <w:t>Technical Solution:</w:t>
      </w:r>
      <w:r>
        <w:rPr>
          <w:rFonts w:ascii="Times Roman" w:hAnsi="Times Roman"/>
          <w:rtl w:val="0"/>
          <w:lang w:val="en-US"/>
        </w:rPr>
        <w:t xml:space="preserve"> The solution involves extending the functionality of the existing Salesforce client portal to capture client-entered balance sheet data. The data will be stored in a </w:t>
      </w:r>
      <w:r>
        <w:rPr>
          <w:rFonts w:ascii="Times Roman" w:hAnsi="Times Roman"/>
          <w:b w:val="1"/>
          <w:bCs w:val="1"/>
          <w:rtl w:val="0"/>
          <w:lang w:val="en-US"/>
        </w:rPr>
        <w:t>new custom object within Salesforce</w:t>
      </w:r>
      <w:r>
        <w:rPr>
          <w:rFonts w:ascii="Times Roman" w:hAnsi="Times Roman"/>
          <w:rtl w:val="0"/>
          <w:lang w:val="en-US"/>
        </w:rPr>
        <w:t xml:space="preserve">, which is formally designated as the </w:t>
      </w:r>
      <w:r>
        <w:rPr>
          <w:rFonts w:ascii="Times Roman" w:hAnsi="Times Roman"/>
          <w:b w:val="1"/>
          <w:bCs w:val="1"/>
          <w:rtl w:val="0"/>
          <w:lang w:val="en-US"/>
        </w:rPr>
        <w:t>Single Source of Truth (SSOT)</w:t>
      </w:r>
      <w:r>
        <w:rPr>
          <w:rFonts w:ascii="Times Roman" w:hAnsi="Times Roman"/>
          <w:rtl w:val="0"/>
        </w:rPr>
        <w:t>.</w:t>
      </w:r>
      <w:r>
        <w:rPr>
          <w:rFonts w:ascii="Times Roman" w:cs="Times Roman" w:hAnsi="Times Roman" w:eastAsia="Times Roman"/>
        </w:rPr>
        <w:br w:type="textWrapping"/>
        <w:br w:type="textWrapping"/>
        <w:br w:type="textWrapping"/>
        <w:br w:type="textWrapping"/>
        <w:br w:type="textWrapping"/>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project requires modification of existing </w:t>
      </w:r>
      <w:r>
        <w:rPr>
          <w:rFonts w:ascii="Times Roman" w:hAnsi="Times Roman"/>
          <w:b w:val="1"/>
          <w:bCs w:val="1"/>
          <w:rtl w:val="0"/>
          <w:lang w:val="en-US"/>
        </w:rPr>
        <w:t>ETL batch jobs</w:t>
      </w:r>
      <w:r>
        <w:rPr>
          <w:rFonts w:ascii="Times Roman" w:hAnsi="Times Roman"/>
          <w:rtl w:val="0"/>
          <w:lang w:val="en-US"/>
        </w:rPr>
        <w:t xml:space="preserve"> to move the data downstream from the new Salesforce object to the on-premises SQL databases and ultimately to AgriBank</w:t>
      </w:r>
      <w:r>
        <w:rPr>
          <w:rFonts w:ascii="Times Roman" w:hAnsi="Times Roman" w:hint="default"/>
          <w:rtl w:val="1"/>
        </w:rPr>
        <w:t>’</w:t>
      </w:r>
      <w:r>
        <w:rPr>
          <w:rFonts w:ascii="Times Roman" w:hAnsi="Times Roman"/>
          <w:rtl w:val="0"/>
          <w:lang w:val="en-US"/>
        </w:rPr>
        <w:t>s core banking system. This architecture adheres to the SSOT principle, which is the highest-ranking IT principle for this project, eliminating conflicting data sources and guaranteeing data integrity throughout the ecosystem.</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Needs and Risk Analysis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analysis confirms the solution directly addresses the institutional need for </w:t>
      </w:r>
      <w:r>
        <w:rPr>
          <w:rFonts w:ascii="Times Roman" w:hAnsi="Times Roman"/>
          <w:b w:val="1"/>
          <w:bCs w:val="1"/>
          <w:rtl w:val="0"/>
          <w:lang w:val="en-US"/>
        </w:rPr>
        <w:t>cost mitigation</w:t>
      </w:r>
      <w:r>
        <w:rPr>
          <w:rFonts w:ascii="Times Roman" w:hAnsi="Times Roman"/>
          <w:rtl w:val="0"/>
          <w:lang w:val="en-US"/>
        </w:rPr>
        <w:t xml:space="preserve"> and </w:t>
      </w:r>
      <w:r>
        <w:rPr>
          <w:rFonts w:ascii="Times Roman" w:hAnsi="Times Roman"/>
          <w:b w:val="1"/>
          <w:bCs w:val="1"/>
          <w:rtl w:val="0"/>
          <w:lang w:val="it-IT"/>
        </w:rPr>
        <w:t>data integrity</w:t>
      </w:r>
      <w:r>
        <w:rPr>
          <w:rFonts w:ascii="Times Roman" w:hAnsi="Times Roman"/>
          <w:rtl w:val="0"/>
          <w:lang w:val="en-US"/>
        </w:rPr>
        <w:t xml:space="preserve">, while simultaneously enhancing the </w:t>
      </w:r>
      <w:r>
        <w:rPr>
          <w:rFonts w:ascii="Times Roman" w:hAnsi="Times Roman"/>
          <w:b w:val="1"/>
          <w:bCs w:val="1"/>
          <w:rtl w:val="0"/>
          <w:lang w:val="en-US"/>
        </w:rPr>
        <w:t>employee and client experience</w:t>
      </w:r>
      <w:r>
        <w:rPr>
          <w:rFonts w:ascii="Times Roman" w:hAnsi="Times Roman"/>
          <w:rtl w:val="0"/>
        </w:rPr>
        <w:t>.</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initiative, however, faces two significant high-priority risks:</w:t>
      </w:r>
    </w:p>
    <w:p>
      <w:pPr>
        <w:pStyle w:val="Default"/>
        <w:numPr>
          <w:ilvl w:val="0"/>
          <w:numId w:val="2"/>
        </w:numPr>
        <w:suppressAutoHyphens w:val="1"/>
        <w:spacing w:before="0" w:after="240" w:line="240" w:lineRule="auto"/>
        <w:jc w:val="left"/>
        <w:rPr>
          <w:rFonts w:ascii="Times Roman" w:cs="Times Roman" w:hAnsi="Times Roman" w:eastAsia="Times Roman"/>
        </w:rPr>
      </w:pPr>
      <w:r>
        <w:rPr>
          <w:rFonts w:ascii="Times Roman" w:cs="Times Roman" w:hAnsi="Times Roman" w:eastAsia="Times Roman"/>
        </w:rPr>
        <w:br w:type="textWrapping"/>
      </w:r>
      <w:r>
        <w:rPr>
          <w:rFonts w:ascii="Times Roman" w:hAnsi="Times Roman"/>
          <w:b w:val="1"/>
          <w:bCs w:val="1"/>
          <w:rtl w:val="0"/>
          <w:lang w:val="en-US"/>
        </w:rPr>
        <w:t>Low Client Portal Adoption:</w:t>
      </w:r>
      <w:r>
        <w:rPr>
          <w:rFonts w:ascii="Times Roman" w:hAnsi="Times Roman"/>
          <w:rtl w:val="0"/>
          <w:lang w:val="en-US"/>
        </w:rPr>
        <w:t xml:space="preserve"> The risk that the project investment will not yield the intended </w:t>
      </w:r>
      <w:r>
        <w:rPr>
          <w:rFonts w:ascii="Times Roman" w:hAnsi="Times Roman"/>
          <w:b w:val="1"/>
          <w:bCs w:val="1"/>
          <w:rtl w:val="0"/>
          <w:lang w:val="fr-FR"/>
        </w:rPr>
        <w:t>ROI</w:t>
      </w:r>
      <w:r>
        <w:rPr>
          <w:rFonts w:ascii="Times Roman" w:hAnsi="Times Roman"/>
          <w:rtl w:val="0"/>
          <w:lang w:val="en-US"/>
        </w:rPr>
        <w:t xml:space="preserve"> due to client reluctance to use the self-service tool. This is mitigated by the mandatory </w:t>
      </w:r>
      <w:r>
        <w:rPr>
          <w:rFonts w:ascii="Times Roman" w:hAnsi="Times Roman"/>
          <w:b w:val="1"/>
          <w:bCs w:val="1"/>
          <w:rtl w:val="0"/>
          <w:lang w:val="en-US"/>
        </w:rPr>
        <w:t>Adoption Checkpoint</w:t>
      </w:r>
      <w:r>
        <w:rPr>
          <w:rFonts w:ascii="Times Roman" w:hAnsi="Times Roman"/>
          <w:rtl w:val="0"/>
        </w:rPr>
        <w:t xml:space="preserve"> precursor.</w:t>
      </w:r>
      <w:r>
        <w:rPr>
          <w:rFonts w:ascii="Times Roman" w:cs="Times Roman" w:hAnsi="Times Roman" w:eastAsia="Times Roman"/>
        </w:rPr>
        <w:br w:type="textWrapping"/>
        <w:br w:type="textWrapping"/>
        <w:br w:type="textWrapping"/>
        <w:br w:type="textWrapping"/>
      </w:r>
    </w:p>
    <w:p>
      <w:pPr>
        <w:pStyle w:val="Default"/>
        <w:numPr>
          <w:ilvl w:val="0"/>
          <w:numId w:val="2"/>
        </w:numPr>
        <w:suppressAutoHyphens w:val="1"/>
        <w:spacing w:before="0" w:after="240" w:line="240" w:lineRule="auto"/>
        <w:jc w:val="left"/>
        <w:rPr>
          <w:rFonts w:ascii="Times Roman" w:cs="Times Roman" w:hAnsi="Times Roman" w:eastAsia="Times Roman"/>
        </w:rPr>
      </w:pPr>
      <w:r>
        <w:rPr>
          <w:rFonts w:ascii="Times Roman" w:cs="Times Roman" w:hAnsi="Times Roman" w:eastAsia="Times Roman"/>
        </w:rPr>
        <w:br w:type="textWrapping"/>
      </w:r>
      <w:r>
        <w:rPr>
          <w:rFonts w:ascii="Times Roman" w:hAnsi="Times Roman"/>
          <w:b w:val="1"/>
          <w:bCs w:val="1"/>
          <w:rtl w:val="0"/>
          <w:lang w:val="en-US"/>
        </w:rPr>
        <w:t>Subject Matter Expert (SME) Resource Constraints:</w:t>
      </w:r>
      <w:r>
        <w:rPr>
          <w:rFonts w:ascii="Times Roman" w:hAnsi="Times Roman"/>
          <w:rtl w:val="0"/>
          <w:lang w:val="en-US"/>
        </w:rPr>
        <w:t xml:space="preserve"> The risk that the technical and marketing teams will not be able to secure adequate dedicated time from the SMEs who own the core banking and data systems, which is essential for ETL validation and data mapping. This risk is mitigated by an </w:t>
      </w:r>
      <w:r>
        <w:rPr>
          <w:rFonts w:ascii="Times Roman" w:hAnsi="Times Roman"/>
          <w:b w:val="1"/>
          <w:bCs w:val="1"/>
          <w:rtl w:val="0"/>
          <w:lang w:val="en-US"/>
        </w:rPr>
        <w:t>executive mandate</w:t>
      </w:r>
      <w:r>
        <w:rPr>
          <w:rFonts w:ascii="Times Roman" w:hAnsi="Times Roman"/>
          <w:rtl w:val="0"/>
          <w:lang w:val="en-US"/>
        </w:rPr>
        <w:t xml:space="preserve"> securing dedicated, guaranteed time from the administrative system SMEs.</w:t>
      </w:r>
      <w:r>
        <w:rPr>
          <w:rFonts w:ascii="Times Roman" w:cs="Times Roman" w:hAnsi="Times Roman" w:eastAsia="Times Roman"/>
        </w:rPr>
        <w:br w:type="textWrapping"/>
        <w:br w:type="textWrapping"/>
        <w:br w:type="textWrapping"/>
        <w:br w:type="textWrapping"/>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Stakeholder Communication</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Stakeholder communication is disciplined and tailored to maintain focus on the core objectives of cost mitigation and adoption.</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numPr>
          <w:ilvl w:val="0"/>
          <w:numId w:val="2"/>
        </w:numPr>
        <w:suppressAutoHyphens w:val="1"/>
        <w:spacing w:before="0" w:after="240" w:line="240" w:lineRule="auto"/>
        <w:jc w:val="left"/>
        <w:rPr>
          <w:rFonts w:ascii="Times Roman" w:cs="Times Roman" w:hAnsi="Times Roman" w:eastAsia="Times Roman"/>
        </w:rPr>
      </w:pPr>
      <w:r>
        <w:rPr>
          <w:rFonts w:ascii="Times Roman" w:cs="Times Roman" w:hAnsi="Times Roman" w:eastAsia="Times Roman"/>
        </w:rPr>
        <w:br w:type="textWrapping"/>
      </w:r>
      <w:r>
        <w:rPr>
          <w:rFonts w:ascii="Times Roman" w:hAnsi="Times Roman"/>
          <w:b w:val="1"/>
          <w:bCs w:val="1"/>
          <w:rtl w:val="0"/>
          <w:lang w:val="en-US"/>
        </w:rPr>
        <w:t>Steering Committee:</w:t>
      </w:r>
      <w:r>
        <w:rPr>
          <w:rFonts w:ascii="Times Roman" w:hAnsi="Times Roman"/>
          <w:rtl w:val="0"/>
          <w:lang w:val="en-US"/>
        </w:rPr>
        <w:t xml:space="preserve"> Bi-weekly briefings focused primarily on </w:t>
      </w:r>
      <w:r>
        <w:rPr>
          <w:rFonts w:ascii="Times Roman" w:hAnsi="Times Roman"/>
          <w:b w:val="1"/>
          <w:bCs w:val="1"/>
          <w:rtl w:val="0"/>
          <w:lang w:val="en-US"/>
        </w:rPr>
        <w:t>Adoption Checkpoint readiness</w:t>
      </w:r>
      <w:r>
        <w:rPr>
          <w:rFonts w:ascii="Times Roman" w:hAnsi="Times Roman"/>
          <w:rtl w:val="0"/>
          <w:lang w:val="en-US"/>
        </w:rPr>
        <w:t>, cost-saving projections, and formal sign-off requests.</w:t>
      </w:r>
      <w:r>
        <w:rPr>
          <w:rFonts w:ascii="Times Roman" w:cs="Times Roman" w:hAnsi="Times Roman" w:eastAsia="Times Roman"/>
        </w:rPr>
        <w:br w:type="textWrapping"/>
        <w:br w:type="textWrapping"/>
        <w:br w:type="textWrapping"/>
      </w:r>
    </w:p>
    <w:p>
      <w:pPr>
        <w:pStyle w:val="Default"/>
        <w:numPr>
          <w:ilvl w:val="0"/>
          <w:numId w:val="2"/>
        </w:numPr>
        <w:suppressAutoHyphens w:val="1"/>
        <w:spacing w:before="0" w:after="240" w:line="240" w:lineRule="auto"/>
        <w:jc w:val="left"/>
        <w:rPr>
          <w:rFonts w:ascii="Times Roman" w:cs="Times Roman" w:hAnsi="Times Roman" w:eastAsia="Times Roman"/>
        </w:rPr>
      </w:pPr>
      <w:r>
        <w:rPr>
          <w:rFonts w:ascii="Times Roman" w:cs="Times Roman" w:hAnsi="Times Roman" w:eastAsia="Times Roman"/>
        </w:rPr>
        <w:br w:type="textWrapping"/>
      </w:r>
      <w:r>
        <w:rPr>
          <w:rFonts w:ascii="Times Roman" w:hAnsi="Times Roman"/>
          <w:b w:val="1"/>
          <w:bCs w:val="1"/>
          <w:rtl w:val="0"/>
        </w:rPr>
        <w:t>Business Stakeholders:</w:t>
      </w:r>
      <w:r>
        <w:rPr>
          <w:rFonts w:ascii="Times Roman" w:hAnsi="Times Roman"/>
          <w:rtl w:val="0"/>
          <w:lang w:val="en-US"/>
        </w:rPr>
        <w:t xml:space="preserve"> Weekly status reports detailing client portal UI/UX development status, adoption campaign progress, and metrics related to </w:t>
      </w:r>
      <w:r>
        <w:rPr>
          <w:rFonts w:ascii="Times Roman" w:hAnsi="Times Roman"/>
          <w:b w:val="1"/>
          <w:bCs w:val="1"/>
          <w:rtl w:val="0"/>
          <w:lang w:val="en-US"/>
        </w:rPr>
        <w:t>Perceived Ease of Use (PEU)</w:t>
      </w:r>
      <w:r>
        <w:rPr>
          <w:rFonts w:ascii="Times Roman" w:hAnsi="Times Roman"/>
          <w:rtl w:val="0"/>
        </w:rPr>
        <w:t>.</w:t>
      </w:r>
      <w:r>
        <w:rPr>
          <w:rFonts w:ascii="Times Roman" w:cs="Times Roman" w:hAnsi="Times Roman" w:eastAsia="Times Roman"/>
        </w:rPr>
        <w:br w:type="textWrapping"/>
        <w:br w:type="textWrapping"/>
        <w:br w:type="textWrapping"/>
      </w:r>
    </w:p>
    <w:p>
      <w:pPr>
        <w:pStyle w:val="Default"/>
        <w:numPr>
          <w:ilvl w:val="0"/>
          <w:numId w:val="2"/>
        </w:numPr>
        <w:suppressAutoHyphens w:val="1"/>
        <w:spacing w:before="0" w:after="240" w:line="240" w:lineRule="auto"/>
        <w:jc w:val="left"/>
        <w:rPr>
          <w:rFonts w:ascii="Times Roman" w:cs="Times Roman" w:hAnsi="Times Roman" w:eastAsia="Times Roman"/>
        </w:rPr>
      </w:pPr>
      <w:r>
        <w:rPr>
          <w:rFonts w:ascii="Times Roman" w:cs="Times Roman" w:hAnsi="Times Roman" w:eastAsia="Times Roman"/>
        </w:rPr>
        <w:br w:type="textWrapping"/>
      </w:r>
      <w:r>
        <w:rPr>
          <w:rFonts w:ascii="Times Roman" w:hAnsi="Times Roman"/>
          <w:b w:val="1"/>
          <w:bCs w:val="1"/>
          <w:rtl w:val="0"/>
          <w:lang w:val="en-US"/>
        </w:rPr>
        <w:t>Technical Teams:</w:t>
      </w:r>
      <w:r>
        <w:rPr>
          <w:rFonts w:ascii="Times Roman" w:hAnsi="Times Roman"/>
          <w:rtl w:val="0"/>
          <w:lang w:val="en-US"/>
        </w:rPr>
        <w:t xml:space="preserve"> Daily meetings focused on functional development, integration, ETL development, and validation testing.</w:t>
      </w:r>
      <w:r>
        <w:rPr>
          <w:rFonts w:ascii="Times Roman" w:cs="Times Roman" w:hAnsi="Times Roman" w:eastAsia="Times Roman"/>
        </w:rPr>
        <w:br w:type="textWrapping"/>
        <w:br w:type="textWrapping"/>
        <w:br w:type="textWrapping"/>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Legal, Ethical, and Policy Analysis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Seedling Initiative</w:t>
      </w:r>
      <w:r>
        <w:rPr>
          <w:rFonts w:ascii="Times Roman" w:hAnsi="Times Roman"/>
          <w:rtl w:val="0"/>
          <w:lang w:val="en-US"/>
        </w:rPr>
        <w:t xml:space="preserve"> is fundamentally regulatory in nature, given Greenfield</w:t>
      </w:r>
      <w:r>
        <w:rPr>
          <w:rFonts w:ascii="Times Roman" w:hAnsi="Times Roman" w:hint="default"/>
          <w:rtl w:val="1"/>
        </w:rPr>
        <w:t>’</w:t>
      </w:r>
      <w:r>
        <w:rPr>
          <w:rFonts w:ascii="Times Roman" w:hAnsi="Times Roman"/>
          <w:rtl w:val="0"/>
          <w:lang w:val="en-US"/>
        </w:rPr>
        <w:t>s status as a Farm Credit System entity.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From a </w:t>
      </w:r>
      <w:r>
        <w:rPr>
          <w:rFonts w:ascii="Times Roman" w:hAnsi="Times Roman"/>
          <w:b w:val="1"/>
          <w:bCs w:val="1"/>
          <w:rtl w:val="0"/>
        </w:rPr>
        <w:t>legal</w:t>
      </w:r>
      <w:r>
        <w:rPr>
          <w:rFonts w:ascii="Times Roman" w:hAnsi="Times Roman"/>
          <w:rtl w:val="0"/>
          <w:lang w:val="en-US"/>
        </w:rPr>
        <w:t xml:space="preserve"> standpoint, the core challenge is ensuring that the client balance sheet data is auditable, traceable, and accurate for </w:t>
      </w:r>
      <w:r>
        <w:rPr>
          <w:rFonts w:ascii="Times Roman" w:hAnsi="Times Roman"/>
          <w:b w:val="1"/>
          <w:bCs w:val="1"/>
          <w:rtl w:val="0"/>
          <w:lang w:val="en-US"/>
        </w:rPr>
        <w:t>regulatory reporting to the Farm Credit Administration (FCA)</w:t>
      </w:r>
      <w:r>
        <w:rPr>
          <w:rFonts w:ascii="Times Roman" w:hAnsi="Times Roman"/>
          <w:rtl w:val="0"/>
          <w:lang w:val="en-US"/>
        </w:rPr>
        <w:t>. The project</w:t>
      </w:r>
      <w:r>
        <w:rPr>
          <w:rFonts w:ascii="Times Roman" w:hAnsi="Times Roman" w:hint="default"/>
          <w:rtl w:val="1"/>
        </w:rPr>
        <w:t>’</w:t>
      </w:r>
      <w:r>
        <w:rPr>
          <w:rFonts w:ascii="Times Roman" w:hAnsi="Times Roman"/>
          <w:rtl w:val="0"/>
          <w:lang w:val="en-US"/>
        </w:rPr>
        <w:t>s reliance on the SSOT model and the automated, validated ETL pipeline is the technical solution that significantly reduces the organization</w:t>
      </w:r>
      <w:r>
        <w:rPr>
          <w:rFonts w:ascii="Times Roman" w:hAnsi="Times Roman" w:hint="default"/>
          <w:rtl w:val="1"/>
        </w:rPr>
        <w:t>’</w:t>
      </w:r>
      <w:r>
        <w:rPr>
          <w:rFonts w:ascii="Times Roman" w:hAnsi="Times Roman"/>
          <w:rtl w:val="0"/>
          <w:lang w:val="en-US"/>
        </w:rPr>
        <w:t>s exposure to data integrity risks inherent in manual transcription.</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project has roots in an </w:t>
      </w:r>
      <w:r>
        <w:rPr>
          <w:rFonts w:ascii="Times Roman" w:hAnsi="Times Roman"/>
          <w:b w:val="1"/>
          <w:bCs w:val="1"/>
          <w:rtl w:val="0"/>
          <w:lang w:val="en-US"/>
        </w:rPr>
        <w:t>ethical</w:t>
      </w:r>
      <w:r>
        <w:rPr>
          <w:rFonts w:ascii="Times Roman" w:hAnsi="Times Roman"/>
          <w:rtl w:val="0"/>
          <w:lang w:val="en-US"/>
        </w:rPr>
        <w:t xml:space="preserve"> imperative. It directly addresses </w:t>
      </w:r>
      <w:r>
        <w:rPr>
          <w:rFonts w:ascii="Times Roman" w:hAnsi="Times Roman"/>
          <w:b w:val="1"/>
          <w:bCs w:val="1"/>
          <w:rtl w:val="0"/>
          <w:lang w:val="en-US"/>
        </w:rPr>
        <w:t>employee well-being</w:t>
      </w:r>
      <w:r>
        <w:rPr>
          <w:rFonts w:ascii="Times Roman" w:hAnsi="Times Roman"/>
          <w:rtl w:val="0"/>
          <w:lang w:val="en-US"/>
        </w:rPr>
        <w:t xml:space="preserve"> by removing the tedious, high-stress labor that historically required staff to work nights and weekends. Furthermore, by establishing superior data visibility for client service staff, the project frees employees from manual data entry to focus on relationship management and financial analysis, aligning with the organization's mission to support its clients.</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most significant </w:t>
      </w:r>
      <w:r>
        <w:rPr>
          <w:rFonts w:ascii="Times Roman" w:hAnsi="Times Roman"/>
          <w:b w:val="1"/>
          <w:bCs w:val="1"/>
          <w:rtl w:val="0"/>
        </w:rPr>
        <w:t>policy</w:t>
      </w:r>
      <w:r>
        <w:rPr>
          <w:rFonts w:ascii="Times Roman" w:hAnsi="Times Roman"/>
          <w:rtl w:val="0"/>
          <w:lang w:val="en-US"/>
        </w:rPr>
        <w:t xml:space="preserve"> challenge is the potential conflict between the new automated data flow and any existing, unofficial manual data maintenance processes. To mitigate this, the project must proactively address updates to the University</w:t>
      </w:r>
      <w:r>
        <w:rPr>
          <w:rFonts w:ascii="Times Roman" w:hAnsi="Times Roman" w:hint="default"/>
          <w:rtl w:val="1"/>
        </w:rPr>
        <w:t>’</w:t>
      </w:r>
      <w:r>
        <w:rPr>
          <w:rFonts w:ascii="Times Roman" w:hAnsi="Times Roman"/>
          <w:rtl w:val="0"/>
        </w:rPr>
        <w:t xml:space="preserve">s </w:t>
      </w:r>
      <w:r>
        <w:rPr>
          <w:rFonts w:ascii="Times Roman" w:hAnsi="Times Roman"/>
          <w:b w:val="1"/>
          <w:bCs w:val="1"/>
          <w:rtl w:val="0"/>
          <w:lang w:val="en-US"/>
        </w:rPr>
        <w:t>Data Governance Policy</w:t>
      </w:r>
      <w:r>
        <w:rPr>
          <w:rFonts w:ascii="Times Roman" w:hAnsi="Times Roman"/>
          <w:rtl w:val="0"/>
          <w:lang w:val="en-US"/>
        </w:rPr>
        <w:t xml:space="preserve">. This revised policy must formally designate </w:t>
      </w:r>
      <w:r>
        <w:rPr>
          <w:rFonts w:ascii="Times Roman" w:hAnsi="Times Roman"/>
          <w:b w:val="1"/>
          <w:bCs w:val="1"/>
          <w:rtl w:val="0"/>
          <w:lang w:val="en-US"/>
        </w:rPr>
        <w:t>Salesforce as the Single Source of Truth (SSOT)</w:t>
      </w:r>
      <w:r>
        <w:rPr>
          <w:rFonts w:ascii="Times Roman" w:hAnsi="Times Roman"/>
          <w:rtl w:val="0"/>
          <w:lang w:val="en-US"/>
        </w:rPr>
        <w:t xml:space="preserve"> for client financial data and establish clear ownership and validation processes for the new data pipeline.</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Action Learning Process Summary</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integrated action learning process was a key element in the planning of the </w:t>
      </w:r>
      <w:r>
        <w:rPr>
          <w:rFonts w:ascii="Times Roman" w:hAnsi="Times Roman"/>
          <w:b w:val="1"/>
          <w:bCs w:val="1"/>
          <w:rtl w:val="0"/>
          <w:lang w:val="en-US"/>
        </w:rPr>
        <w:t>Seedling Initiative</w:t>
      </w:r>
      <w:r>
        <w:rPr>
          <w:rFonts w:ascii="Times Roman" w:hAnsi="Times Roman"/>
          <w:rtl w:val="0"/>
          <w:lang w:val="en-US"/>
        </w:rPr>
        <w:t xml:space="preserve">, providing a unique professional development opportunity to revisit a real-world problem outside the compressed pace of the working environment. This setting fostered a </w:t>
      </w:r>
      <w:r>
        <w:rPr>
          <w:rFonts w:ascii="Times Roman" w:hAnsi="Times Roman"/>
          <w:b w:val="1"/>
          <w:bCs w:val="1"/>
          <w:rtl w:val="0"/>
          <w:lang w:val="en-US"/>
        </w:rPr>
        <w:t>disciplined, research-first approach</w:t>
      </w:r>
      <w:r>
        <w:rPr>
          <w:rFonts w:ascii="Times Roman" w:hAnsi="Times Roman"/>
          <w:rtl w:val="0"/>
          <w:lang w:val="en-US"/>
        </w:rPr>
        <w:t>. The requirement for a substantive rationale prompted the grounding of every major decision and architectural choice in high-quality academic and policy literature, such as using Service Oriented Architecture (SOA) principles to validate the SSOT commitment.</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iterative process of continuous reflection and proactive stakeholder alignment reinforced a critical lesson: the need to serve as a </w:t>
      </w:r>
      <w:r>
        <w:rPr>
          <w:rFonts w:ascii="Times Roman" w:hAnsi="Times Roman"/>
          <w:b w:val="1"/>
          <w:bCs w:val="1"/>
          <w:rtl w:val="0"/>
          <w:lang w:val="en-US"/>
        </w:rPr>
        <w:t>strategic consultant</w:t>
      </w:r>
      <w:r>
        <w:rPr>
          <w:rFonts w:ascii="Times Roman" w:hAnsi="Times Roman"/>
          <w:rtl w:val="0"/>
          <w:lang w:val="en-US"/>
        </w:rPr>
        <w:t xml:space="preserve"> with reliable business acumen and operational awareness. The key takeaway from the development of this project is the importance of continuous, proactive stakeholder alignment to ensure governance structures (like the Adoption Checkpoint and resource mandates) are viewed as </w:t>
      </w:r>
      <w:r>
        <w:rPr>
          <w:rFonts w:ascii="Times Roman" w:hAnsi="Times Roman"/>
          <w:b w:val="1"/>
          <w:bCs w:val="1"/>
          <w:rtl w:val="0"/>
          <w:lang w:val="en-US"/>
        </w:rPr>
        <w:t>shared safeguards</w:t>
      </w:r>
      <w:r>
        <w:rPr>
          <w:rFonts w:ascii="Times Roman" w:hAnsi="Times Roman"/>
          <w:rtl w:val="0"/>
          <w:lang w:val="en-US"/>
        </w:rPr>
        <w:t xml:space="preserve"> against project failure rather than bureaucratic obstructions.</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Self-Assessment and Description</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As an information technology professional with </w:t>
      </w:r>
      <w:r>
        <w:rPr>
          <w:rFonts w:ascii="Times Roman" w:hAnsi="Times Roman"/>
          <w:b w:val="1"/>
          <w:bCs w:val="1"/>
          <w:rtl w:val="0"/>
          <w:lang w:val="en-US"/>
        </w:rPr>
        <w:t>over 25 years in the industry</w:t>
      </w:r>
      <w:r>
        <w:rPr>
          <w:rFonts w:ascii="Times Roman" w:hAnsi="Times Roman"/>
          <w:rtl w:val="0"/>
          <w:lang w:val="en-US"/>
        </w:rPr>
        <w:t xml:space="preserve"> and deep experience as both a </w:t>
      </w:r>
      <w:r>
        <w:rPr>
          <w:rFonts w:ascii="Times Roman" w:hAnsi="Times Roman"/>
          <w:b w:val="1"/>
          <w:bCs w:val="1"/>
          <w:rtl w:val="0"/>
          <w:lang w:val="en-US"/>
        </w:rPr>
        <w:t>Senior Business Analyst and Project Manager</w:t>
      </w:r>
      <w:r>
        <w:rPr>
          <w:rFonts w:ascii="Times Roman" w:hAnsi="Times Roman"/>
          <w:rtl w:val="0"/>
          <w:lang w:val="en-US"/>
        </w:rPr>
        <w:t xml:space="preserve">, I am well-positioned to drive the </w:t>
      </w:r>
      <w:r>
        <w:rPr>
          <w:rFonts w:ascii="Times Roman" w:hAnsi="Times Roman"/>
          <w:b w:val="1"/>
          <w:bCs w:val="1"/>
          <w:rtl w:val="0"/>
          <w:lang w:val="en-US"/>
        </w:rPr>
        <w:t>Seedling Initiative</w:t>
      </w:r>
      <w:r>
        <w:rPr>
          <w:rFonts w:ascii="Times Roman" w:hAnsi="Times Roman"/>
          <w:rtl w:val="0"/>
          <w:lang w:val="en-US"/>
        </w:rPr>
        <w:t xml:space="preserve">. My background has naturally provided a specialization in the complex intersection of </w:t>
      </w:r>
      <w:r>
        <w:rPr>
          <w:rFonts w:ascii="Times Roman" w:hAnsi="Times Roman"/>
          <w:b w:val="1"/>
          <w:bCs w:val="1"/>
          <w:rtl w:val="0"/>
          <w:lang w:val="en-US"/>
        </w:rPr>
        <w:t>IT execution, process automation, and financial/regulatory compliance</w:t>
      </w:r>
      <w:r>
        <w:rPr>
          <w:rFonts w:ascii="Times Roman" w:hAnsi="Times Roman" w:hint="default"/>
          <w:rtl w:val="0"/>
          <w:lang w:val="en-US"/>
        </w:rPr>
        <w:t>—</w:t>
      </w:r>
      <w:r>
        <w:rPr>
          <w:rFonts w:ascii="Times Roman" w:hAnsi="Times Roman"/>
          <w:rtl w:val="0"/>
          <w:lang w:val="en-US"/>
        </w:rPr>
        <w:t>expertise directly required to manage the unique risks of this project.</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My relevant work experience includes leading large-scale system integration and </w:t>
      </w:r>
      <w:r>
        <w:rPr>
          <w:rFonts w:ascii="Times Roman" w:hAnsi="Times Roman"/>
          <w:b w:val="1"/>
          <w:bCs w:val="1"/>
          <w:rtl w:val="0"/>
          <w:lang w:val="fr-FR"/>
        </w:rPr>
        <w:t>ETL processes</w:t>
      </w:r>
      <w:r>
        <w:rPr>
          <w:rFonts w:ascii="Times Roman" w:hAnsi="Times Roman"/>
          <w:rtl w:val="0"/>
          <w:lang w:val="en-US"/>
        </w:rPr>
        <w:t xml:space="preserve"> in the financial services sector, which ensures that the technical core of the Seedling project</w:t>
      </w:r>
      <w:r>
        <w:rPr>
          <w:rFonts w:ascii="Times Roman" w:hAnsi="Times Roman" w:hint="default"/>
          <w:rtl w:val="0"/>
          <w:lang w:val="en-US"/>
        </w:rPr>
        <w:t>—</w:t>
      </w:r>
      <w:r>
        <w:rPr>
          <w:rFonts w:ascii="Times Roman" w:hAnsi="Times Roman"/>
          <w:rtl w:val="0"/>
          <w:lang w:val="en-US"/>
        </w:rPr>
        <w:t>integrating client inputs into Salesforce and transmitting data downstream</w:t>
      </w:r>
      <w:r>
        <w:rPr>
          <w:rFonts w:ascii="Times Roman" w:hAnsi="Times Roman" w:hint="default"/>
          <w:rtl w:val="0"/>
          <w:lang w:val="en-US"/>
        </w:rPr>
        <w:t>—</w:t>
      </w:r>
      <w:r>
        <w:rPr>
          <w:rFonts w:ascii="Times Roman" w:hAnsi="Times Roman"/>
          <w:rtl w:val="0"/>
          <w:lang w:val="en-US"/>
        </w:rPr>
        <w:t>will be executed with the necessary rigor, testing, and compliance focus. My ability to synthesize abstract concepts into concrete, executable processes was essential in designing the project, particularly in identifying the adoption risk and framing the solution around the client portal utilization precursor.</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While I retain a </w:t>
      </w:r>
      <w:r>
        <w:rPr>
          <w:rFonts w:ascii="Times Roman" w:hAnsi="Times Roman"/>
          <w:b w:val="1"/>
          <w:bCs w:val="1"/>
          <w:rtl w:val="0"/>
          <w:lang w:val="en-US"/>
        </w:rPr>
        <w:t>natural preference toward process and structure</w:t>
      </w:r>
      <w:r>
        <w:rPr>
          <w:rFonts w:ascii="Times Roman" w:hAnsi="Times Roman"/>
          <w:rtl w:val="0"/>
          <w:lang w:val="en-US"/>
        </w:rPr>
        <w:t xml:space="preserve"> originating in the waterfall methodology, which can be perceived as rigidity, I counteract this by proactively engaging the business owner and framing governance structures as </w:t>
      </w:r>
      <w:r>
        <w:rPr>
          <w:rFonts w:ascii="Times Roman" w:hAnsi="Times Roman"/>
          <w:b w:val="1"/>
          <w:bCs w:val="1"/>
          <w:rtl w:val="0"/>
          <w:lang w:val="it-IT"/>
        </w:rPr>
        <w:t>safeguards</w:t>
      </w:r>
      <w:r>
        <w:rPr>
          <w:rFonts w:ascii="Times Roman" w:hAnsi="Times Roman"/>
          <w:rtl w:val="0"/>
          <w:lang w:val="en-US"/>
        </w:rPr>
        <w:t xml:space="preserve"> against organizational liability.</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Reflection</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process of developing the </w:t>
      </w:r>
      <w:r>
        <w:rPr>
          <w:rFonts w:ascii="Times Roman" w:hAnsi="Times Roman"/>
          <w:b w:val="1"/>
          <w:bCs w:val="1"/>
          <w:rtl w:val="0"/>
          <w:lang w:val="en-US"/>
        </w:rPr>
        <w:t>Seedling Initiative</w:t>
      </w:r>
      <w:r>
        <w:rPr>
          <w:rFonts w:ascii="Times Roman" w:hAnsi="Times Roman"/>
          <w:rtl w:val="0"/>
          <w:lang w:val="en-US"/>
        </w:rPr>
        <w:t xml:space="preserve"> proposal, utilizing the integrated action learning methodology, was invaluable in providing the opportunity for retrospective construction of a project plan. The mandatory exploration of high-quality academic research provided a new rigor and robust framework for </w:t>
      </w:r>
      <w:r>
        <w:rPr>
          <w:rFonts w:ascii="Times Roman" w:hAnsi="Times Roman"/>
          <w:b w:val="1"/>
          <w:bCs w:val="1"/>
          <w:rtl w:val="0"/>
          <w:lang w:val="en-US"/>
        </w:rPr>
        <w:t>evidence-based decision-making</w:t>
      </w:r>
      <w:r>
        <w:rPr>
          <w:rFonts w:ascii="Times Roman" w:hAnsi="Times Roman"/>
          <w:rtl w:val="0"/>
          <w:lang w:val="en-US"/>
        </w:rPr>
        <w:t xml:space="preserve"> that has the potential to fundamentally inform the balance of my career.</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most significant lesson learned retrospectively was the </w:t>
      </w:r>
      <w:r>
        <w:rPr>
          <w:rFonts w:ascii="Times Roman" w:hAnsi="Times Roman"/>
          <w:b w:val="1"/>
          <w:bCs w:val="1"/>
          <w:rtl w:val="0"/>
          <w:lang w:val="en-US"/>
        </w:rPr>
        <w:t>critical importance of continuous, proactive stakeholder alignment</w:t>
      </w:r>
      <w:r>
        <w:rPr>
          <w:rFonts w:ascii="Times Roman" w:hAnsi="Times Roman"/>
          <w:rtl w:val="0"/>
          <w:lang w:val="en-US"/>
        </w:rPr>
        <w:t>. This approach ensures that the necessary governance and controls are not seen as an obstacle, but as a structured path to success. The intentional effort to ground every project decision in academic and policy research is an approach that would be rewarding to replicate in all of my future planning pursuits.</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References</w:t>
      </w:r>
    </w:p>
    <w:p>
      <w:pPr>
        <w:pStyle w:val="Default"/>
        <w:suppressAutoHyphens w:val="1"/>
        <w:spacing w:before="0" w:after="240" w:line="240" w:lineRule="auto"/>
        <w:rPr>
          <w:rFonts w:ascii="Times Roman" w:cs="Times Roman" w:hAnsi="Times Roman" w:eastAsia="Times Roman"/>
        </w:rPr>
      </w:pPr>
    </w:p>
    <w:p>
      <w:pPr>
        <w:pStyle w:val="Default"/>
        <w:numPr>
          <w:ilvl w:val="0"/>
          <w:numId w:val="2"/>
        </w:numPr>
        <w:suppressAutoHyphens w:val="1"/>
        <w:spacing w:before="0" w:after="240" w:line="240" w:lineRule="auto"/>
        <w:jc w:val="left"/>
        <w:rPr>
          <w:rFonts w:ascii="Times Roman" w:hAnsi="Times Roman"/>
          <w:i w:val="1"/>
          <w:iCs w:val="1"/>
          <w:lang w:val="en-US"/>
        </w:rPr>
      </w:pPr>
      <w:r>
        <w:rPr>
          <w:rFonts w:ascii="Times Roman" w:hAnsi="Times Roman"/>
          <w:i w:val="0"/>
          <w:iCs w:val="0"/>
          <w:rtl w:val="0"/>
          <w:lang w:val="en-US"/>
        </w:rPr>
        <w:t xml:space="preserve">Farm Credit Administration. (2023, October 5). </w:t>
      </w:r>
      <w:r>
        <w:rPr>
          <w:rFonts w:ascii="Times Roman" w:hAnsi="Times Roman"/>
          <w:i w:val="1"/>
          <w:iCs w:val="1"/>
          <w:rtl w:val="0"/>
          <w:lang w:val="en-US"/>
        </w:rPr>
        <w:t>FCA board approves final rule on eligibility and scope of financing</w:t>
      </w:r>
      <w:r>
        <w:rPr>
          <w:rFonts w:ascii="Times Roman" w:hAnsi="Times Roman"/>
          <w:i w:val="0"/>
          <w:iCs w:val="0"/>
          <w:rtl w:val="0"/>
          <w:lang w:val="en-US"/>
        </w:rPr>
        <w:t>(News Release NR-23-15-10-05-23).</w:t>
      </w:r>
      <w:r>
        <w:rPr>
          <w:rFonts w:ascii="Times Roman" w:cs="Times Roman" w:hAnsi="Times Roman" w:eastAsia="Times Roman"/>
          <w:i w:val="0"/>
          <w:iCs w:val="0"/>
        </w:rPr>
        <w:br w:type="textWrapping"/>
        <w:br w:type="textWrapping"/>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Khatri, A., Gupta, N., &amp; Parashar, A. (2020). Application of technology acceptance model (TAM) in fintech services. </w:t>
      </w:r>
      <w:r>
        <w:rPr>
          <w:rFonts w:ascii="Times Roman" w:hAnsi="Times Roman"/>
          <w:i w:val="1"/>
          <w:iCs w:val="1"/>
          <w:rtl w:val="0"/>
          <w:lang w:val="en-US"/>
        </w:rPr>
        <w:t>International Journal of Management, 11</w:t>
      </w:r>
      <w:r>
        <w:rPr>
          <w:rFonts w:ascii="Times Roman" w:hAnsi="Times Roman"/>
          <w:rtl w:val="0"/>
        </w:rPr>
        <w:t>(12), 3520-3548.</w:t>
      </w:r>
      <w:r>
        <w:rPr>
          <w:rFonts w:ascii="Times Roman" w:cs="Times Roman" w:hAnsi="Times Roman" w:eastAsia="Times Roman"/>
        </w:rPr>
        <w:br w:type="textWrapping"/>
        <w:br w:type="textWrapping"/>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Pang, C., Szafron, D. (2014). Single Source of Truth (SSOT) for Service Oriented Architecture (SOA). In X. Franch, A.K. Ghose, G.A. Lewis, S. Bhiri (Eds.), </w:t>
      </w:r>
      <w:r>
        <w:rPr>
          <w:rFonts w:ascii="Times Roman" w:hAnsi="Times Roman"/>
          <w:i w:val="1"/>
          <w:iCs w:val="1"/>
          <w:rtl w:val="0"/>
          <w:lang w:val="en-US"/>
        </w:rPr>
        <w:t>Service Oriented Computing. ICSOC 2014</w:t>
      </w:r>
      <w:r>
        <w:rPr>
          <w:rFonts w:ascii="Times Roman" w:hAnsi="Times Roman"/>
          <w:rtl w:val="0"/>
        </w:rPr>
        <w:t xml:space="preserve"> (Vol. 8831). Springer.</w:t>
      </w:r>
      <w:r>
        <w:rPr>
          <w:rFonts w:ascii="Times Roman" w:cs="Times Roman" w:hAnsi="Times Roman" w:eastAsia="Times Roman"/>
        </w:rPr>
        <w:br w:type="textWrapping"/>
        <w:br w:type="textWrapping"/>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Peppard, J. (1998). Information systems and customer service: An examination of the relationship between information systems and customer service strategy. </w:t>
      </w:r>
      <w:r>
        <w:rPr>
          <w:rFonts w:ascii="Times Roman" w:hAnsi="Times Roman"/>
          <w:i w:val="1"/>
          <w:iCs w:val="1"/>
          <w:rtl w:val="0"/>
          <w:lang w:val="en-US"/>
        </w:rPr>
        <w:t>Journal of Information Systems, 7</w:t>
      </w:r>
      <w:r>
        <w:rPr>
          <w:rFonts w:ascii="Times Roman" w:hAnsi="Times Roman"/>
          <w:rtl w:val="0"/>
        </w:rPr>
        <w:t>(1), 18-33.</w:t>
      </w:r>
      <w:r>
        <w:rPr>
          <w:rFonts w:ascii="Times Roman" w:cs="Times Roman" w:hAnsi="Times Roman" w:eastAsia="Times Roman"/>
        </w:rPr>
        <w:br w:type="textWrapping"/>
        <w:br w:type="textWrapping"/>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Vossen, J., &amp; Meijer, M. (2014). IT governance and enterprise data architecture: A new approach for application integration and data access in higher education. </w:t>
      </w:r>
      <w:r>
        <w:rPr>
          <w:rFonts w:ascii="Times Roman" w:hAnsi="Times Roman"/>
          <w:i w:val="1"/>
          <w:iCs w:val="1"/>
          <w:rtl w:val="0"/>
          <w:lang w:val="en-US"/>
        </w:rPr>
        <w:t>Proceedings of the 20th Annual Conference of the European University Information Systems Organisation (EUNIS 2014)</w:t>
      </w:r>
      <w:r>
        <w:rPr>
          <w:rFonts w:ascii="Times Roman" w:hAnsi="Times Roman"/>
          <w:rtl w:val="0"/>
        </w:rPr>
        <w:t>.</w:t>
      </w:r>
      <w:r>
        <w:rPr>
          <w:rFonts w:ascii="Times Roman" w:cs="Times Roman" w:hAnsi="Times Roman" w:eastAsia="Times Roman"/>
        </w:rPr>
        <w:br w:type="textWrapping"/>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