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8611D" w14:textId="26729A84" w:rsidR="00441747" w:rsidRDefault="00441747" w:rsidP="00441747">
      <w:r>
        <w:t>Discussion</w:t>
      </w:r>
    </w:p>
    <w:p w14:paraId="28A20DA7" w14:textId="66A0B13E" w:rsidR="00441747" w:rsidRDefault="00441747" w:rsidP="00441747">
      <w:r>
        <w:t>Discussion outline:</w:t>
      </w:r>
    </w:p>
    <w:p w14:paraId="3DBC9148" w14:textId="23A716FA" w:rsidR="00441747" w:rsidRDefault="00441747" w:rsidP="00441747">
      <w:pPr>
        <w:pStyle w:val="ListParagraph"/>
        <w:numPr>
          <w:ilvl w:val="0"/>
          <w:numId w:val="1"/>
        </w:numPr>
      </w:pPr>
      <w:proofErr w:type="spellStart"/>
      <w:r>
        <w:t>Heritabilities</w:t>
      </w:r>
      <w:proofErr w:type="spellEnd"/>
      <w:r>
        <w:t xml:space="preserve"> comparisons to previous studies</w:t>
      </w:r>
    </w:p>
    <w:p w14:paraId="774AA825" w14:textId="31B3A7C8" w:rsidR="00441747" w:rsidRDefault="00441747" w:rsidP="00441747">
      <w:pPr>
        <w:pStyle w:val="ListParagraph"/>
        <w:numPr>
          <w:ilvl w:val="0"/>
          <w:numId w:val="1"/>
        </w:numPr>
      </w:pPr>
      <w:r>
        <w:t>QTL found</w:t>
      </w:r>
    </w:p>
    <w:p w14:paraId="54386A03" w14:textId="25014B28" w:rsidR="00441747" w:rsidRDefault="00441747" w:rsidP="00441747">
      <w:pPr>
        <w:pStyle w:val="ListParagraph"/>
        <w:numPr>
          <w:ilvl w:val="0"/>
          <w:numId w:val="1"/>
        </w:numPr>
      </w:pPr>
      <w:r>
        <w:t>Path analysis results</w:t>
      </w:r>
    </w:p>
    <w:p w14:paraId="21A272C0" w14:textId="5F3F0355" w:rsidR="00441747" w:rsidRDefault="00441747" w:rsidP="00441747">
      <w:r>
        <w:t>Detecting QTL depends on genetic variation in the trait of interest, which can be quantified by the percentage of phenotypic variance explained. When calculating the H\</w:t>
      </w:r>
      <w:proofErr w:type="spellStart"/>
      <w:proofErr w:type="gramStart"/>
      <w:r>
        <w:t>textsuperscript</w:t>
      </w:r>
      <w:proofErr w:type="spellEnd"/>
      <w:r>
        <w:t>{</w:t>
      </w:r>
      <w:proofErr w:type="gramEnd"/>
      <w:r>
        <w:t>2} for genotypic random effects and PVE for genotype-by-treatment random effects, we find that H\</w:t>
      </w:r>
      <w:proofErr w:type="spellStart"/>
      <w:r>
        <w:t>textsuperscript</w:t>
      </w:r>
      <w:proofErr w:type="spellEnd"/>
      <w:r>
        <w:t xml:space="preserve">{2} ranges between 0.138\% - 0.52\% and </w:t>
      </w:r>
      <w:proofErr w:type="spellStart"/>
      <w:r>
        <w:t>GxE</w:t>
      </w:r>
      <w:proofErr w:type="spellEnd"/>
      <w:r>
        <w:t xml:space="preserve"> PVE ranges between 0.0127\% - 0.0515\%. H\</w:t>
      </w:r>
      <w:proofErr w:type="spellStart"/>
      <w:proofErr w:type="gramStart"/>
      <w:r>
        <w:t>textsuperscript</w:t>
      </w:r>
      <w:proofErr w:type="spellEnd"/>
      <w:r>
        <w:t>{</w:t>
      </w:r>
      <w:proofErr w:type="gramEnd"/>
      <w:r>
        <w:t xml:space="preserve">2} is an order of magnitude higher than </w:t>
      </w:r>
      <w:proofErr w:type="spellStart"/>
      <w:r>
        <w:t>GxE</w:t>
      </w:r>
      <w:proofErr w:type="spellEnd"/>
      <w:r>
        <w:t xml:space="preserve"> PVE, and </w:t>
      </w:r>
      <w:proofErr w:type="spellStart"/>
      <w:r>
        <w:t>GxE</w:t>
      </w:r>
      <w:proofErr w:type="spellEnd"/>
      <w:r>
        <w:t xml:space="preserve"> PVE seems relatively low in this NAM population compared to the </w:t>
      </w:r>
      <w:proofErr w:type="spellStart"/>
      <w:r>
        <w:t>GxE</w:t>
      </w:r>
      <w:proofErr w:type="spellEnd"/>
      <w:r>
        <w:t xml:space="preserve"> PVE for hypocotyl elongation \cite{Filiault2012AResponse}. This suggests low variation in how \</w:t>
      </w:r>
      <w:proofErr w:type="spellStart"/>
      <w:proofErr w:type="gramStart"/>
      <w:r>
        <w:t>textit</w:t>
      </w:r>
      <w:proofErr w:type="spellEnd"/>
      <w:r>
        <w:t>{</w:t>
      </w:r>
      <w:proofErr w:type="gramEnd"/>
      <w:r>
        <w:t>Arabidopsis} accessions respond to shade during later development</w:t>
      </w:r>
      <w:r>
        <w:t xml:space="preserve"> when compared to the shade response in earlier development, at least for the traits measured. </w:t>
      </w:r>
    </w:p>
    <w:p w14:paraId="7018E1B9" w14:textId="77777777" w:rsidR="00441747" w:rsidRDefault="00441747" w:rsidP="00441747"/>
    <w:p w14:paraId="05987C55" w14:textId="77777777" w:rsidR="00441747" w:rsidRDefault="00441747" w:rsidP="00441747">
      <w:r>
        <w:t>\</w:t>
      </w:r>
      <w:proofErr w:type="gramStart"/>
      <w:r>
        <w:t>subsection{</w:t>
      </w:r>
      <w:proofErr w:type="gramEnd"/>
      <w:r>
        <w:t>Shade avoidance response in NAM population}</w:t>
      </w:r>
    </w:p>
    <w:p w14:paraId="45E681C0" w14:textId="5D657158" w:rsidR="00441747" w:rsidRDefault="00441747" w:rsidP="00441747">
      <w:r>
        <w:t xml:space="preserve">As indicated by the 95\% credible intervals for the treatment fixed effect (\ref{S1_Table}), all traits were responsive to shade. Despite the low </w:t>
      </w:r>
      <w:proofErr w:type="spellStart"/>
      <w:r>
        <w:t>GxE</w:t>
      </w:r>
      <w:proofErr w:type="spellEnd"/>
      <w:r>
        <w:t xml:space="preserve"> PVE, we still detect 11 QTL over all shade responses. The only shade response previously studied, in the context of genetic architecture, was bolting time \</w:t>
      </w:r>
      <w:proofErr w:type="gramStart"/>
      <w:r>
        <w:t>cite{</w:t>
      </w:r>
      <w:proofErr w:type="gramEnd"/>
      <w:r>
        <w:t xml:space="preserve">Jimenez-Gomez2010NetworkArabidopsis}. Our study did not </w:t>
      </w:r>
      <w:r>
        <w:t xml:space="preserve">detect </w:t>
      </w:r>
      <w:r>
        <w:t xml:space="preserve">any QTL on chromosome 2 for </w:t>
      </w:r>
      <w:r>
        <w:t>the bolting shade response</w:t>
      </w:r>
      <w:r>
        <w:t xml:space="preserve"> as in </w:t>
      </w:r>
      <w:proofErr w:type="spellStart"/>
      <w:r>
        <w:t>Jiminez</w:t>
      </w:r>
      <w:proofErr w:type="spellEnd"/>
      <w:r>
        <w:t>-Gomez et al. (2010), and instead detected major effect QTL on top of chromosomes 4</w:t>
      </w:r>
      <w:r>
        <w:t xml:space="preserve"> </w:t>
      </w:r>
      <w:r>
        <w:t xml:space="preserve">and 5 for </w:t>
      </w:r>
      <w:r w:rsidR="005B63EA">
        <w:t xml:space="preserve">the </w:t>
      </w:r>
      <w:r>
        <w:t>bolting</w:t>
      </w:r>
      <w:r w:rsidR="005B63EA">
        <w:t xml:space="preserve"> shade response</w:t>
      </w:r>
      <w:r>
        <w:t>. This is most likely due to the differences in parental accessions used, as the Bay-0 x Sha polymorphism</w:t>
      </w:r>
      <w:r>
        <w:t xml:space="preserve"> </w:t>
      </w:r>
      <w:r>
        <w:t xml:space="preserve">at the </w:t>
      </w:r>
      <w:r>
        <w:t xml:space="preserve">causal variant </w:t>
      </w:r>
      <w:r>
        <w:t xml:space="preserve">on chromosome 2 (ELF3) </w:t>
      </w:r>
      <w:r>
        <w:t>is</w:t>
      </w:r>
      <w:r>
        <w:t xml:space="preserve"> thought to be rare across \</w:t>
      </w:r>
      <w:proofErr w:type="spellStart"/>
      <w:proofErr w:type="gramStart"/>
      <w:r>
        <w:t>textit</w:t>
      </w:r>
      <w:proofErr w:type="spellEnd"/>
      <w:r>
        <w:t>{</w:t>
      </w:r>
      <w:proofErr w:type="gramEnd"/>
      <w:r>
        <w:t>Arabidopsis} accessions \cite{Filiault2012AResponse}. Differences in the metric used for the shade response (the shade response subtraction indices used in \</w:t>
      </w:r>
      <w:proofErr w:type="gramStart"/>
      <w:r>
        <w:t>cite{</w:t>
      </w:r>
      <w:proofErr w:type="gramEnd"/>
      <w:r>
        <w:t xml:space="preserve">Jimenez-Gomez2010NetworkArabidopsis} compared to the </w:t>
      </w:r>
      <w:proofErr w:type="spellStart"/>
      <w:r>
        <w:t>GxE</w:t>
      </w:r>
      <w:proofErr w:type="spellEnd"/>
      <w:r>
        <w:t xml:space="preserve"> BLUPs used in this study) could also contribute to the different QTL detected. </w:t>
      </w:r>
    </w:p>
    <w:p w14:paraId="744E2773" w14:textId="77777777" w:rsidR="00441747" w:rsidRDefault="00441747" w:rsidP="00441747">
      <w:r>
        <w:t>The results for shade responses for inflorescence growth, rosette biomass, and inflorescence biomass are new i</w:t>
      </w:r>
      <w:bookmarkStart w:id="0" w:name="_GoBack"/>
      <w:bookmarkEnd w:id="0"/>
      <w:r>
        <w:t>n terms of QTL mapping studies. All traits were responsive to shade</w:t>
      </w:r>
    </w:p>
    <w:p w14:paraId="754C4FF9" w14:textId="77777777" w:rsidR="00441747" w:rsidRDefault="00441747" w:rsidP="00441747"/>
    <w:p w14:paraId="0BA50490" w14:textId="77777777" w:rsidR="00441747" w:rsidRDefault="00441747" w:rsidP="00441747">
      <w:r>
        <w:t>\</w:t>
      </w:r>
      <w:proofErr w:type="gramStart"/>
      <w:r>
        <w:t>subsection{</w:t>
      </w:r>
      <w:proofErr w:type="gramEnd"/>
      <w:r>
        <w:t>The genetic background and environment determines direct and indirect QTL effects}</w:t>
      </w:r>
    </w:p>
    <w:p w14:paraId="017F0821" w14:textId="77777777" w:rsidR="003F0FEC" w:rsidRDefault="00441747" w:rsidP="00441747">
      <w:r>
        <w:t xml:space="preserve">When determining the genetic architecture of the SAR for later developmental traits, we find strong effect QTL co-localizing for multiple traits on top of chromosomes 4 and 5. The co-localization of QTL suggest a shared genetic architecture between traits. However, when we calculated the direct and indirect effects of these QTL across environments and populations, we find that for some combinations of populations and environment that the QTL effects are mainly indirect for traits (example: inflorescence biomass in the Col-0 x Sha population). This suggests that - for some combinations of population and environment - QTL effects on later developmental traits can be explained as effects on </w:t>
      </w:r>
      <w:r>
        <w:lastRenderedPageBreak/>
        <w:t>earlier development, and that the co-localization of QTL is not due to a shared genetic basis but due to correlation between traits.</w:t>
      </w:r>
    </w:p>
    <w:sectPr w:rsidR="003F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0728E"/>
    <w:multiLevelType w:val="hybridMultilevel"/>
    <w:tmpl w:val="18E4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47"/>
    <w:rsid w:val="002C1D7A"/>
    <w:rsid w:val="00356325"/>
    <w:rsid w:val="00441747"/>
    <w:rsid w:val="004D6C45"/>
    <w:rsid w:val="005B6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1DB2"/>
  <w15:chartTrackingRefBased/>
  <w15:docId w15:val="{39D8BF78-29C1-412A-85C4-4902E196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dc:creator>
  <cp:keywords/>
  <dc:description/>
  <cp:lastModifiedBy>James Ta</cp:lastModifiedBy>
  <cp:revision>1</cp:revision>
  <dcterms:created xsi:type="dcterms:W3CDTF">2019-06-12T18:26:00Z</dcterms:created>
  <dcterms:modified xsi:type="dcterms:W3CDTF">2019-06-12T18:42:00Z</dcterms:modified>
</cp:coreProperties>
</file>