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" w:left="4956"/>
        <w:jc w:val="right"/>
        <w:rPr>
          <w:rFonts w:ascii="Arial Narrow" w:hAnsi="Arial Narrow"/>
          <w:b w:val="1"/>
        </w:rPr>
      </w:pPr>
      <w:r>
        <w:rPr>
          <w:rFonts w:ascii="Arial Narrow" w:hAnsi="Arial Narrow"/>
          <w:b w:val="1"/>
        </w:rPr>
        <w:t xml:space="preserve">Приложение №1 </w:t>
      </w:r>
    </w:p>
    <w:p w14:paraId="02000000">
      <w:pPr>
        <w:spacing w:after="0" w:line="240" w:lineRule="auto"/>
        <w:ind w:firstLine="6" w:left="4956"/>
        <w:jc w:val="right"/>
        <w:rPr>
          <w:rFonts w:ascii="Arial Narrow" w:hAnsi="Arial Narrow"/>
          <w:b w:val="1"/>
        </w:rPr>
      </w:pPr>
      <w:r>
        <w:rPr>
          <w:rFonts w:ascii="Arial Narrow" w:hAnsi="Arial Narrow"/>
          <w:b w:val="1"/>
        </w:rPr>
        <w:t>к Договору поставки</w:t>
      </w:r>
    </w:p>
    <w:p w14:paraId="03000000">
      <w:pPr>
        <w:spacing w:after="0" w:line="240" w:lineRule="auto"/>
        <w:ind w:firstLine="708" w:left="4956"/>
        <w:jc w:val="right"/>
        <w:rPr>
          <w:rFonts w:ascii="Arial Narrow" w:hAnsi="Arial Narrow"/>
          <w:b w:val="1"/>
        </w:rPr>
      </w:pPr>
      <w:r>
        <w:rPr>
          <w:rFonts w:ascii="Arial Narrow" w:hAnsi="Arial Narrow"/>
          <w:b w:val="1"/>
        </w:rPr>
        <w:t>№</w:t>
      </w:r>
      <w:bookmarkStart w:id="1" w:name="_Hlk156816607"/>
      <w:r>
        <w:rPr>
          <w:rFonts w:ascii="Arial Narrow" w:hAnsi="Arial Narrow"/>
          <w:b w:val="1"/>
        </w:rPr>
        <w:t>29/1123</w:t>
      </w:r>
      <w:r>
        <w:rPr>
          <w:rFonts w:ascii="Cambria Math" w:hAnsi="Cambria Math"/>
          <w:b w:val="1"/>
        </w:rPr>
        <w:t>‐</w:t>
      </w:r>
      <w:r>
        <w:rPr>
          <w:rFonts w:ascii="Arial Narrow" w:hAnsi="Arial Narrow"/>
          <w:b w:val="1"/>
        </w:rPr>
        <w:t>1</w:t>
      </w:r>
      <w:r>
        <w:rPr>
          <w:rFonts w:ascii="Arial Narrow" w:hAnsi="Arial Narrow"/>
          <w:b w:val="1"/>
        </w:rPr>
        <w:t xml:space="preserve"> </w:t>
      </w:r>
      <w:bookmarkEnd w:id="1"/>
      <w:r>
        <w:rPr>
          <w:rFonts w:ascii="Arial Narrow" w:hAnsi="Arial Narrow"/>
          <w:b w:val="1"/>
        </w:rPr>
        <w:t>от</w:t>
      </w:r>
      <w:r>
        <w:rPr>
          <w:rFonts w:ascii="Arial Narrow" w:hAnsi="Arial Narrow"/>
          <w:b w:val="1"/>
        </w:rPr>
        <w:t xml:space="preserve"> </w:t>
      </w:r>
      <w:r>
        <w:rPr>
          <w:rFonts w:ascii="Arial Narrow" w:hAnsi="Arial Narrow"/>
          <w:b w:val="1"/>
        </w:rPr>
        <w:t>22.01.2024</w:t>
      </w:r>
      <w:r>
        <w:rPr>
          <w:rFonts w:ascii="Arial Narrow" w:hAnsi="Arial Narrow"/>
          <w:b w:val="1"/>
        </w:rPr>
        <w:t>г.</w:t>
      </w:r>
    </w:p>
    <w:p w14:paraId="04000000">
      <w:pPr>
        <w:spacing w:after="0" w:line="240" w:lineRule="auto"/>
        <w:ind w:firstLine="708" w:left="4956"/>
        <w:jc w:val="center"/>
        <w:rPr>
          <w:rFonts w:ascii="Arial Narrow" w:hAnsi="Arial Narrow"/>
          <w:b w:val="1"/>
        </w:rPr>
      </w:pPr>
    </w:p>
    <w:p w14:paraId="05000000">
      <w:pPr>
        <w:spacing w:after="0" w:line="240" w:lineRule="auto"/>
        <w:ind/>
        <w:jc w:val="center"/>
        <w:rPr>
          <w:rFonts w:ascii="Arial Narrow" w:hAnsi="Arial Narrow"/>
          <w:b w:val="1"/>
        </w:rPr>
      </w:pPr>
      <w:r>
        <w:rPr>
          <w:rFonts w:ascii="Arial Narrow" w:hAnsi="Arial Narrow"/>
          <w:b w:val="1"/>
        </w:rPr>
        <w:t>СПЕЦИФИКА</w:t>
      </w:r>
      <w:r>
        <w:rPr>
          <w:rFonts w:ascii="Arial Narrow" w:hAnsi="Arial Narrow"/>
          <w:b w:val="1"/>
        </w:rPr>
        <w:t>Ц</w:t>
      </w:r>
      <w:r>
        <w:rPr>
          <w:rFonts w:ascii="Arial Narrow" w:hAnsi="Arial Narrow"/>
          <w:b w:val="1"/>
        </w:rPr>
        <w:t>ИЯ</w:t>
      </w:r>
      <w:r>
        <w:rPr>
          <w:rFonts w:ascii="Arial Narrow" w:hAnsi="Arial Narrow"/>
          <w:b w:val="1"/>
        </w:rPr>
        <w:t>№1</w:t>
      </w:r>
    </w:p>
    <w:p w14:paraId="06000000">
      <w:pPr>
        <w:spacing w:after="0" w:line="240" w:lineRule="auto"/>
        <w:ind/>
        <w:jc w:val="center"/>
        <w:rPr>
          <w:rFonts w:ascii="Arial Narrow" w:hAnsi="Arial Narrow"/>
          <w:b w:val="1"/>
        </w:rPr>
      </w:pPr>
      <w:r>
        <w:rPr>
          <w:rFonts w:ascii="Arial Narrow" w:hAnsi="Arial Narrow"/>
          <w:b w:val="1"/>
        </w:rPr>
        <w:t>(</w:t>
      </w:r>
      <w:r>
        <w:rPr>
          <w:rFonts w:ascii="Arial Narrow" w:hAnsi="Arial Narrow"/>
          <w:b w:val="1"/>
        </w:rPr>
        <w:t>Согласно заявк</w:t>
      </w:r>
      <w:r>
        <w:rPr>
          <w:rFonts w:ascii="Arial Narrow" w:hAnsi="Arial Narrow"/>
          <w:b w:val="1"/>
        </w:rPr>
        <w:t>е</w:t>
      </w:r>
      <w:r>
        <w:rPr>
          <w:rFonts w:ascii="Arial Narrow" w:hAnsi="Arial Narrow"/>
          <w:b w:val="1"/>
        </w:rPr>
        <w:t xml:space="preserve"> </w:t>
      </w:r>
      <w:r>
        <w:rPr>
          <w:rFonts w:ascii="Arial Narrow" w:hAnsi="Arial Narrow"/>
          <w:b w:val="1"/>
        </w:rPr>
        <w:t>PXG-PR-IN-ALL-0134(REV-1)</w:t>
      </w:r>
      <w:r>
        <w:rPr>
          <w:rFonts w:ascii="Arial Narrow" w:hAnsi="Arial Narrow"/>
          <w:b w:val="1"/>
        </w:rPr>
        <w:t xml:space="preserve"> </w:t>
      </w:r>
      <w:r>
        <w:rPr>
          <w:rFonts w:ascii="Arial Narrow" w:hAnsi="Arial Narrow"/>
          <w:b w:val="1"/>
        </w:rPr>
        <w:t>по лоту</w:t>
      </w:r>
      <w:r>
        <w:rPr>
          <w:rFonts w:ascii="Arial Narrow" w:hAnsi="Arial Narrow"/>
          <w:b w:val="1"/>
        </w:rPr>
        <w:t xml:space="preserve"> </w:t>
      </w:r>
      <w:r>
        <w:rPr>
          <w:rFonts w:ascii="Arial Narrow" w:hAnsi="Arial Narrow"/>
          <w:b w:val="1"/>
        </w:rPr>
        <w:t>80590</w:t>
      </w:r>
      <w:r>
        <w:rPr>
          <w:rFonts w:ascii="Arial Narrow" w:hAnsi="Arial Narrow"/>
          <w:b w:val="1"/>
        </w:rPr>
        <w:t>)</w:t>
      </w:r>
    </w:p>
    <w:p w14:paraId="07000000">
      <w:pPr>
        <w:spacing w:after="0" w:line="240" w:lineRule="auto"/>
        <w:ind/>
        <w:jc w:val="center"/>
        <w:rPr>
          <w:rFonts w:ascii="Arial Narrow" w:hAnsi="Arial Narrow"/>
          <w:i w:val="1"/>
        </w:rPr>
      </w:pPr>
      <w:r>
        <w:rPr>
          <w:rFonts w:ascii="Arial Narrow" w:hAnsi="Arial Narrow"/>
          <w:b w:val="1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Arial Narrow" w:hAnsi="Arial Narrow"/>
          <w:i w:val="1"/>
        </w:rPr>
        <w:t xml:space="preserve"> </w:t>
      </w:r>
      <w:r>
        <w:rPr>
          <w:rFonts w:ascii="Arial Narrow" w:hAnsi="Arial Narrow"/>
          <w:i w:val="1"/>
        </w:rPr>
        <w:t>Таблица №1</w:t>
      </w:r>
    </w:p>
    <w:tbl>
      <w:tblPr>
        <w:tblStyle w:val="Style_1"/>
        <w:tblInd w:type="dxa" w:w="113"/>
        <w:tblLayout w:type="fixed"/>
      </w:tblPr>
      <w:tblGrid>
        <w:gridCol w:w="434"/>
        <w:gridCol w:w="3417"/>
        <w:gridCol w:w="851"/>
        <w:gridCol w:w="850"/>
        <w:gridCol w:w="1843"/>
        <w:gridCol w:w="2552"/>
      </w:tblGrid>
      <w:tr>
        <w:trPr>
          <w:trHeight w:hRule="atLeast" w:val="756"/>
        </w:trPr>
        <w:tc>
          <w:tcPr>
            <w:tcW w:type="dxa" w:w="4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8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№</w:t>
            </w:r>
          </w:p>
        </w:tc>
        <w:tc>
          <w:tcPr>
            <w:tcW w:type="dxa" w:w="3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Наименование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A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 xml:space="preserve">Ед. </w:t>
            </w:r>
            <w:r>
              <w:rPr>
                <w:rFonts w:ascii="Arial Narrow" w:hAnsi="Arial Narrow"/>
                <w:color w:val="000000"/>
                <w:sz w:val="20"/>
              </w:rPr>
              <w:t>изм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B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Кол-во</w:t>
            </w:r>
          </w:p>
        </w:tc>
        <w:tc>
          <w:tcPr>
            <w:tcW w:type="dxa" w:w="18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C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Цена за ед. без НДС</w:t>
            </w:r>
          </w:p>
        </w:tc>
        <w:tc>
          <w:tcPr>
            <w:tcW w:type="dxa" w:w="25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D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Стоимость поставки без НДС</w:t>
            </w:r>
          </w:p>
        </w:tc>
      </w:tr>
      <w:tr>
        <w:trPr>
          <w:trHeight w:hRule="atLeast" w:val="612"/>
        </w:trPr>
        <w:tc>
          <w:tcPr>
            <w:tcW w:type="dxa" w:w="4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E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3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0F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Optical patch cord LC</w:t>
            </w:r>
            <w:r>
              <w:rPr>
                <w:rFonts w:ascii="Cambria Math" w:hAnsi="Cambria Math"/>
                <w:sz w:val="20"/>
              </w:rPr>
              <w:t>‐</w:t>
            </w:r>
            <w:r>
              <w:rPr>
                <w:rFonts w:ascii="Arial Narrow" w:hAnsi="Arial Narrow"/>
                <w:sz w:val="20"/>
              </w:rPr>
              <w:t>LC duplex 62.5/125mkm 2m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0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шт</w:t>
            </w:r>
          </w:p>
        </w:tc>
        <w:tc>
          <w:tcPr>
            <w:tcW w:type="dxa" w:w="8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1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48</w:t>
            </w:r>
          </w:p>
        </w:tc>
        <w:tc>
          <w:tcPr>
            <w:tcW w:type="dxa" w:w="18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2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78 000</w:t>
            </w:r>
          </w:p>
        </w:tc>
        <w:tc>
          <w:tcPr>
            <w:tcW w:type="dxa" w:w="2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3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3 744 000</w:t>
            </w:r>
          </w:p>
        </w:tc>
      </w:tr>
      <w:tr>
        <w:trPr>
          <w:trHeight w:hRule="atLeast" w:val="612"/>
        </w:trPr>
        <w:tc>
          <w:tcPr>
            <w:tcW w:type="dxa" w:w="4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4000000">
            <w:pPr>
              <w:spacing w:after="0" w:line="240" w:lineRule="auto"/>
              <w:ind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2</w:t>
            </w:r>
          </w:p>
        </w:tc>
        <w:tc>
          <w:tcPr>
            <w:tcW w:type="dxa" w:w="3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5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Optical patch cord ST/UPC - ST/UPC 3m 62.5/125mkm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ST-ST duplex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6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шт</w:t>
            </w:r>
          </w:p>
        </w:tc>
        <w:tc>
          <w:tcPr>
            <w:tcW w:type="dxa" w:w="8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7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40</w:t>
            </w:r>
          </w:p>
        </w:tc>
        <w:tc>
          <w:tcPr>
            <w:tcW w:type="dxa" w:w="18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8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95 100</w:t>
            </w:r>
          </w:p>
        </w:tc>
        <w:tc>
          <w:tcPr>
            <w:tcW w:type="dxa" w:w="2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themeFill="background1" w:val="clear"/>
            <w:vAlign w:val="center"/>
          </w:tcPr>
          <w:p w14:paraId="19000000">
            <w:pPr>
              <w:spacing w:after="0" w:line="240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3 804 000</w:t>
            </w:r>
          </w:p>
        </w:tc>
      </w:tr>
      <w:tr>
        <w:trPr>
          <w:trHeight w:hRule="atLeast" w:val="326"/>
        </w:trPr>
        <w:tc>
          <w:tcPr>
            <w:tcW w:type="dxa" w:w="43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00000">
            <w:pPr>
              <w:spacing w:after="0" w:line="240" w:lineRule="auto"/>
              <w:ind/>
              <w:jc w:val="center"/>
              <w:rPr>
                <w:rFonts w:ascii="Arial Narrow" w:hAnsi="Arial Narrow"/>
                <w:b w:val="1"/>
                <w:color w:val="000000"/>
                <w:sz w:val="20"/>
              </w:rPr>
            </w:pPr>
          </w:p>
        </w:tc>
        <w:tc>
          <w:tcPr>
            <w:tcW w:type="dxa" w:w="6961"/>
            <w:gridSpan w:val="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B000000">
            <w:pPr>
              <w:spacing w:after="0" w:line="240" w:lineRule="auto"/>
              <w:ind/>
              <w:jc w:val="center"/>
              <w:rPr>
                <w:rFonts w:ascii="Arial Narrow" w:hAnsi="Arial Narrow"/>
                <w:b w:val="1"/>
                <w:color w:val="000000"/>
                <w:sz w:val="20"/>
              </w:rPr>
            </w:pPr>
            <w:r>
              <w:rPr>
                <w:rFonts w:ascii="Arial Narrow" w:hAnsi="Arial Narrow"/>
                <w:b w:val="1"/>
                <w:color w:val="000000"/>
                <w:sz w:val="20"/>
              </w:rPr>
              <w:t>Итого:</w:t>
            </w:r>
          </w:p>
        </w:tc>
        <w:tc>
          <w:tcPr>
            <w:tcW w:type="dxa" w:w="2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C000000">
            <w:pPr>
              <w:spacing w:after="0" w:line="240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7 548 000</w:t>
            </w:r>
          </w:p>
        </w:tc>
      </w:tr>
    </w:tbl>
    <w:p w14:paraId="1D000000">
      <w:pPr>
        <w:ind w:firstLine="0" w:left="-142"/>
        <w:rPr>
          <w:rFonts w:ascii="Arial Narrow" w:hAnsi="Arial Narrow"/>
          <w:b w:val="1"/>
        </w:rPr>
      </w:pPr>
    </w:p>
    <w:p w14:paraId="1E000000">
      <w:pPr>
        <w:pStyle w:val="Style_2"/>
        <w:spacing w:line="240" w:lineRule="auto"/>
        <w:ind w:firstLine="0" w:left="1482"/>
        <w:jc w:val="both"/>
        <w:rPr>
          <w:rFonts w:ascii="Arial Narrow" w:hAnsi="Arial Narrow"/>
        </w:rPr>
      </w:pPr>
      <w:r>
        <w:rPr>
          <w:rFonts w:ascii="Arial Narrow" w:hAnsi="Arial Narrow"/>
          <w:b w:val="1"/>
        </w:rPr>
        <w:t>Сумма прописью:</w:t>
      </w:r>
      <w:r>
        <w:rPr>
          <w:rFonts w:ascii="Arial Narrow" w:hAnsi="Arial Narrow"/>
          <w:b w:val="1"/>
        </w:rPr>
        <w:t xml:space="preserve"> </w:t>
      </w:r>
      <w:bookmarkStart w:id="2" w:name="_Hlk153206749"/>
      <w:bookmarkStart w:id="3" w:name="_Hlk153208847"/>
      <w:r>
        <w:rPr>
          <w:rFonts w:ascii="Calibri" w:hAnsi="Calibri"/>
          <w:b w:val="1"/>
          <w:color w:val="000000"/>
        </w:rPr>
        <w:t xml:space="preserve">7 548 000,00 </w:t>
      </w:r>
      <w:r>
        <w:rPr>
          <w:rFonts w:ascii="Arial Narrow" w:hAnsi="Arial Narrow"/>
        </w:rPr>
        <w:t>(</w:t>
      </w:r>
      <w:bookmarkStart w:id="4" w:name="_Hlk153208888"/>
      <w:bookmarkEnd w:id="2"/>
      <w:bookmarkEnd w:id="3"/>
      <w:r>
        <w:rPr>
          <w:rFonts w:ascii="Arial Narrow" w:hAnsi="Arial Narrow"/>
        </w:rPr>
        <w:t xml:space="preserve">Семь миллионов пятьсот сорок восемь тысяч сум ноль </w:t>
      </w:r>
      <w:r>
        <w:rPr>
          <w:rFonts w:ascii="Arial Narrow" w:hAnsi="Arial Narrow"/>
        </w:rPr>
        <w:t>тийинов</w:t>
      </w:r>
      <w:r>
        <w:rPr>
          <w:rFonts w:ascii="Arial Narrow" w:hAnsi="Arial Narrow"/>
        </w:rPr>
        <w:t xml:space="preserve">) </w:t>
      </w:r>
    </w:p>
    <w:p w14:paraId="1F000000">
      <w:pPr>
        <w:pStyle w:val="Style_2"/>
        <w:spacing w:line="240" w:lineRule="auto"/>
        <w:ind w:firstLine="0" w:left="1482"/>
        <w:jc w:val="both"/>
        <w:rPr>
          <w:rFonts w:ascii="Arial Narrow" w:hAnsi="Arial Narrow"/>
        </w:rPr>
      </w:pPr>
      <w:r>
        <w:rPr>
          <w:rFonts w:ascii="Arial Narrow" w:hAnsi="Arial Narrow"/>
        </w:rPr>
        <w:t>Без</w:t>
      </w:r>
      <w:r>
        <w:rPr>
          <w:rFonts w:ascii="Arial Narrow" w:hAnsi="Arial Narrow"/>
        </w:rPr>
        <w:t xml:space="preserve"> НДС</w:t>
      </w:r>
      <w:r>
        <w:rPr>
          <w:rFonts w:ascii="Arial Narrow" w:hAnsi="Arial Narrow"/>
        </w:rPr>
        <w:t>.</w:t>
      </w:r>
      <w:bookmarkEnd w:id="4"/>
    </w:p>
    <w:p w14:paraId="20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Arial Narrow" w:hAnsi="Arial Narrow"/>
          <w:sz w:val="23"/>
        </w:rPr>
      </w:pPr>
      <w:r>
        <w:rPr>
          <w:rFonts w:ascii="Arial Narrow" w:hAnsi="Arial Narrow"/>
          <w:b w:val="1"/>
          <w:sz w:val="23"/>
        </w:rPr>
        <w:t>Условия платежа:</w:t>
      </w:r>
      <w:r>
        <w:rPr>
          <w:rFonts w:ascii="Arial Narrow" w:hAnsi="Arial Narrow"/>
          <w:sz w:val="23"/>
        </w:rPr>
        <w:t xml:space="preserve"> </w:t>
      </w:r>
      <w:r>
        <w:rPr>
          <w:rFonts w:ascii="Arial Narrow" w:hAnsi="Arial Narrow"/>
          <w:sz w:val="23"/>
        </w:rPr>
        <w:t>П</w:t>
      </w:r>
      <w:r>
        <w:rPr>
          <w:rFonts w:ascii="Arial Narrow" w:hAnsi="Arial Narrow"/>
          <w:sz w:val="23"/>
        </w:rPr>
        <w:t>редоплата в размере 100% от общей суммы Договора, указанной в п. 1.1. настоящего Договора, уплачивается Покупателем Поставщику в течение 15 банковских дней с даты заключения настоящего Договора.</w:t>
      </w:r>
    </w:p>
    <w:p w14:paraId="21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Arial Narrow" w:hAnsi="Arial Narrow"/>
          <w:sz w:val="23"/>
        </w:rPr>
      </w:pPr>
      <w:r>
        <w:rPr>
          <w:rFonts w:ascii="Arial Narrow" w:hAnsi="Arial Narrow"/>
          <w:b w:val="1"/>
          <w:sz w:val="23"/>
        </w:rPr>
        <w:t xml:space="preserve">Условия поставки: </w:t>
      </w:r>
      <w:r>
        <w:rPr>
          <w:rFonts w:ascii="Arial Narrow" w:hAnsi="Arial Narrow"/>
          <w:sz w:val="23"/>
        </w:rPr>
        <w:t>Самовывоз со склада поставщика</w:t>
      </w:r>
      <w:r>
        <w:rPr>
          <w:rFonts w:ascii="Arial Narrow" w:hAnsi="Arial Narrow"/>
          <w:sz w:val="23"/>
        </w:rPr>
        <w:t xml:space="preserve">. </w:t>
      </w:r>
    </w:p>
    <w:p w14:paraId="22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Arial Narrow" w:hAnsi="Arial Narrow"/>
          <w:b w:val="1"/>
          <w:sz w:val="23"/>
        </w:rPr>
      </w:pPr>
      <w:r>
        <w:rPr>
          <w:rFonts w:ascii="Arial Narrow" w:hAnsi="Arial Narrow"/>
          <w:b w:val="1"/>
          <w:sz w:val="23"/>
        </w:rPr>
        <w:t>Срок изготовления</w:t>
      </w:r>
      <w:r>
        <w:rPr>
          <w:rFonts w:ascii="Arial Narrow" w:hAnsi="Arial Narrow"/>
          <w:b w:val="1"/>
          <w:sz w:val="23"/>
        </w:rPr>
        <w:t xml:space="preserve"> и поставки составляет</w:t>
      </w:r>
      <w:r>
        <w:rPr>
          <w:rFonts w:ascii="Arial Narrow" w:hAnsi="Arial Narrow"/>
          <w:b w:val="1"/>
          <w:sz w:val="23"/>
        </w:rPr>
        <w:t xml:space="preserve">: </w:t>
      </w:r>
      <w:r>
        <w:rPr>
          <w:rFonts w:ascii="Arial Narrow" w:hAnsi="Arial Narrow"/>
          <w:sz w:val="23"/>
        </w:rPr>
        <w:t>30-45</w:t>
      </w:r>
      <w:r>
        <w:rPr>
          <w:rFonts w:ascii="Arial Narrow" w:hAnsi="Arial Narrow"/>
          <w:sz w:val="23"/>
        </w:rPr>
        <w:t xml:space="preserve"> календарных дней.</w:t>
      </w:r>
    </w:p>
    <w:tbl>
      <w:tblPr>
        <w:tblStyle w:val="Style_1"/>
        <w:tblLayout w:type="fixed"/>
      </w:tblPr>
      <w:tblGrid>
        <w:gridCol w:w="5006"/>
        <w:gridCol w:w="4482"/>
      </w:tblGrid>
      <w:tr>
        <w:tc>
          <w:tcPr>
            <w:tcW w:type="dxa" w:w="5006"/>
          </w:tcPr>
          <w:p w14:paraId="23000000">
            <w:pPr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contextualSpacing w:val="1"/>
              <w:rPr>
                <w:rFonts w:ascii="Arial Narrow" w:hAnsi="Arial Narrow"/>
              </w:rPr>
            </w:pPr>
          </w:p>
          <w:p w14:paraId="24000000">
            <w:pPr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Поставщик</w:t>
            </w:r>
          </w:p>
        </w:tc>
        <w:tc>
          <w:tcPr>
            <w:tcW w:type="dxa" w:w="4482"/>
          </w:tcPr>
          <w:p w14:paraId="25000000">
            <w:pPr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contextualSpacing w:val="1"/>
              <w:jc w:val="center"/>
              <w:rPr>
                <w:rFonts w:ascii="Arial Narrow" w:hAnsi="Arial Narrow"/>
              </w:rPr>
            </w:pPr>
          </w:p>
          <w:p w14:paraId="26000000">
            <w:pPr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Покупатель</w:t>
            </w:r>
          </w:p>
        </w:tc>
      </w:tr>
      <w:tr>
        <w:tc>
          <w:tcPr>
            <w:tcW w:type="dxa" w:w="5006"/>
          </w:tcPr>
          <w:p w14:paraId="27000000">
            <w:pPr>
              <w:pStyle w:val="Style_3"/>
              <w:ind/>
              <w:contextualSpacing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>
              <w:rPr>
                <w:rFonts w:ascii="Arial" w:hAnsi="Arial"/>
              </w:rPr>
              <w:drawing>
                <wp:anchor allowOverlap="true" behindDoc="true" distB="0" distL="114300" distR="114300" distT="0" layoutInCell="true" locked="false" relativeHeight="251658240" simplePos="false">
                  <wp:simplePos x="0" y="0"/>
                  <wp:positionH relativeFrom="column">
                    <wp:posOffset>1801504</wp:posOffset>
                  </wp:positionH>
                  <wp:positionV relativeFrom="paragraph">
                    <wp:posOffset>7819</wp:posOffset>
                  </wp:positionV>
                  <wp:extent cx="2183642" cy="1390418"/>
                  <wp:effectExtent b="0" l="0" r="0" t="0"/>
                  <wp:wrapNone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183642" cy="139041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</w:rPr>
              <w:t xml:space="preserve">                   </w:t>
            </w:r>
            <w:r>
              <w:rPr>
                <w:rFonts w:ascii="Arial Narrow" w:hAnsi="Arial Narrow"/>
              </w:rPr>
              <w:t>OOO "PROCESS PROGRAM"</w:t>
            </w:r>
          </w:p>
          <w:p w14:paraId="28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</w:t>
            </w:r>
          </w:p>
          <w:p w14:paraId="29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</w:p>
          <w:p w14:paraId="2A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</w:p>
          <w:p w14:paraId="2B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</w:p>
          <w:p w14:paraId="2C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__________________</w:t>
            </w:r>
          </w:p>
          <w:p w14:paraId="2D000000">
            <w:pPr>
              <w:pStyle w:val="Style_3"/>
              <w:ind/>
              <w:contextualSpacing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</w:t>
            </w:r>
            <w:bookmarkStart w:id="5" w:name="_Hlk153208788"/>
            <w:r>
              <w:rPr>
                <w:rFonts w:ascii="Arial Narrow" w:hAnsi="Arial Narrow"/>
              </w:rPr>
              <w:t xml:space="preserve">   </w:t>
            </w:r>
            <w:r>
              <w:rPr>
                <w:rFonts w:ascii="Arial Narrow" w:hAnsi="Arial Narrow"/>
              </w:rPr>
              <w:t>Орзикулова</w:t>
            </w:r>
            <w:r>
              <w:rPr>
                <w:rFonts w:ascii="Arial Narrow" w:hAnsi="Arial Narrow"/>
              </w:rPr>
              <w:t xml:space="preserve"> К.С.</w:t>
            </w:r>
            <w:bookmarkEnd w:id="5"/>
          </w:p>
          <w:p w14:paraId="2E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Директор</w:t>
            </w:r>
          </w:p>
        </w:tc>
        <w:tc>
          <w:tcPr>
            <w:tcW w:type="dxa" w:w="4482"/>
          </w:tcPr>
          <w:p w14:paraId="2F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Компания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«</w:t>
            </w:r>
            <w:r>
              <w:rPr>
                <w:rFonts w:ascii="Arial Narrow" w:hAnsi="Arial Narrow"/>
              </w:rPr>
              <w:t>ENTER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Engineering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Pte</w:t>
            </w:r>
            <w:r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Ltd</w:t>
            </w:r>
            <w:r>
              <w:rPr>
                <w:rFonts w:ascii="Arial Narrow" w:hAnsi="Arial Narrow"/>
              </w:rPr>
              <w:t>»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ПУ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Газли</w:t>
            </w:r>
          </w:p>
          <w:p w14:paraId="30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</w:p>
          <w:p w14:paraId="31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</w:p>
          <w:p w14:paraId="32000000">
            <w:pPr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contextualSpacing w:val="1"/>
              <w:rPr>
                <w:rFonts w:ascii="Arial Narrow" w:hAnsi="Arial Narrow"/>
              </w:rPr>
            </w:pPr>
          </w:p>
          <w:p w14:paraId="33000000">
            <w:pPr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contextualSpacing w:val="1"/>
              <w:rPr>
                <w:rFonts w:ascii="Arial Narrow" w:hAnsi="Arial Narrow"/>
              </w:rPr>
            </w:pPr>
          </w:p>
          <w:p w14:paraId="34000000">
            <w:pPr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contextualSpacing w:val="1"/>
              <w:rPr>
                <w:rFonts w:ascii="Arial Narrow" w:hAnsi="Arial Narrow"/>
              </w:rPr>
            </w:pPr>
          </w:p>
          <w:p w14:paraId="35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</w:t>
            </w:r>
            <w:r>
              <w:rPr>
                <w:rFonts w:ascii="Arial Narrow" w:hAnsi="Arial Narrow"/>
              </w:rPr>
              <w:t>_____</w:t>
            </w:r>
            <w:r>
              <w:rPr>
                <w:rFonts w:ascii="Arial Narrow" w:hAnsi="Arial Narrow"/>
              </w:rPr>
              <w:t>__________</w:t>
            </w:r>
          </w:p>
          <w:p w14:paraId="36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Тенгко</w:t>
            </w:r>
            <w:r>
              <w:rPr>
                <w:rFonts w:ascii="Arial Narrow" w:hAnsi="Arial Narrow"/>
              </w:rPr>
              <w:t xml:space="preserve"> А.С</w:t>
            </w:r>
            <w:r>
              <w:rPr>
                <w:rFonts w:ascii="Arial Narrow" w:hAnsi="Arial Narrow"/>
              </w:rPr>
              <w:t>.</w:t>
            </w:r>
          </w:p>
          <w:p w14:paraId="37000000">
            <w:pPr>
              <w:pStyle w:val="Style_3"/>
              <w:ind/>
              <w:contextualSpacing w:val="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Уполномоченный представитель</w:t>
            </w:r>
          </w:p>
        </w:tc>
      </w:tr>
    </w:tbl>
    <w:p w14:paraId="38000000">
      <w:pPr>
        <w:rPr>
          <w:rFonts w:ascii="Arial Narrow" w:hAnsi="Arial Narrow"/>
          <w:sz w:val="2"/>
        </w:rPr>
      </w:pPr>
    </w:p>
    <w:sectPr>
      <w:pgSz w:h="16838" w:orient="portrait" w:w="11906"/>
      <w:pgMar w:bottom="1134" w:footer="708" w:gutter="0" w:header="708" w:left="851" w:right="850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502"/>
      </w:pPr>
      <w:rPr>
        <w:rFonts w:ascii="Arial Narrow" w:hAnsi="Arial Narrow"/>
        <w:i w:val="0"/>
        <w:color w:val="000000"/>
      </w:rPr>
    </w:lvl>
    <w:lvl w:ilvl="1">
      <w:start w:val="4"/>
      <w:numFmt w:val="decimal"/>
      <w:lvlText w:val="%1.%2."/>
      <w:lvlJc w:val="left"/>
      <w:pPr>
        <w:ind w:hanging="360" w:left="3763"/>
      </w:pPr>
    </w:lvl>
    <w:lvl w:ilvl="2">
      <w:start w:val="1"/>
      <w:numFmt w:val="decimal"/>
      <w:lvlText w:val="%1.%2.%3."/>
      <w:lvlJc w:val="left"/>
      <w:pPr>
        <w:ind w:hanging="720" w:left="4123"/>
      </w:pPr>
    </w:lvl>
    <w:lvl w:ilvl="3">
      <w:start w:val="1"/>
      <w:numFmt w:val="decimal"/>
      <w:lvlText w:val="%1.%2.%3.%4."/>
      <w:lvlJc w:val="left"/>
      <w:pPr>
        <w:ind w:hanging="720" w:left="4123"/>
      </w:pPr>
    </w:lvl>
    <w:lvl w:ilvl="4">
      <w:start w:val="1"/>
      <w:numFmt w:val="decimal"/>
      <w:lvlText w:val="%1.%2.%3.%4.%5."/>
      <w:lvlJc w:val="left"/>
      <w:pPr>
        <w:ind w:hanging="1080" w:left="4483"/>
      </w:pPr>
    </w:lvl>
    <w:lvl w:ilvl="5">
      <w:start w:val="1"/>
      <w:numFmt w:val="decimal"/>
      <w:lvlText w:val="%1.%2.%3.%4.%5.%6."/>
      <w:lvlJc w:val="left"/>
      <w:pPr>
        <w:ind w:hanging="1080" w:left="4483"/>
      </w:pPr>
    </w:lvl>
    <w:lvl w:ilvl="6">
      <w:start w:val="1"/>
      <w:numFmt w:val="decimal"/>
      <w:lvlText w:val="%1.%2.%3.%4.%5.%6.%7."/>
      <w:lvlJc w:val="left"/>
      <w:pPr>
        <w:ind w:hanging="1440" w:left="4843"/>
      </w:pPr>
    </w:lvl>
    <w:lvl w:ilvl="7">
      <w:start w:val="1"/>
      <w:numFmt w:val="decimal"/>
      <w:lvlText w:val="%1.%2.%3.%4.%5.%6.%7.%8."/>
      <w:lvlJc w:val="left"/>
      <w:pPr>
        <w:ind w:hanging="1440" w:left="4843"/>
      </w:pPr>
    </w:lvl>
    <w:lvl w:ilvl="8">
      <w:start w:val="1"/>
      <w:numFmt w:val="decimal"/>
      <w:lvlText w:val="%1.%2.%3.%4.%5.%6.%7.%8.%9."/>
      <w:lvlJc w:val="left"/>
      <w:pPr>
        <w:ind w:hanging="1800" w:left="5203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Balloon Text"/>
    <w:basedOn w:val="Style_4"/>
    <w:link w:val="Style_5_ch"/>
    <w:pPr>
      <w:spacing w:after="0" w:line="240" w:lineRule="auto"/>
      <w:ind/>
    </w:pPr>
    <w:rPr>
      <w:rFonts w:ascii="Tahoma" w:hAnsi="Tahoma"/>
      <w:sz w:val="16"/>
    </w:rPr>
  </w:style>
  <w:style w:styleId="Style_5_ch" w:type="character">
    <w:name w:val="Balloon Text"/>
    <w:basedOn w:val="Style_4_ch"/>
    <w:link w:val="Style_5"/>
    <w:rPr>
      <w:rFonts w:ascii="Tahoma" w:hAnsi="Tahoma"/>
      <w:sz w:val="16"/>
    </w:rPr>
  </w:style>
  <w:style w:styleId="Style_3" w:type="paragraph">
    <w:name w:val="No Spacing"/>
    <w:link w:val="Style_3_ch"/>
    <w:pPr>
      <w:spacing w:after="0" w:line="240" w:lineRule="auto"/>
      <w:ind/>
    </w:pPr>
    <w:rPr>
      <w:rFonts w:ascii="Calibri" w:hAnsi="Calibri"/>
    </w:rPr>
  </w:style>
  <w:style w:styleId="Style_3_ch" w:type="character">
    <w:name w:val="No Spacing"/>
    <w:link w:val="Style_3"/>
    <w:rPr>
      <w:rFonts w:ascii="Calibri" w:hAnsi="Calibri"/>
    </w:rPr>
  </w:style>
  <w:style w:styleId="Style_6" w:type="paragraph">
    <w:name w:val="toc 2"/>
    <w:next w:val="Style_4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4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footer"/>
    <w:basedOn w:val="Style_4"/>
    <w:link w:val="Style_1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1_ch" w:type="character">
    <w:name w:val="footer"/>
    <w:basedOn w:val="Style_4_ch"/>
    <w:link w:val="Style_11"/>
  </w:style>
  <w:style w:styleId="Style_12" w:type="paragraph">
    <w:name w:val="Placeholder Text"/>
    <w:basedOn w:val="Style_13"/>
    <w:link w:val="Style_12_ch"/>
    <w:rPr>
      <w:color w:val="808080"/>
    </w:rPr>
  </w:style>
  <w:style w:styleId="Style_12_ch" w:type="character">
    <w:name w:val="Placeholder Text"/>
    <w:basedOn w:val="Style_13_ch"/>
    <w:link w:val="Style_12"/>
    <w:rPr>
      <w:color w:val="808080"/>
    </w:rPr>
  </w:style>
  <w:style w:styleId="Style_14" w:type="paragraph">
    <w:name w:val="header"/>
    <w:basedOn w:val="Style_4"/>
    <w:link w:val="Style_14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4_ch" w:type="character">
    <w:name w:val="header"/>
    <w:basedOn w:val="Style_4_ch"/>
    <w:link w:val="Style_14"/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5" w:type="paragraph">
    <w:name w:val="toc 3"/>
    <w:next w:val="Style_4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next w:val="Style_4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ing 1"/>
    <w:next w:val="Style_4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basedOn w:val="Style_13"/>
    <w:link w:val="Style_18_ch"/>
    <w:rPr>
      <w:color w:themeColor="hyperlink" w:val="0563C1"/>
      <w:u w:val="single"/>
    </w:rPr>
  </w:style>
  <w:style w:styleId="Style_18_ch" w:type="character">
    <w:name w:val="Hyperlink"/>
    <w:basedOn w:val="Style_13_ch"/>
    <w:link w:val="Style_18"/>
    <w:rPr>
      <w:color w:themeColor="hyperlink" w:val="0563C1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4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Emphasis"/>
    <w:basedOn w:val="Style_13"/>
    <w:link w:val="Style_21_ch"/>
    <w:rPr>
      <w:i w:val="1"/>
    </w:rPr>
  </w:style>
  <w:style w:styleId="Style_21_ch" w:type="character">
    <w:name w:val="Emphasis"/>
    <w:basedOn w:val="Style_13_ch"/>
    <w:link w:val="Style_21"/>
    <w:rPr>
      <w:i w:val="1"/>
    </w:rPr>
  </w:style>
  <w:style w:styleId="Style_2" w:type="paragraph">
    <w:name w:val="List Paragraph"/>
    <w:basedOn w:val="Style_4"/>
    <w:link w:val="Style_2_ch"/>
    <w:pPr>
      <w:ind w:firstLine="0" w:left="720"/>
      <w:contextualSpacing w:val="1"/>
    </w:pPr>
  </w:style>
  <w:style w:styleId="Style_2_ch" w:type="character">
    <w:name w:val="List Paragraph"/>
    <w:basedOn w:val="Style_4_ch"/>
    <w:link w:val="Style_2"/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4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4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25" w:type="paragraph">
    <w:name w:val="toc 5"/>
    <w:next w:val="Style_4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4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4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4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4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styleId="Style_30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2024-01-22T11:21:53Z</dcterms:modified>
</cp:coreProperties>
</file>