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04C" w:rsidRPr="00FF404C" w:rsidRDefault="00FF404C" w:rsidP="004E449A">
      <w:pPr>
        <w:jc w:val="both"/>
        <w:rPr>
          <w:b/>
          <w:sz w:val="28"/>
        </w:rPr>
      </w:pPr>
      <w:r w:rsidRPr="00FF404C">
        <w:rPr>
          <w:b/>
          <w:sz w:val="28"/>
        </w:rPr>
        <w:t>PODSTAWY SZTUCZNEJ INTELIGENCJI – PROJEKT 2</w:t>
      </w:r>
    </w:p>
    <w:p w:rsidR="00FF404C" w:rsidRPr="00FF404C" w:rsidRDefault="00FF404C" w:rsidP="004E449A">
      <w:pPr>
        <w:jc w:val="both"/>
        <w:rPr>
          <w:sz w:val="24"/>
        </w:rPr>
      </w:pPr>
      <w:r w:rsidRPr="00FF404C">
        <w:rPr>
          <w:sz w:val="24"/>
        </w:rPr>
        <w:t xml:space="preserve">Joanna </w:t>
      </w:r>
      <w:proofErr w:type="spellStart"/>
      <w:r w:rsidRPr="00FF404C">
        <w:rPr>
          <w:sz w:val="24"/>
        </w:rPr>
        <w:t>Kiesiak</w:t>
      </w:r>
      <w:proofErr w:type="spellEnd"/>
      <w:r w:rsidRPr="00FF404C">
        <w:rPr>
          <w:sz w:val="24"/>
        </w:rPr>
        <w:t>, Katarzyna Rzeczyca</w:t>
      </w:r>
    </w:p>
    <w:p w:rsidR="00BE6C92" w:rsidRPr="00FF404C" w:rsidRDefault="00FF404C" w:rsidP="004E449A">
      <w:pPr>
        <w:pStyle w:val="Akapitzlist"/>
        <w:numPr>
          <w:ilvl w:val="0"/>
          <w:numId w:val="3"/>
        </w:numPr>
        <w:jc w:val="both"/>
        <w:rPr>
          <w:sz w:val="28"/>
        </w:rPr>
      </w:pPr>
      <w:r w:rsidRPr="00FF404C">
        <w:rPr>
          <w:sz w:val="28"/>
        </w:rPr>
        <w:t>TEMAT</w:t>
      </w:r>
    </w:p>
    <w:p w:rsidR="00FF404C" w:rsidRDefault="00FF404C" w:rsidP="004E449A">
      <w:pPr>
        <w:jc w:val="both"/>
      </w:pPr>
      <w:r>
        <w:t>Wybrano temat PZ.U11 „Testy akustyczne”. Zadanie polegało na porównaniu dwóch algorytmów: perceptronu wielowarstwowego oraz regresji liniowej.</w:t>
      </w:r>
    </w:p>
    <w:p w:rsidR="006C51F2" w:rsidRPr="00FF404C" w:rsidRDefault="00FF404C" w:rsidP="004E449A">
      <w:pPr>
        <w:pStyle w:val="Akapitzlist"/>
        <w:numPr>
          <w:ilvl w:val="0"/>
          <w:numId w:val="3"/>
        </w:numPr>
        <w:jc w:val="both"/>
        <w:rPr>
          <w:sz w:val="28"/>
        </w:rPr>
      </w:pPr>
      <w:r w:rsidRPr="00FF404C">
        <w:rPr>
          <w:sz w:val="28"/>
        </w:rPr>
        <w:t>DANE</w:t>
      </w:r>
    </w:p>
    <w:p w:rsidR="006C51F2" w:rsidRDefault="006C51F2" w:rsidP="004E449A">
      <w:pPr>
        <w:jc w:val="both"/>
        <w:rPr>
          <w:rStyle w:val="Normalny1"/>
        </w:rPr>
      </w:pPr>
      <w:r>
        <w:t xml:space="preserve">Dane wykorzystywane w projekcie pochodzą z wykonanych przez NASA testów akustycznych płatów nośnych przeprowadzonych w dźwiękoszczelnym tunelu aerodynamicznym. Są one dostępne na stronie </w:t>
      </w:r>
      <w:r w:rsidRPr="006C51F2">
        <w:rPr>
          <w:rStyle w:val="Normalny1"/>
        </w:rPr>
        <w:t xml:space="preserve">Center for Machine Learning and </w:t>
      </w:r>
      <w:proofErr w:type="spellStart"/>
      <w:r w:rsidRPr="006C51F2">
        <w:rPr>
          <w:rStyle w:val="Normalny1"/>
        </w:rPr>
        <w:t>Intelligent</w:t>
      </w:r>
      <w:proofErr w:type="spellEnd"/>
      <w:r w:rsidRPr="006C51F2">
        <w:rPr>
          <w:rStyle w:val="Normalny1"/>
        </w:rPr>
        <w:t xml:space="preserve"> Systems</w:t>
      </w:r>
      <w:r>
        <w:rPr>
          <w:rStyle w:val="Normalny1"/>
        </w:rPr>
        <w:t xml:space="preserve"> pod adresem:</w:t>
      </w:r>
    </w:p>
    <w:p w:rsidR="006C51F2" w:rsidRDefault="00E858B8" w:rsidP="004E449A">
      <w:pPr>
        <w:jc w:val="both"/>
      </w:pPr>
      <w:hyperlink r:id="rId6" w:history="1">
        <w:r w:rsidR="006C51F2" w:rsidRPr="00465CE8">
          <w:rPr>
            <w:rStyle w:val="Hipercze"/>
          </w:rPr>
          <w:t>https://archive.ics.uci.edu/ml/datasets/Airfoil+Self-Noise#</w:t>
        </w:r>
      </w:hyperlink>
    </w:p>
    <w:p w:rsidR="006C51F2" w:rsidRDefault="006C51F2" w:rsidP="004E449A">
      <w:pPr>
        <w:jc w:val="both"/>
      </w:pPr>
      <w:r>
        <w:t>Dane wejściowe stanowiły kolejno:</w:t>
      </w:r>
    </w:p>
    <w:p w:rsidR="006C51F2" w:rsidRDefault="006C51F2" w:rsidP="004E449A">
      <w:pPr>
        <w:pStyle w:val="Akapitzlist"/>
        <w:numPr>
          <w:ilvl w:val="0"/>
          <w:numId w:val="2"/>
        </w:numPr>
        <w:jc w:val="both"/>
      </w:pPr>
      <w:r>
        <w:t>Częstotliwość</w:t>
      </w:r>
      <w:r w:rsidR="00FF404C">
        <w:t xml:space="preserve"> [</w:t>
      </w:r>
      <w:proofErr w:type="spellStart"/>
      <w:r w:rsidR="00FF404C">
        <w:t>Hz</w:t>
      </w:r>
      <w:proofErr w:type="spellEnd"/>
      <w:r w:rsidR="00FF404C">
        <w:t>]</w:t>
      </w:r>
    </w:p>
    <w:p w:rsidR="006C51F2" w:rsidRDefault="006C51F2" w:rsidP="004E449A">
      <w:pPr>
        <w:pStyle w:val="Akapitzlist"/>
        <w:numPr>
          <w:ilvl w:val="0"/>
          <w:numId w:val="2"/>
        </w:numPr>
        <w:jc w:val="both"/>
      </w:pPr>
      <w:r>
        <w:t>Kąt natarcia</w:t>
      </w:r>
      <w:r w:rsidR="00FF404C">
        <w:t xml:space="preserve"> [</w:t>
      </w:r>
      <w:r w:rsidR="00FF404C" w:rsidRPr="00FF404C">
        <w:rPr>
          <w:vertAlign w:val="superscript"/>
        </w:rPr>
        <w:t>o</w:t>
      </w:r>
      <w:r w:rsidR="00FF404C">
        <w:t>]</w:t>
      </w:r>
    </w:p>
    <w:p w:rsidR="006C51F2" w:rsidRDefault="006C51F2" w:rsidP="004E449A">
      <w:pPr>
        <w:pStyle w:val="Akapitzlist"/>
        <w:numPr>
          <w:ilvl w:val="0"/>
          <w:numId w:val="2"/>
        </w:numPr>
        <w:jc w:val="both"/>
      </w:pPr>
      <w:r>
        <w:t>Długość cięciwy</w:t>
      </w:r>
      <w:r w:rsidR="00FF404C">
        <w:t xml:space="preserve"> [m]</w:t>
      </w:r>
    </w:p>
    <w:p w:rsidR="006C51F2" w:rsidRDefault="006C51F2" w:rsidP="004E449A">
      <w:pPr>
        <w:pStyle w:val="Akapitzlist"/>
        <w:numPr>
          <w:ilvl w:val="0"/>
          <w:numId w:val="2"/>
        </w:numPr>
        <w:jc w:val="both"/>
      </w:pPr>
      <w:r>
        <w:t xml:space="preserve">Prędkość strumienia powietrza </w:t>
      </w:r>
      <w:r w:rsidR="00FF404C">
        <w:t>[m/s]</w:t>
      </w:r>
    </w:p>
    <w:p w:rsidR="006C51F2" w:rsidRDefault="00FF404C" w:rsidP="004E449A">
      <w:pPr>
        <w:pStyle w:val="Akapitzlist"/>
        <w:numPr>
          <w:ilvl w:val="0"/>
          <w:numId w:val="2"/>
        </w:numPr>
        <w:jc w:val="both"/>
      </w:pPr>
      <w:r>
        <w:t>Grubość przesunięcia warstwy ssącej [m]</w:t>
      </w:r>
    </w:p>
    <w:p w:rsidR="00FF404C" w:rsidRDefault="00FF404C" w:rsidP="004E449A">
      <w:pPr>
        <w:jc w:val="both"/>
      </w:pPr>
      <w:r>
        <w:t>Wartościami wyjściowymi był poziom przeskalowanego ciśnienia dźwięku [</w:t>
      </w:r>
      <w:proofErr w:type="spellStart"/>
      <w:r>
        <w:t>dB</w:t>
      </w:r>
      <w:proofErr w:type="spellEnd"/>
      <w:r>
        <w:t>].</w:t>
      </w:r>
      <w:r w:rsidR="00724E87">
        <w:t xml:space="preserve"> Liczba pomiarów wyniosła 1503. Poniżej przedstawiono współczynniki korelacji d</w:t>
      </w:r>
      <w:r w:rsidR="00443EE3">
        <w:t>la poszczególnych danych oraz macierz wykresów zależności poszczególnych parametrów względem siebie.</w:t>
      </w:r>
    </w:p>
    <w:tbl>
      <w:tblPr>
        <w:tblW w:w="797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8"/>
        <w:gridCol w:w="1139"/>
        <w:gridCol w:w="1139"/>
        <w:gridCol w:w="1138"/>
        <w:gridCol w:w="1139"/>
        <w:gridCol w:w="1139"/>
        <w:gridCol w:w="1139"/>
      </w:tblGrid>
      <w:tr w:rsidR="00443EE3" w:rsidRPr="00443EE3" w:rsidTr="00443EE3">
        <w:trPr>
          <w:trHeight w:val="504"/>
          <w:jc w:val="center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fre</w:t>
            </w:r>
            <w:r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q</w:t>
            </w:r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uency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angle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length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velocity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thickness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jc w:val="center"/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pressure</w:t>
            </w:r>
            <w:proofErr w:type="spellEnd"/>
          </w:p>
        </w:tc>
      </w:tr>
      <w:tr w:rsidR="00443EE3" w:rsidRPr="00443EE3" w:rsidTr="00443EE3">
        <w:trPr>
          <w:trHeight w:val="288"/>
          <w:jc w:val="center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fre</w:t>
            </w:r>
            <w:r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q</w:t>
            </w:r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uency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1.000000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-0.272765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-0.003661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0.133664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-0.230107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-0.390711</w:t>
            </w:r>
          </w:p>
        </w:tc>
      </w:tr>
      <w:tr w:rsidR="00443EE3" w:rsidRPr="00443EE3" w:rsidTr="00443EE3">
        <w:trPr>
          <w:trHeight w:val="288"/>
          <w:jc w:val="center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angle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-0.272765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1.000000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-0.504868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0.058760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0.753394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-0.156108</w:t>
            </w:r>
          </w:p>
        </w:tc>
      </w:tr>
      <w:tr w:rsidR="00443EE3" w:rsidRPr="00443EE3" w:rsidTr="00443EE3">
        <w:trPr>
          <w:trHeight w:val="288"/>
          <w:jc w:val="center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length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-0.003661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-0.504868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1.000000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0.003787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-0.220842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-0.236162</w:t>
            </w:r>
          </w:p>
        </w:tc>
      </w:tr>
      <w:tr w:rsidR="00443EE3" w:rsidRPr="00443EE3" w:rsidTr="00443EE3">
        <w:trPr>
          <w:trHeight w:val="288"/>
          <w:jc w:val="center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velocity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0.133664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0.058760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0.003787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1.000000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-0.003974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0.125103</w:t>
            </w:r>
          </w:p>
        </w:tc>
      </w:tr>
      <w:tr w:rsidR="00443EE3" w:rsidRPr="00443EE3" w:rsidTr="00443EE3">
        <w:trPr>
          <w:trHeight w:val="288"/>
          <w:jc w:val="center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thickness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-0.230107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0.753394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-0.220842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-0.003974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1.000000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EEF3" w:fill="DAEEF3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-0.312670</w:t>
            </w:r>
          </w:p>
        </w:tc>
      </w:tr>
      <w:tr w:rsidR="00443EE3" w:rsidRPr="00443EE3" w:rsidTr="00443EE3">
        <w:trPr>
          <w:trHeight w:val="288"/>
          <w:jc w:val="center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</w:pPr>
            <w:proofErr w:type="spellStart"/>
            <w:r w:rsidRPr="00443EE3">
              <w:rPr>
                <w:rFonts w:ascii="Calibri" w:eastAsia="Times New Roman" w:hAnsi="Calibri" w:cs="Calibri"/>
                <w:b/>
                <w:bCs/>
                <w:color w:val="31869B"/>
                <w:lang w:eastAsia="pl-PL"/>
              </w:rPr>
              <w:t>pressure</w:t>
            </w:r>
            <w:proofErr w:type="spellEnd"/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-0.390711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-0.156108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-0.236162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0.125103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-0.312670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3EE3" w:rsidRPr="00443EE3" w:rsidRDefault="00443EE3" w:rsidP="004E449A">
            <w:pPr>
              <w:rPr>
                <w:rFonts w:ascii="Calibri" w:eastAsia="Times New Roman" w:hAnsi="Calibri" w:cs="Calibri"/>
                <w:color w:val="31869B"/>
                <w:lang w:eastAsia="pl-PL"/>
              </w:rPr>
            </w:pPr>
            <w:r w:rsidRPr="00443EE3">
              <w:rPr>
                <w:rFonts w:ascii="Calibri" w:eastAsia="Times New Roman" w:hAnsi="Calibri" w:cs="Calibri"/>
                <w:color w:val="31869B"/>
                <w:lang w:eastAsia="pl-PL"/>
              </w:rPr>
              <w:t>1.000000</w:t>
            </w:r>
          </w:p>
        </w:tc>
      </w:tr>
    </w:tbl>
    <w:p w:rsidR="00443EE3" w:rsidRDefault="00443EE3" w:rsidP="004E449A">
      <w:pPr>
        <w:jc w:val="both"/>
      </w:pPr>
    </w:p>
    <w:p w:rsidR="00724E87" w:rsidRDefault="00724E87" w:rsidP="004E449A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0CCA077" wp14:editId="1534BBE4">
            <wp:extent cx="5288280" cy="5167577"/>
            <wp:effectExtent l="0" t="0" r="7620" b="0"/>
            <wp:docPr id="1" name="Obraz 1" descr="D:\studia\Elektronika\PSZT\inde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Elektronika\PSZT\indek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1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E3" w:rsidRPr="00A038D9" w:rsidRDefault="00443EE3" w:rsidP="004E449A">
      <w:pPr>
        <w:jc w:val="both"/>
        <w:rPr>
          <w:sz w:val="28"/>
          <w:szCs w:val="28"/>
        </w:rPr>
      </w:pPr>
      <w:r>
        <w:t>Na podstawie tabeli zamieszczonej powyżej można zauważyć, że dużą korelacją dodatnią charakteryzują się wyłącznie kąt natarcia oraz grubość przesunięcia warstwy ssącej. Z kolei niemała korelacja ujemna jest obserwowana pomiędzy długością cięciwy i kątem natarcia. Pozostałe parametry wydają się być niezależne liniowo.</w:t>
      </w:r>
      <w:r w:rsidR="00196C98">
        <w:t xml:space="preserve"> Na podstawie wykresów można ocenić, że duża część z nich przyjmuje wartości dyskretne, a więc w czasie eksperymentu zmieniały się one skokowo.</w:t>
      </w:r>
    </w:p>
    <w:p w:rsidR="00196C98" w:rsidRPr="00A038D9" w:rsidRDefault="00A038D9" w:rsidP="004E449A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REALIZACJA</w:t>
      </w:r>
      <w:r w:rsidR="00AF2B2F">
        <w:rPr>
          <w:sz w:val="28"/>
          <w:szCs w:val="28"/>
        </w:rPr>
        <w:t xml:space="preserve"> PROJEKTU</w:t>
      </w:r>
    </w:p>
    <w:p w:rsidR="00A038D9" w:rsidRDefault="00A038D9" w:rsidP="004E449A">
      <w:pPr>
        <w:jc w:val="both"/>
      </w:pPr>
      <w:r>
        <w:t xml:space="preserve">Projekt napisano w </w:t>
      </w:r>
      <w:proofErr w:type="spellStart"/>
      <w:r>
        <w:t>pythonie</w:t>
      </w:r>
      <w:proofErr w:type="spellEnd"/>
      <w:r>
        <w:t xml:space="preserve">, co pozwoliło na wykorzystanie bibliotek </w:t>
      </w:r>
      <w:proofErr w:type="spellStart"/>
      <w:r w:rsidRPr="00A038D9">
        <w:t>pandas</w:t>
      </w:r>
      <w:proofErr w:type="spellEnd"/>
      <w:r>
        <w:t xml:space="preserve">, </w:t>
      </w:r>
      <w:proofErr w:type="spellStart"/>
      <w:r w:rsidRPr="00A038D9">
        <w:t>sklearn</w:t>
      </w:r>
      <w:proofErr w:type="spellEnd"/>
      <w:r>
        <w:t xml:space="preserve">, </w:t>
      </w:r>
      <w:proofErr w:type="spellStart"/>
      <w:r w:rsidRPr="00A038D9">
        <w:t>numpy</w:t>
      </w:r>
      <w:proofErr w:type="spellEnd"/>
      <w:r>
        <w:t xml:space="preserve"> oraz </w:t>
      </w:r>
      <w:proofErr w:type="spellStart"/>
      <w:r w:rsidRPr="00A038D9">
        <w:t>scipy</w:t>
      </w:r>
      <w:proofErr w:type="spellEnd"/>
      <w:r>
        <w:t xml:space="preserve"> dostarczających implementacji wszystkich potrzebnych funkcji i algorytmów. </w:t>
      </w:r>
    </w:p>
    <w:p w:rsidR="00A038D9" w:rsidRDefault="00A038D9" w:rsidP="004E449A">
      <w:pPr>
        <w:jc w:val="both"/>
      </w:pPr>
      <w:r>
        <w:t>Zbiór danych podzielono losowo na część treningową i testową w proporcji 4:1. Następnie wypróbowano skuteczność algorytmów wymienionych w treści zadania dla domyślnych parametrów</w:t>
      </w:r>
      <w:r w:rsidR="00AF2B2F">
        <w:t xml:space="preserve"> oraz porównano ją z wynikami otrzymanymi dla lasu losowego i regresji liniowej połąc</w:t>
      </w:r>
      <w:r w:rsidR="00CE3172">
        <w:t xml:space="preserve">zonej z </w:t>
      </w:r>
      <w:proofErr w:type="spellStart"/>
      <w:r w:rsidR="00CE3172">
        <w:t>regularyzacją</w:t>
      </w:r>
      <w:proofErr w:type="spellEnd"/>
      <w:r w:rsidR="00CE3172">
        <w:t xml:space="preserve"> (zarówno L1 i L</w:t>
      </w:r>
      <w:r w:rsidR="00AF2B2F">
        <w:t>2)</w:t>
      </w:r>
      <w:r>
        <w:t xml:space="preserve">. </w:t>
      </w:r>
      <w:r w:rsidR="00AF2B2F">
        <w:t xml:space="preserve">To samo powtórzono dla znormalizowanych danych wejściowych. Na końcu wykorzystano metodę </w:t>
      </w:r>
      <w:proofErr w:type="spellStart"/>
      <w:r w:rsidR="00AF2B2F">
        <w:t>kroswalidacji</w:t>
      </w:r>
      <w:proofErr w:type="spellEnd"/>
      <w:r w:rsidR="00AF2B2F">
        <w:t xml:space="preserve"> i przeszukiwania losowego dla dokładniejszej eksploracji możliwości regresji liniowej z </w:t>
      </w:r>
      <w:proofErr w:type="spellStart"/>
      <w:r w:rsidR="00AF2B2F">
        <w:t>regularyzacją</w:t>
      </w:r>
      <w:proofErr w:type="spellEnd"/>
      <w:r w:rsidR="00AF2B2F">
        <w:t xml:space="preserve"> oraz perceptronu wielowarstwowego w zależności od zmieniających się parametrów algorytmów.</w:t>
      </w:r>
    </w:p>
    <w:p w:rsidR="00AE231D" w:rsidRDefault="00AE231D" w:rsidP="004E449A">
      <w:pPr>
        <w:jc w:val="both"/>
      </w:pPr>
      <w:r>
        <w:t>Jako miarę dopasowania przyjęto współczynnik R</w:t>
      </w:r>
      <w:r w:rsidRPr="00AE231D">
        <w:rPr>
          <w:vertAlign w:val="superscript"/>
        </w:rPr>
        <w:t>2</w:t>
      </w:r>
      <w:r>
        <w:t>.</w:t>
      </w:r>
    </w:p>
    <w:p w:rsidR="00FB4F2B" w:rsidRPr="00FB4F2B" w:rsidRDefault="00FB4F2B" w:rsidP="004E449A">
      <w:pPr>
        <w:pStyle w:val="Akapitzlist"/>
        <w:numPr>
          <w:ilvl w:val="0"/>
          <w:numId w:val="3"/>
        </w:numPr>
        <w:jc w:val="both"/>
        <w:rPr>
          <w:sz w:val="28"/>
        </w:rPr>
      </w:pPr>
      <w:r w:rsidRPr="00FB4F2B">
        <w:rPr>
          <w:sz w:val="28"/>
        </w:rPr>
        <w:t>WYNIKI</w:t>
      </w:r>
    </w:p>
    <w:p w:rsidR="00AF2B2F" w:rsidRDefault="00FB4F2B" w:rsidP="004E449A">
      <w:pPr>
        <w:jc w:val="both"/>
      </w:pPr>
      <w:r>
        <w:t xml:space="preserve">Obserwacje wskazują, że dla niemodyfikowanych danych i domyślnych parametrów regresja liniowa </w:t>
      </w:r>
      <w:r w:rsidR="00AE231D">
        <w:t>zapewnia</w:t>
      </w:r>
      <w:r>
        <w:t xml:space="preserve"> wyraźnie lepsze </w:t>
      </w:r>
      <w:r w:rsidR="00AE231D">
        <w:t>dopasowanie (R</w:t>
      </w:r>
      <w:r w:rsidR="00AE231D" w:rsidRPr="00AE231D">
        <w:rPr>
          <w:vertAlign w:val="superscript"/>
        </w:rPr>
        <w:t>2</w:t>
      </w:r>
      <w:r w:rsidR="00AE231D">
        <w:rPr>
          <w:rFonts w:cstheme="minorHAnsi"/>
        </w:rPr>
        <w:t>≈</w:t>
      </w:r>
      <w:r w:rsidR="00AE231D">
        <w:t xml:space="preserve">0,5) </w:t>
      </w:r>
      <w:r>
        <w:t>niż perceptron</w:t>
      </w:r>
      <w:r w:rsidR="00AE231D">
        <w:t xml:space="preserve"> wielowarstwowy</w:t>
      </w:r>
      <w:r w:rsidR="00F556C5">
        <w:t xml:space="preserve"> (R</w:t>
      </w:r>
      <w:r w:rsidR="00F556C5" w:rsidRPr="00AE231D">
        <w:rPr>
          <w:vertAlign w:val="superscript"/>
        </w:rPr>
        <w:t>2</w:t>
      </w:r>
      <w:r w:rsidR="00F556C5">
        <w:rPr>
          <w:rFonts w:cstheme="minorHAnsi"/>
        </w:rPr>
        <w:t>&lt;</w:t>
      </w:r>
      <w:r w:rsidR="00F556C5">
        <w:t>0)</w:t>
      </w:r>
      <w:r>
        <w:t>.</w:t>
      </w:r>
      <w:r w:rsidR="00CE3172">
        <w:t xml:space="preserve"> </w:t>
      </w:r>
      <w:proofErr w:type="spellStart"/>
      <w:r w:rsidR="00CE3172">
        <w:t>Regularyzacja</w:t>
      </w:r>
      <w:proofErr w:type="spellEnd"/>
      <w:r w:rsidR="00CE3172">
        <w:t xml:space="preserve"> L</w:t>
      </w:r>
      <w:r w:rsidR="00AE231D">
        <w:t xml:space="preserve">1 w przypadku regresji </w:t>
      </w:r>
      <w:r w:rsidR="00AE231D">
        <w:lastRenderedPageBreak/>
        <w:t>liniowej ma negatywny wpływ na wyniki</w:t>
      </w:r>
      <w:r w:rsidR="00F556C5">
        <w:t xml:space="preserve"> (R</w:t>
      </w:r>
      <w:r w:rsidR="00F556C5" w:rsidRPr="00AE231D">
        <w:rPr>
          <w:vertAlign w:val="superscript"/>
        </w:rPr>
        <w:t>2</w:t>
      </w:r>
      <w:r w:rsidR="00F556C5">
        <w:rPr>
          <w:rFonts w:cstheme="minorHAnsi"/>
        </w:rPr>
        <w:t>≈</w:t>
      </w:r>
      <w:r w:rsidR="00F556C5">
        <w:t>0,2)</w:t>
      </w:r>
      <w:r w:rsidR="00AE231D">
        <w:t>. Najlepszym dopasowaniem w takiej sytuacji charakteryzuje się algorytm lasu losowego</w:t>
      </w:r>
      <w:r w:rsidR="00F556C5">
        <w:t xml:space="preserve"> (R</w:t>
      </w:r>
      <w:r w:rsidR="00F556C5" w:rsidRPr="00AE231D">
        <w:rPr>
          <w:vertAlign w:val="superscript"/>
        </w:rPr>
        <w:t>2</w:t>
      </w:r>
      <w:r w:rsidR="00F556C5">
        <w:rPr>
          <w:rFonts w:cstheme="minorHAnsi"/>
        </w:rPr>
        <w:t>≈</w:t>
      </w:r>
      <w:r w:rsidR="00F556C5">
        <w:t>0,9)</w:t>
      </w:r>
      <w:r w:rsidR="00AE231D">
        <w:t xml:space="preserve">. </w:t>
      </w:r>
      <w:r w:rsidR="00BD357C">
        <w:t>Trzeba jednak zaznaczyć, że</w:t>
      </w:r>
      <w:r w:rsidR="00AE231D">
        <w:t xml:space="preserve"> dokładne wartości końcowe zależą m.in. od </w:t>
      </w:r>
      <w:r w:rsidR="00BD357C">
        <w:t>przypadkowego</w:t>
      </w:r>
      <w:r w:rsidR="00AE231D">
        <w:t xml:space="preserve"> podziału zbioru próbek na zbiory treningowy i testowy. </w:t>
      </w:r>
    </w:p>
    <w:p w:rsidR="00F556C5" w:rsidRDefault="00F556C5" w:rsidP="004E449A">
      <w:pPr>
        <w:jc w:val="both"/>
      </w:pPr>
      <w:r>
        <w:t>Po znormalizowaniu danych sprawdzono wpływ tej operacji na otrzymywane wyniki. W przypadku regresji liniowej nie miało to wpływu na wartość R</w:t>
      </w:r>
      <w:r w:rsidRPr="00AE231D">
        <w:rPr>
          <w:vertAlign w:val="superscript"/>
        </w:rPr>
        <w:t>2</w:t>
      </w:r>
      <w:r>
        <w:t xml:space="preserve">. Pogorszeniu jednak uległo dopasowanie dla regresji uwzględniającej </w:t>
      </w:r>
      <w:proofErr w:type="spellStart"/>
      <w:r>
        <w:t>regularyzację</w:t>
      </w:r>
      <w:proofErr w:type="spellEnd"/>
      <w:r>
        <w:t xml:space="preserve"> (R</w:t>
      </w:r>
      <w:r w:rsidRPr="00AE231D">
        <w:rPr>
          <w:vertAlign w:val="superscript"/>
        </w:rPr>
        <w:t>2</w:t>
      </w:r>
      <w:r>
        <w:rPr>
          <w:rFonts w:cstheme="minorHAnsi"/>
        </w:rPr>
        <w:t>≈</w:t>
      </w:r>
      <w:r>
        <w:t xml:space="preserve">0,0). </w:t>
      </w:r>
      <w:r w:rsidR="00947C75">
        <w:t>Zauważalnej poprawie uległy wyniki otrzymywane na wyjściu perceptronu wielowarstwowego (R</w:t>
      </w:r>
      <w:r w:rsidR="00947C75" w:rsidRPr="00AE231D">
        <w:rPr>
          <w:vertAlign w:val="superscript"/>
        </w:rPr>
        <w:t>2</w:t>
      </w:r>
      <w:r w:rsidR="00947C75">
        <w:rPr>
          <w:rFonts w:cstheme="minorHAnsi"/>
        </w:rPr>
        <w:t>≈</w:t>
      </w:r>
      <w:r w:rsidR="00947C75">
        <w:t>0,7</w:t>
      </w:r>
      <w:r w:rsidR="00B8054A">
        <w:t>5</w:t>
      </w:r>
      <w:r w:rsidR="00947C75">
        <w:t>). Charakteryzują się one jednak dużymi wahaniami wartości przy ponownym uruchomieniu algorytmu w zależności od zainicjalizowanych współczynników początkowych sieci</w:t>
      </w:r>
      <w:r w:rsidR="00BD357C">
        <w:t xml:space="preserve"> i jest to naturalnym zachowaniem tego modelu</w:t>
      </w:r>
      <w:r w:rsidR="00947C75">
        <w:t xml:space="preserve">. </w:t>
      </w:r>
    </w:p>
    <w:p w:rsidR="00947C75" w:rsidRDefault="00947C75" w:rsidP="004E449A">
      <w:pPr>
        <w:jc w:val="both"/>
      </w:pPr>
      <w:r>
        <w:t xml:space="preserve">W dalszej części projektu </w:t>
      </w:r>
      <w:r w:rsidR="00EB7CB2">
        <w:t>z</w:t>
      </w:r>
      <w:r w:rsidR="00EB7CB2">
        <w:t>astosowano metodę</w:t>
      </w:r>
      <w:r>
        <w:t xml:space="preserve"> </w:t>
      </w:r>
      <w:proofErr w:type="spellStart"/>
      <w:r>
        <w:t>kroswalidacji</w:t>
      </w:r>
      <w:proofErr w:type="spellEnd"/>
      <w:r w:rsidR="00EB7CB2">
        <w:t xml:space="preserve"> oraz </w:t>
      </w:r>
      <w:r w:rsidR="00EB7CB2">
        <w:t>przeszukiwania losowego w celu</w:t>
      </w:r>
      <w:r>
        <w:t xml:space="preserve"> </w:t>
      </w:r>
      <w:r w:rsidR="00EB7CB2">
        <w:t xml:space="preserve">dokładnego dopasowania </w:t>
      </w:r>
      <w:proofErr w:type="spellStart"/>
      <w:r w:rsidR="00EB7CB2">
        <w:t>hiperparametrów</w:t>
      </w:r>
      <w:proofErr w:type="spellEnd"/>
      <w:r w:rsidR="00777395">
        <w:t>. Zdec</w:t>
      </w:r>
      <w:r w:rsidR="00BD357C">
        <w:t xml:space="preserve">ydowano się na przetestowanie </w:t>
      </w:r>
      <w:r w:rsidR="00777395">
        <w:t xml:space="preserve">regresji liniowej z </w:t>
      </w:r>
      <w:proofErr w:type="spellStart"/>
      <w:r w:rsidR="00777395">
        <w:t>regularyzacją</w:t>
      </w:r>
      <w:proofErr w:type="spellEnd"/>
      <w:r w:rsidR="00BD357C">
        <w:t xml:space="preserve"> (zamiast wersji klasycznej)</w:t>
      </w:r>
      <w:r w:rsidR="00777395">
        <w:t>, ponieważ daje to możliwość zmiany większej liczby elementów wejściowych.</w:t>
      </w:r>
    </w:p>
    <w:p w:rsidR="00777395" w:rsidRDefault="00777395" w:rsidP="004E449A">
      <w:pPr>
        <w:jc w:val="both"/>
      </w:pPr>
      <w:r>
        <w:t xml:space="preserve">Pod wpływem zastosowanych metod udało się otrzymać modele MLP, spośród których najlepszy </w:t>
      </w:r>
      <w:r w:rsidR="00F831C7">
        <w:t>osiągnął średni</w:t>
      </w:r>
      <w:r>
        <w:t xml:space="preserve"> wynik R</w:t>
      </w:r>
      <w:r w:rsidRPr="00AE231D">
        <w:rPr>
          <w:vertAlign w:val="superscript"/>
        </w:rPr>
        <w:t>2</w:t>
      </w:r>
      <w:r>
        <w:rPr>
          <w:rFonts w:cstheme="minorHAnsi"/>
        </w:rPr>
        <w:t xml:space="preserve"> ok. </w:t>
      </w:r>
      <w:r>
        <w:t>0,9. Finalna uzyskana wartość</w:t>
      </w:r>
      <w:r w:rsidR="00F831C7">
        <w:t xml:space="preserve"> na danych testowych</w:t>
      </w:r>
      <w:r>
        <w:t xml:space="preserve"> była jednak porównywalna do otrzymane</w:t>
      </w:r>
      <w:r w:rsidR="00BD357C">
        <w:t>j</w:t>
      </w:r>
      <w:r>
        <w:t xml:space="preserve"> </w:t>
      </w:r>
      <w:r w:rsidR="00BD357C">
        <w:t>poprzednio (R</w:t>
      </w:r>
      <w:r w:rsidR="00BD357C" w:rsidRPr="00AE231D">
        <w:rPr>
          <w:vertAlign w:val="superscript"/>
        </w:rPr>
        <w:t>2</w:t>
      </w:r>
      <w:r w:rsidR="00BD357C">
        <w:rPr>
          <w:rFonts w:cstheme="minorHAnsi"/>
        </w:rPr>
        <w:t>≈</w:t>
      </w:r>
      <w:r w:rsidR="00F831C7">
        <w:t>0,8</w:t>
      </w:r>
      <w:r w:rsidR="00BD357C">
        <w:t>)</w:t>
      </w:r>
      <w:r>
        <w:t xml:space="preserve">. </w:t>
      </w:r>
      <w:r w:rsidR="00BD357C">
        <w:t xml:space="preserve">Z kolei udało się poprawić dopasowanie modelu regresji liniowej z </w:t>
      </w:r>
      <w:proofErr w:type="spellStart"/>
      <w:r w:rsidR="00BD357C">
        <w:t>regularyzacją</w:t>
      </w:r>
      <w:proofErr w:type="spellEnd"/>
      <w:r w:rsidR="00BD357C">
        <w:t xml:space="preserve"> i ponownie osiągnąć wartość R</w:t>
      </w:r>
      <w:r w:rsidR="00BD357C" w:rsidRPr="00AE231D">
        <w:rPr>
          <w:vertAlign w:val="superscript"/>
        </w:rPr>
        <w:t>2</w:t>
      </w:r>
      <w:r w:rsidR="00BD357C">
        <w:t xml:space="preserve"> porównywalną do początkowej (R</w:t>
      </w:r>
      <w:r w:rsidR="00BD357C" w:rsidRPr="00AE231D">
        <w:rPr>
          <w:vertAlign w:val="superscript"/>
        </w:rPr>
        <w:t>2</w:t>
      </w:r>
      <w:r w:rsidR="00BD357C">
        <w:rPr>
          <w:rFonts w:cstheme="minorHAnsi"/>
        </w:rPr>
        <w:t>≈</w:t>
      </w:r>
      <w:r w:rsidR="00BD357C">
        <w:t>0,2).</w:t>
      </w:r>
    </w:p>
    <w:p w:rsidR="00093009" w:rsidRDefault="00E858B8" w:rsidP="004E449A">
      <w:pPr>
        <w:jc w:val="both"/>
      </w:pPr>
      <w:r>
        <w:t>Poniżej umieszczono przykładowy wykres porównujący otrzymane współczynniki R^2 po jednym wykonaniu każdego z wyżej wymienionych wariantów. Pominięto jedynie wynik otrzymany dla MLP bez normalizacji aby zachować przejrzystość ilustracji (duża wartość bezwzględna).</w:t>
      </w:r>
    </w:p>
    <w:p w:rsidR="00E858B8" w:rsidRDefault="00E858B8" w:rsidP="00E858B8">
      <w:pPr>
        <w:jc w:val="center"/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6645910" cy="2704306"/>
            <wp:effectExtent l="0" t="0" r="2540" b="1270"/>
            <wp:docPr id="2" name="Obraz 2" descr="D:\studia\Elektronika\PSZT\indek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Elektronika\PSZT\indek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5A32" w:rsidRPr="00EF5A32" w:rsidRDefault="00EF5A32" w:rsidP="00EF5A32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 w:rsidRPr="00EF5A32">
        <w:rPr>
          <w:sz w:val="28"/>
          <w:szCs w:val="28"/>
        </w:rPr>
        <w:t>WNIOSKI</w:t>
      </w:r>
    </w:p>
    <w:p w:rsidR="00EF5A32" w:rsidRDefault="00EF5A32" w:rsidP="004E449A">
      <w:pPr>
        <w:jc w:val="both"/>
      </w:pPr>
      <w:r>
        <w:t xml:space="preserve">Perceptron wielowarstwowy jest skutecznym narzędziem estymującym skomplikowane zjawiska, jednak jego użyteczność jest w bardzo dużym stopniu uzależniona od odpowiedniego doboru parametrów wejściowych. Warto więc poświęcić czas na ich optymalizację. Szczególnie duże znaczenie miała w tym przypadku normalizacja danych wejściowych. Nie miała ona jednak wpływu na skuteczność dopasowania modelu regresji liniowej. Wykazano </w:t>
      </w:r>
      <w:r w:rsidR="001D1485">
        <w:t>też</w:t>
      </w:r>
      <w:r>
        <w:t xml:space="preserve">, że nie zawsze </w:t>
      </w:r>
      <w:proofErr w:type="spellStart"/>
      <w:r>
        <w:t>regularyzacja</w:t>
      </w:r>
      <w:proofErr w:type="spellEnd"/>
      <w:r>
        <w:t xml:space="preserve"> pozytywnie wpływa</w:t>
      </w:r>
      <w:r w:rsidR="001D1485">
        <w:t xml:space="preserve"> na otrzymywane wyniki. Należy również zaznaczyć, że w celu otrzymania jak najlepiej dopasowanego modelu warto wypróbować dodatkowo inne algorytmy, jak np. las losowy, który w tej sytuacji okazał się najtrafniej przybliżać przedstawiony problem.</w:t>
      </w:r>
    </w:p>
    <w:p w:rsidR="001D1485" w:rsidRPr="00F556C5" w:rsidRDefault="001D1485" w:rsidP="004E449A">
      <w:pPr>
        <w:jc w:val="both"/>
      </w:pPr>
      <w:r>
        <w:t>W przypadku tego konkretnego zastosowania spośród dwóch algorytmów wymienionych w temacie projektu lepszy okazał się perceptron wielowarstwowy.</w:t>
      </w:r>
    </w:p>
    <w:sectPr w:rsidR="001D1485" w:rsidRPr="00F556C5" w:rsidSect="00093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D07AA"/>
    <w:multiLevelType w:val="hybridMultilevel"/>
    <w:tmpl w:val="E4B46A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36F27"/>
    <w:multiLevelType w:val="hybridMultilevel"/>
    <w:tmpl w:val="6C0681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F2D91"/>
    <w:multiLevelType w:val="hybridMultilevel"/>
    <w:tmpl w:val="125EE5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F2"/>
    <w:rsid w:val="00093009"/>
    <w:rsid w:val="00196C98"/>
    <w:rsid w:val="001D1485"/>
    <w:rsid w:val="001E1C3D"/>
    <w:rsid w:val="00443EE3"/>
    <w:rsid w:val="004E449A"/>
    <w:rsid w:val="006C51F2"/>
    <w:rsid w:val="00724E87"/>
    <w:rsid w:val="00777395"/>
    <w:rsid w:val="00947C75"/>
    <w:rsid w:val="00A038D9"/>
    <w:rsid w:val="00AE231D"/>
    <w:rsid w:val="00AF2B2F"/>
    <w:rsid w:val="00B8054A"/>
    <w:rsid w:val="00BD357C"/>
    <w:rsid w:val="00BE6C92"/>
    <w:rsid w:val="00CE3172"/>
    <w:rsid w:val="00E858B8"/>
    <w:rsid w:val="00EB7CB2"/>
    <w:rsid w:val="00EF5A32"/>
    <w:rsid w:val="00F32D72"/>
    <w:rsid w:val="00F556C5"/>
    <w:rsid w:val="00F831C7"/>
    <w:rsid w:val="00FB4F2B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ny1">
    <w:name w:val="Normalny1"/>
    <w:basedOn w:val="Domylnaczcionkaakapitu"/>
    <w:rsid w:val="006C51F2"/>
  </w:style>
  <w:style w:type="character" w:styleId="Hipercze">
    <w:name w:val="Hyperlink"/>
    <w:basedOn w:val="Domylnaczcionkaakapitu"/>
    <w:uiPriority w:val="99"/>
    <w:unhideWhenUsed/>
    <w:rsid w:val="006C51F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FF404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2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4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ny1">
    <w:name w:val="Normalny1"/>
    <w:basedOn w:val="Domylnaczcionkaakapitu"/>
    <w:rsid w:val="006C51F2"/>
  </w:style>
  <w:style w:type="character" w:styleId="Hipercze">
    <w:name w:val="Hyperlink"/>
    <w:basedOn w:val="Domylnaczcionkaakapitu"/>
    <w:uiPriority w:val="99"/>
    <w:unhideWhenUsed/>
    <w:rsid w:val="006C51F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FF404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2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4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irfoil+Self-Noi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810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7</cp:revision>
  <dcterms:created xsi:type="dcterms:W3CDTF">2020-01-26T21:06:00Z</dcterms:created>
  <dcterms:modified xsi:type="dcterms:W3CDTF">2020-01-27T18:43:00Z</dcterms:modified>
</cp:coreProperties>
</file>