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7503" w14:textId="4C023230" w:rsidR="00B31BD7" w:rsidRDefault="00E572B1">
      <w:r>
        <w:t xml:space="preserve">This brief document provides key information about </w:t>
      </w:r>
      <w:r w:rsidR="00A81072">
        <w:t>‘c</w:t>
      </w:r>
      <w:r w:rsidR="00AB1108">
        <w:t xml:space="preserve">onstruction’ and suggested application of the air pollutant emission factors </w:t>
      </w:r>
      <w:proofErr w:type="gramStart"/>
      <w:r w:rsidR="00AB1108">
        <w:t>sets</w:t>
      </w:r>
      <w:proofErr w:type="gramEnd"/>
      <w:r w:rsidR="00AB1108">
        <w:t xml:space="preserve"> for</w:t>
      </w:r>
      <w:r w:rsidR="00A81072">
        <w:t xml:space="preserve"> SSP </w:t>
      </w:r>
      <w:proofErr w:type="spellStart"/>
      <w:r w:rsidR="00A81072">
        <w:t>sccenarios</w:t>
      </w:r>
      <w:proofErr w:type="spellEnd"/>
      <w:r w:rsidR="00A81072">
        <w:t xml:space="preserve"> produced by IAMs. We have tried to simplify the </w:t>
      </w:r>
      <w:r w:rsidR="00F9413C">
        <w:t xml:space="preserve">air pollution </w:t>
      </w:r>
      <w:r w:rsidR="00800C63">
        <w:t>storylines</w:t>
      </w:r>
      <w:r w:rsidR="00F9413C">
        <w:t xml:space="preserve"> a bit compared with Rao et al (2017) used for AR6 scenarios.</w:t>
      </w:r>
      <w:r w:rsidR="00B00F7B">
        <w:t xml:space="preserve"> Contrary to the previous set </w:t>
      </w:r>
      <w:proofErr w:type="gramStart"/>
      <w:r w:rsidR="00B00F7B">
        <w:t>from</w:t>
      </w:r>
      <w:proofErr w:type="gramEnd"/>
      <w:r w:rsidR="00B00F7B">
        <w:t xml:space="preserve"> 2017, t</w:t>
      </w:r>
      <w:r w:rsidR="00252BB6">
        <w:t xml:space="preserve">he three datasets with </w:t>
      </w:r>
      <w:r w:rsidR="00B31BD7">
        <w:t xml:space="preserve">air pollutant emission factors can be directly </w:t>
      </w:r>
      <w:r w:rsidR="00B00F7B">
        <w:t xml:space="preserve">used for the </w:t>
      </w:r>
      <w:proofErr w:type="gramStart"/>
      <w:r w:rsidR="00B00F7B">
        <w:t>whole time</w:t>
      </w:r>
      <w:proofErr w:type="gramEnd"/>
      <w:r w:rsidR="00B00F7B">
        <w:t xml:space="preserve"> horizon for </w:t>
      </w:r>
      <w:r w:rsidR="00800C63">
        <w:t>supported sectors and regions</w:t>
      </w:r>
      <w:r w:rsidR="009C1AFA">
        <w:t xml:space="preserve">. </w:t>
      </w:r>
      <w:proofErr w:type="gramStart"/>
      <w:r w:rsidR="009C1AFA">
        <w:t>Of course</w:t>
      </w:r>
      <w:proofErr w:type="gramEnd"/>
      <w:r w:rsidR="009C1AFA">
        <w:t xml:space="preserve"> the users can also combine the sets and develop </w:t>
      </w:r>
      <w:r w:rsidR="007B177C">
        <w:t xml:space="preserve">modified storylines if needed – can be discussed and finetuned if needed. </w:t>
      </w:r>
      <w:r w:rsidR="00531D1F">
        <w:t xml:space="preserve">The three datasets include </w:t>
      </w:r>
    </w:p>
    <w:p w14:paraId="06A1AB17" w14:textId="7BA7FC1D" w:rsidR="00531D1F" w:rsidRDefault="00531D1F" w:rsidP="00531D1F">
      <w:pPr>
        <w:pStyle w:val="ListParagraph"/>
        <w:numPr>
          <w:ilvl w:val="0"/>
          <w:numId w:val="1"/>
        </w:numPr>
      </w:pPr>
      <w:r>
        <w:t xml:space="preserve">Baseline SSPs and these can be used </w:t>
      </w:r>
      <w:proofErr w:type="spellStart"/>
      <w:proofErr w:type="gramStart"/>
      <w:r>
        <w:t>forrespective</w:t>
      </w:r>
      <w:proofErr w:type="spellEnd"/>
      <w:proofErr w:type="gramEnd"/>
      <w:r>
        <w:t xml:space="preserve"> </w:t>
      </w:r>
      <w:proofErr w:type="spellStart"/>
      <w:r>
        <w:t>SSPx</w:t>
      </w:r>
      <w:proofErr w:type="spellEnd"/>
      <w:r w:rsidR="000900DC">
        <w:t xml:space="preserve"> for high and medium (see Table 1)</w:t>
      </w:r>
    </w:p>
    <w:p w14:paraId="2112B408" w14:textId="7C270610" w:rsidR="000900DC" w:rsidRDefault="000900DC" w:rsidP="00531D1F">
      <w:pPr>
        <w:pStyle w:val="ListParagraph"/>
        <w:numPr>
          <w:ilvl w:val="0"/>
          <w:numId w:val="1"/>
        </w:numPr>
      </w:pPr>
      <w:r>
        <w:t>The SLE set can be used for selec</w:t>
      </w:r>
      <w:r w:rsidR="00613F54">
        <w:t>t</w:t>
      </w:r>
      <w:r>
        <w:t xml:space="preserve">ed </w:t>
      </w:r>
      <w:r w:rsidR="00613F54">
        <w:t>variants (see Table 2)</w:t>
      </w:r>
    </w:p>
    <w:p w14:paraId="3491D779" w14:textId="58F53B7D" w:rsidR="00613F54" w:rsidRDefault="00613F54" w:rsidP="00531D1F">
      <w:pPr>
        <w:pStyle w:val="ListParagraph"/>
        <w:numPr>
          <w:ilvl w:val="0"/>
          <w:numId w:val="1"/>
        </w:numPr>
      </w:pPr>
      <w:r>
        <w:t>The MTFR set can be used for selected variants (see Table 2)</w:t>
      </w:r>
    </w:p>
    <w:p w14:paraId="68CCC6C2" w14:textId="02238E65" w:rsidR="001C57E9" w:rsidRDefault="00252BB6">
      <w:r>
        <w:t xml:space="preserve"> </w:t>
      </w:r>
    </w:p>
    <w:p w14:paraId="41626DBC" w14:textId="54B442E7" w:rsidR="00A43ABF" w:rsidRDefault="00A43ABF">
      <w:r>
        <w:t xml:space="preserve">Here </w:t>
      </w:r>
      <w:proofErr w:type="gramStart"/>
      <w:r>
        <w:t>further</w:t>
      </w:r>
      <w:proofErr w:type="gramEnd"/>
      <w:r>
        <w:t xml:space="preserve"> details and some background:</w:t>
      </w:r>
    </w:p>
    <w:p w14:paraId="734B0FDB" w14:textId="4432B815" w:rsidR="007240B5" w:rsidRDefault="00BD57A2">
      <w:r>
        <w:t xml:space="preserve">Table </w:t>
      </w:r>
      <w:r w:rsidR="007255C8">
        <w:t>1</w:t>
      </w:r>
      <w:r>
        <w:t xml:space="preserve"> provides </w:t>
      </w:r>
      <w:r w:rsidR="00006333">
        <w:t xml:space="preserve">simplified overview of </w:t>
      </w:r>
      <w:r>
        <w:t>assumptions used in calculation of emission factors</w:t>
      </w:r>
      <w:r w:rsidR="001C16A4">
        <w:t xml:space="preserve"> </w:t>
      </w:r>
      <w:r w:rsidR="00E2235E">
        <w:t>(EFs)</w:t>
      </w:r>
      <w:r>
        <w:t xml:space="preserve"> for the baseline scenario across SSPs</w:t>
      </w:r>
      <w:r w:rsidR="001C16A4">
        <w:t>.</w:t>
      </w:r>
      <w:r>
        <w:t xml:space="preserve"> </w:t>
      </w:r>
      <w:r w:rsidR="001C16A4">
        <w:t>T</w:t>
      </w:r>
      <w:r>
        <w:t>he government capacity index</w:t>
      </w:r>
      <w:r w:rsidR="00AA2E3D">
        <w:t xml:space="preserve"> (GCI)</w:t>
      </w:r>
      <w:r>
        <w:t xml:space="preserve"> is used as a multiplier and so the CLE emission factors </w:t>
      </w:r>
      <w:r w:rsidR="00AA2E3D">
        <w:t xml:space="preserve">calculated in GAINS, </w:t>
      </w:r>
      <w:r>
        <w:t xml:space="preserve">which are year specific </w:t>
      </w:r>
      <w:r w:rsidR="00AA2E3D">
        <w:t>(provided in 5</w:t>
      </w:r>
      <w:r w:rsidR="00F618C8">
        <w:t>-</w:t>
      </w:r>
      <w:r w:rsidR="00AA2E3D">
        <w:t>year steps until 2050), are multiplied by the country, year and SSP specific GCI to produce the final set of factors.</w:t>
      </w:r>
      <w:r w:rsidR="00105D88">
        <w:t xml:space="preserve"> The GCI</w:t>
      </w:r>
      <w:r w:rsidR="00502EBC">
        <w:t xml:space="preserve"> for SSP</w:t>
      </w:r>
      <w:r w:rsidR="00815EC6">
        <w:t xml:space="preserve">1,3,4,5 are calculated </w:t>
      </w:r>
      <w:r w:rsidR="00B652B7">
        <w:t>as relative change to the GCI for SSP2</w:t>
      </w:r>
      <w:r w:rsidR="00B4677F">
        <w:t>.</w:t>
      </w:r>
    </w:p>
    <w:p w14:paraId="68CB3F1A" w14:textId="77777777" w:rsidR="007240B5" w:rsidRDefault="007240B5"/>
    <w:p w14:paraId="4C013610" w14:textId="24FAE872" w:rsidR="007048C8" w:rsidRDefault="00CF1351">
      <w:r>
        <w:t xml:space="preserve">Note that the </w:t>
      </w:r>
      <w:r w:rsidR="00DA4759">
        <w:t xml:space="preserve">calculation of the implied </w:t>
      </w:r>
      <w:r w:rsidR="0044586C">
        <w:t xml:space="preserve">CLE emission factors in GAINS </w:t>
      </w:r>
      <w:proofErr w:type="gramStart"/>
      <w:r w:rsidR="0044586C">
        <w:t>are</w:t>
      </w:r>
      <w:proofErr w:type="gramEnd"/>
      <w:r w:rsidR="0044586C">
        <w:t xml:space="preserve"> based on </w:t>
      </w:r>
      <w:r w:rsidR="00177272">
        <w:t xml:space="preserve">IEA World Energy Outlook </w:t>
      </w:r>
      <w:r w:rsidR="0044163A">
        <w:t>s</w:t>
      </w:r>
      <w:r w:rsidR="0007398B">
        <w:t xml:space="preserve">tated </w:t>
      </w:r>
      <w:r w:rsidR="0044163A">
        <w:t>p</w:t>
      </w:r>
      <w:r w:rsidR="0007398B">
        <w:t xml:space="preserve">olicies </w:t>
      </w:r>
      <w:r w:rsidR="0044163A">
        <w:t>s</w:t>
      </w:r>
      <w:r w:rsidR="0007398B">
        <w:t>cenario</w:t>
      </w:r>
      <w:r w:rsidR="0044163A">
        <w:t xml:space="preserve"> (STEPS)</w:t>
      </w:r>
      <w:r w:rsidR="004D57A3">
        <w:t xml:space="preserve"> (IEA, 2023)</w:t>
      </w:r>
      <w:r w:rsidR="00EE2440">
        <w:t>, FAO</w:t>
      </w:r>
      <w:r w:rsidR="00BE039A">
        <w:t xml:space="preserve"> agricultural outlook </w:t>
      </w:r>
      <w:r w:rsidR="007F22F7">
        <w:t>to 2050 (FAO, 2018)</w:t>
      </w:r>
      <w:r w:rsidR="00CD10A2">
        <w:t xml:space="preserve">, and own </w:t>
      </w:r>
      <w:r w:rsidR="009025E0">
        <w:t>assumptions</w:t>
      </w:r>
      <w:r w:rsidR="0081761B">
        <w:t xml:space="preserve"> as </w:t>
      </w:r>
      <w:r w:rsidR="0081761B">
        <w:t xml:space="preserve">implemented in </w:t>
      </w:r>
      <w:r w:rsidR="00623C3A">
        <w:t xml:space="preserve">the </w:t>
      </w:r>
      <w:r w:rsidR="0081761B">
        <w:t>GAINS</w:t>
      </w:r>
      <w:r w:rsidR="00623C3A">
        <w:t xml:space="preserve"> model</w:t>
      </w:r>
      <w:r w:rsidR="004D57A3">
        <w:t>.</w:t>
      </w:r>
      <w:r w:rsidR="00AA2E3D">
        <w:t xml:space="preserve"> </w:t>
      </w:r>
      <w:r w:rsidR="008E1608">
        <w:t xml:space="preserve">The IEA STEPS scenario (WEO, 2023) has similar </w:t>
      </w:r>
      <w:r w:rsidR="00295A9B">
        <w:t xml:space="preserve">storyline as SSP2. </w:t>
      </w:r>
      <w:r w:rsidR="00AA2E3D">
        <w:t>After 205</w:t>
      </w:r>
      <w:r w:rsidR="00AA2E3D">
        <w:t>0</w:t>
      </w:r>
      <w:r w:rsidR="00566CDA">
        <w:t>, the</w:t>
      </w:r>
      <w:r w:rsidR="007E4B9E">
        <w:t xml:space="preserve">2050‘s CLE </w:t>
      </w:r>
      <w:r w:rsidR="005A459B">
        <w:t xml:space="preserve">and </w:t>
      </w:r>
      <w:r w:rsidR="00006333">
        <w:t xml:space="preserve">SSP specific </w:t>
      </w:r>
      <w:r w:rsidR="000000CE">
        <w:t xml:space="preserve">GCI </w:t>
      </w:r>
      <w:r w:rsidR="001655FD">
        <w:t xml:space="preserve">is used to </w:t>
      </w:r>
      <w:r w:rsidR="007C4D0D">
        <w:t xml:space="preserve">calculate the </w:t>
      </w:r>
      <w:r w:rsidR="0065549E">
        <w:t>emission factor up to 2100.</w:t>
      </w:r>
      <w:r w:rsidR="00756700">
        <w:t xml:space="preserve"> All emission factor trajectories are provided for all key air pollutants </w:t>
      </w:r>
      <w:r w:rsidR="00A76E7E">
        <w:t xml:space="preserve">relevant for the </w:t>
      </w:r>
      <w:r w:rsidR="00571769">
        <w:t>IAM work</w:t>
      </w:r>
      <w:r w:rsidR="00EF1F88">
        <w:t xml:space="preserve"> (SO2, N</w:t>
      </w:r>
      <w:r w:rsidR="00E363D1">
        <w:t>O</w:t>
      </w:r>
      <w:r w:rsidR="00EF1F88">
        <w:t xml:space="preserve">x, </w:t>
      </w:r>
      <w:r w:rsidR="006F4F82">
        <w:t>BC, OC, CO, NH3, NMVOC)</w:t>
      </w:r>
      <w:r w:rsidR="00756700">
        <w:t xml:space="preserve"> at IMAGE region level.</w:t>
      </w:r>
    </w:p>
    <w:p w14:paraId="18601771" w14:textId="77777777" w:rsidR="00E363D1" w:rsidRDefault="00E363D1"/>
    <w:p w14:paraId="523B6CA0" w14:textId="3194A235" w:rsidR="00941A54" w:rsidRDefault="00941A54">
      <w:r>
        <w:t xml:space="preserve">We suggest </w:t>
      </w:r>
      <w:r w:rsidR="007B42C8">
        <w:t>using</w:t>
      </w:r>
      <w:r>
        <w:t xml:space="preserve"> emission factors trajectories as described in Table 1 for the </w:t>
      </w:r>
      <w:r w:rsidR="007B42C8">
        <w:t xml:space="preserve">high (H) and medium (M) </w:t>
      </w:r>
      <w:r>
        <w:t>variants</w:t>
      </w:r>
      <w:r w:rsidR="007B42C8">
        <w:t>, see</w:t>
      </w:r>
      <w:r w:rsidR="008224DA">
        <w:t xml:space="preserve"> also Figure 1</w:t>
      </w:r>
      <w:r>
        <w:t>.</w:t>
      </w:r>
    </w:p>
    <w:p w14:paraId="03B03860" w14:textId="77777777" w:rsidR="005E6699" w:rsidRDefault="005E6699"/>
    <w:p w14:paraId="4147F497" w14:textId="440527DD" w:rsidR="005E6699" w:rsidRPr="00C84CB5" w:rsidRDefault="005E6699">
      <w:r>
        <w:t xml:space="preserve">Table </w:t>
      </w:r>
      <w:r w:rsidR="00E363D1">
        <w:t>1</w:t>
      </w:r>
      <w:r>
        <w:t xml:space="preserve">: Air pollution policy and implementation effectiveness in high </w:t>
      </w:r>
      <w:r w:rsidR="007C4716">
        <w:t xml:space="preserve">and medium </w:t>
      </w:r>
      <w:r>
        <w:t>scenarios</w:t>
      </w:r>
      <w:r w:rsidR="00BB33D7" w:rsidRPr="00C84CB5">
        <w:t>.</w:t>
      </w:r>
    </w:p>
    <w:tbl>
      <w:tblPr>
        <w:tblStyle w:val="GridTable5Dark-Accent5"/>
        <w:tblW w:w="9015" w:type="dxa"/>
        <w:tblLook w:val="04A0" w:firstRow="1" w:lastRow="0" w:firstColumn="1" w:lastColumn="0" w:noHBand="0" w:noVBand="1"/>
      </w:tblPr>
      <w:tblGrid>
        <w:gridCol w:w="2335"/>
        <w:gridCol w:w="1620"/>
        <w:gridCol w:w="2700"/>
        <w:gridCol w:w="2360"/>
      </w:tblGrid>
      <w:tr w:rsidR="002715B6" w:rsidRPr="00F82BE8" w14:paraId="7632EBEB" w14:textId="3F16AEB5" w:rsidTr="00822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077C6B" w14:textId="47B76481" w:rsidR="002715B6" w:rsidRPr="00F82BE8" w:rsidRDefault="002715B6" w:rsidP="008224DA">
            <w:r w:rsidRPr="00F82BE8">
              <w:t>SSP</w:t>
            </w:r>
            <w:r w:rsidR="008224DA">
              <w:t xml:space="preserve"> (variant)</w:t>
            </w:r>
          </w:p>
        </w:tc>
        <w:tc>
          <w:tcPr>
            <w:tcW w:w="1620" w:type="dxa"/>
          </w:tcPr>
          <w:p w14:paraId="2DAB7449" w14:textId="60BD5132" w:rsidR="721466EA" w:rsidRDefault="6D49B116" w:rsidP="7214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2700" w:type="dxa"/>
          </w:tcPr>
          <w:p w14:paraId="19C2F109" w14:textId="2D9E6EBC" w:rsidR="002715B6" w:rsidRPr="00F82BE8" w:rsidRDefault="002715B6" w:rsidP="00271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  <w:r w:rsidR="3B47C2BF">
              <w:t>5</w:t>
            </w:r>
            <w:r w:rsidRPr="00F82BE8">
              <w:t>-2050</w:t>
            </w:r>
          </w:p>
        </w:tc>
        <w:tc>
          <w:tcPr>
            <w:tcW w:w="2360" w:type="dxa"/>
          </w:tcPr>
          <w:p w14:paraId="113464A4" w14:textId="61E4C891" w:rsidR="002715B6" w:rsidRPr="00F82BE8" w:rsidRDefault="002715B6" w:rsidP="002715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BE8">
              <w:t>2050-2100</w:t>
            </w:r>
          </w:p>
        </w:tc>
      </w:tr>
      <w:tr w:rsidR="002715B6" w:rsidRPr="00F82BE8" w14:paraId="5221DE09" w14:textId="7E8DC6C9" w:rsidTr="00822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9190CE" w14:textId="4109ADE8" w:rsidR="002715B6" w:rsidRPr="00F82BE8" w:rsidRDefault="002715B6" w:rsidP="00506ED9">
            <w:r w:rsidRPr="00F82BE8">
              <w:t>1,3,4,5</w:t>
            </w:r>
            <w:r w:rsidR="008224DA">
              <w:t xml:space="preserve"> (H, M)</w:t>
            </w:r>
          </w:p>
        </w:tc>
        <w:tc>
          <w:tcPr>
            <w:tcW w:w="1620" w:type="dxa"/>
          </w:tcPr>
          <w:p w14:paraId="401C965E" w14:textId="6A532862" w:rsidR="721466EA" w:rsidRDefault="0FEE586A" w:rsidP="72146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782C3E2B">
              <w:rPr>
                <w:sz w:val="18"/>
                <w:szCs w:val="18"/>
              </w:rPr>
              <w:t>CLE(GAINS</w:t>
            </w:r>
            <w:r w:rsidRPr="7A3FE949">
              <w:rPr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14:paraId="4CB20A3F" w14:textId="492B6656" w:rsidR="002715B6" w:rsidRPr="009E5DA6" w:rsidRDefault="002715B6" w:rsidP="0050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5DA6">
              <w:rPr>
                <w:sz w:val="18"/>
                <w:szCs w:val="18"/>
              </w:rPr>
              <w:t>CLE(GAINS</w:t>
            </w:r>
            <w:r w:rsidRPr="7B12F08D">
              <w:rPr>
                <w:sz w:val="18"/>
                <w:szCs w:val="18"/>
              </w:rPr>
              <w:t>)</w:t>
            </w:r>
            <w:r w:rsidRPr="009E5DA6">
              <w:rPr>
                <w:sz w:val="18"/>
                <w:szCs w:val="18"/>
              </w:rPr>
              <w:t xml:space="preserve"> * GCI (</w:t>
            </w:r>
            <w:proofErr w:type="spellStart"/>
            <w:r w:rsidRPr="009E5DA6">
              <w:rPr>
                <w:sz w:val="18"/>
                <w:szCs w:val="18"/>
              </w:rPr>
              <w:t>SSPx</w:t>
            </w:r>
            <w:proofErr w:type="spellEnd"/>
            <w:r w:rsidR="607CDF5C" w:rsidRPr="17B961D0">
              <w:rPr>
                <w:sz w:val="18"/>
                <w:szCs w:val="18"/>
              </w:rPr>
              <w:t>/SSP2</w:t>
            </w:r>
            <w:r w:rsidRPr="009E5DA6">
              <w:rPr>
                <w:sz w:val="18"/>
                <w:szCs w:val="18"/>
              </w:rPr>
              <w:t>)</w:t>
            </w:r>
          </w:p>
        </w:tc>
        <w:tc>
          <w:tcPr>
            <w:tcW w:w="2360" w:type="dxa"/>
          </w:tcPr>
          <w:p w14:paraId="7C49857D" w14:textId="79FB8261" w:rsidR="002715B6" w:rsidRPr="009E5DA6" w:rsidRDefault="002B37BB" w:rsidP="0050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5DA6">
              <w:rPr>
                <w:rFonts w:eastAsia="DengXian"/>
                <w:sz w:val="18"/>
                <w:szCs w:val="18"/>
                <w:lang w:eastAsia="zh-CN"/>
              </w:rPr>
              <w:t>2050 EF</w:t>
            </w:r>
            <w:r>
              <w:rPr>
                <w:rFonts w:eastAsia="DengXian"/>
                <w:sz w:val="18"/>
                <w:szCs w:val="18"/>
                <w:lang w:eastAsia="zh-CN"/>
              </w:rPr>
              <w:t xml:space="preserve"> *</w:t>
            </w:r>
            <w:r w:rsidRPr="009E5DA6">
              <w:rPr>
                <w:rFonts w:eastAsia="DengXian"/>
                <w:sz w:val="18"/>
                <w:szCs w:val="18"/>
                <w:lang w:eastAsia="zh-CN"/>
              </w:rPr>
              <w:t xml:space="preserve"> GCI</w:t>
            </w:r>
            <w:r>
              <w:rPr>
                <w:rFonts w:eastAsia="DengXian"/>
                <w:sz w:val="18"/>
                <w:szCs w:val="18"/>
                <w:lang w:eastAsia="zh-CN"/>
              </w:rPr>
              <w:t xml:space="preserve"> (</w:t>
            </w:r>
            <w:proofErr w:type="spellStart"/>
            <w:r>
              <w:rPr>
                <w:rFonts w:eastAsia="DengXian"/>
                <w:sz w:val="18"/>
                <w:szCs w:val="18"/>
                <w:lang w:eastAsia="zh-CN"/>
              </w:rPr>
              <w:t>SSPx</w:t>
            </w:r>
            <w:proofErr w:type="spellEnd"/>
            <w:r>
              <w:rPr>
                <w:rFonts w:eastAsia="DengXian"/>
                <w:sz w:val="18"/>
                <w:szCs w:val="18"/>
                <w:lang w:eastAsia="zh-CN"/>
              </w:rPr>
              <w:t>)</w:t>
            </w:r>
          </w:p>
        </w:tc>
      </w:tr>
      <w:tr w:rsidR="002715B6" w:rsidRPr="00F82BE8" w14:paraId="328D9C62" w14:textId="24C0BF78" w:rsidTr="00822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4FE685" w14:textId="1189AF07" w:rsidR="002715B6" w:rsidRPr="00F82BE8" w:rsidRDefault="002715B6" w:rsidP="00506ED9">
            <w:r w:rsidRPr="00F82BE8">
              <w:t>2</w:t>
            </w:r>
            <w:r w:rsidR="008224DA">
              <w:t xml:space="preserve"> (H, M)</w:t>
            </w:r>
          </w:p>
        </w:tc>
        <w:tc>
          <w:tcPr>
            <w:tcW w:w="1620" w:type="dxa"/>
          </w:tcPr>
          <w:p w14:paraId="4BE042B8" w14:textId="39ABA5DA" w:rsidR="721466EA" w:rsidRDefault="748A90D6" w:rsidP="7214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984344C">
              <w:rPr>
                <w:sz w:val="18"/>
                <w:szCs w:val="18"/>
              </w:rPr>
              <w:t>CLE(GAINS)</w:t>
            </w:r>
          </w:p>
        </w:tc>
        <w:tc>
          <w:tcPr>
            <w:tcW w:w="2700" w:type="dxa"/>
          </w:tcPr>
          <w:p w14:paraId="2AEB0BB2" w14:textId="4C903110" w:rsidR="002715B6" w:rsidRPr="009E5DA6" w:rsidRDefault="002715B6" w:rsidP="0050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5DA6">
              <w:rPr>
                <w:sz w:val="18"/>
                <w:szCs w:val="18"/>
              </w:rPr>
              <w:t xml:space="preserve">CLE(GAINS) </w:t>
            </w:r>
          </w:p>
        </w:tc>
        <w:tc>
          <w:tcPr>
            <w:tcW w:w="2360" w:type="dxa"/>
          </w:tcPr>
          <w:p w14:paraId="387B0C85" w14:textId="16588D8C" w:rsidR="002715B6" w:rsidRPr="009E5DA6" w:rsidRDefault="002B37BB" w:rsidP="0050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5DA6">
              <w:rPr>
                <w:rFonts w:eastAsia="DengXian"/>
                <w:sz w:val="18"/>
                <w:szCs w:val="18"/>
                <w:lang w:eastAsia="zh-CN"/>
              </w:rPr>
              <w:t>2050 EF</w:t>
            </w:r>
            <w:r>
              <w:rPr>
                <w:rFonts w:eastAsia="DengXian"/>
                <w:sz w:val="18"/>
                <w:szCs w:val="18"/>
                <w:lang w:eastAsia="zh-CN"/>
              </w:rPr>
              <w:t xml:space="preserve"> *</w:t>
            </w:r>
            <w:r w:rsidRPr="009E5DA6">
              <w:rPr>
                <w:rFonts w:eastAsia="DengXian"/>
                <w:sz w:val="18"/>
                <w:szCs w:val="18"/>
                <w:lang w:eastAsia="zh-CN"/>
              </w:rPr>
              <w:t xml:space="preserve"> GCI</w:t>
            </w:r>
            <w:r>
              <w:rPr>
                <w:rFonts w:eastAsia="DengXian"/>
                <w:sz w:val="18"/>
                <w:szCs w:val="18"/>
                <w:lang w:eastAsia="zh-CN"/>
              </w:rPr>
              <w:t xml:space="preserve"> (</w:t>
            </w:r>
            <w:r w:rsidRPr="4D81440F">
              <w:rPr>
                <w:rFonts w:eastAsia="DengXian"/>
                <w:sz w:val="18"/>
                <w:szCs w:val="18"/>
                <w:lang w:eastAsia="zh-CN"/>
              </w:rPr>
              <w:t>SSP</w:t>
            </w:r>
            <w:r w:rsidR="773EF59B" w:rsidRPr="4D81440F">
              <w:rPr>
                <w:rFonts w:eastAsia="DengXian"/>
                <w:sz w:val="18"/>
                <w:szCs w:val="18"/>
                <w:lang w:eastAsia="zh-CN"/>
              </w:rPr>
              <w:t>2</w:t>
            </w:r>
            <w:r>
              <w:rPr>
                <w:rFonts w:eastAsia="DengXian"/>
                <w:sz w:val="18"/>
                <w:szCs w:val="18"/>
                <w:lang w:eastAsia="zh-CN"/>
              </w:rPr>
              <w:t>)</w:t>
            </w:r>
          </w:p>
        </w:tc>
      </w:tr>
    </w:tbl>
    <w:p w14:paraId="0777246A" w14:textId="77777777" w:rsidR="005E6699" w:rsidRDefault="005E6699"/>
    <w:p w14:paraId="32013433" w14:textId="77777777" w:rsidR="00085B7A" w:rsidRDefault="00085B7A"/>
    <w:p w14:paraId="01F92E1F" w14:textId="77777777" w:rsidR="004A70F1" w:rsidRDefault="004A70F1"/>
    <w:p w14:paraId="59619E27" w14:textId="2AA3F569" w:rsidR="00822A70" w:rsidRDefault="00822A70">
      <w:r>
        <w:t xml:space="preserve">The narratives for </w:t>
      </w:r>
      <w:r w:rsidR="00C77CD3">
        <w:t xml:space="preserve">further </w:t>
      </w:r>
      <w:r>
        <w:t>variants</w:t>
      </w:r>
      <w:r w:rsidR="009A3EE5">
        <w:t xml:space="preserve"> (Table 2)</w:t>
      </w:r>
      <w:r>
        <w:t xml:space="preserve"> of the scenarios </w:t>
      </w:r>
      <w:r w:rsidR="00E344DB">
        <w:t xml:space="preserve">rely on the </w:t>
      </w:r>
      <w:r w:rsidR="00B74F79">
        <w:t>b</w:t>
      </w:r>
      <w:r w:rsidR="00E344DB">
        <w:t xml:space="preserve">aseline </w:t>
      </w:r>
      <w:r w:rsidR="00B74F79">
        <w:t>(Table 1)</w:t>
      </w:r>
      <w:r w:rsidR="00E344DB">
        <w:t xml:space="preserve"> and</w:t>
      </w:r>
      <w:r w:rsidR="004A70F1">
        <w:t xml:space="preserve"> </w:t>
      </w:r>
      <w:r w:rsidR="00E344DB">
        <w:t xml:space="preserve">additional set of emission factors referred to as SLE (strong legislation) and </w:t>
      </w:r>
      <w:r w:rsidR="000D301E">
        <w:t>MTFR (maximum technically feasible reduction)</w:t>
      </w:r>
      <w:r w:rsidR="00635B7F">
        <w:t>,</w:t>
      </w:r>
      <w:r w:rsidR="000D301E">
        <w:t xml:space="preserve"> which are also devel</w:t>
      </w:r>
      <w:r w:rsidR="00F55792">
        <w:t>oped</w:t>
      </w:r>
      <w:r w:rsidR="002449C2">
        <w:t xml:space="preserve"> </w:t>
      </w:r>
      <w:r w:rsidR="00DB706C">
        <w:t>at country/region level</w:t>
      </w:r>
      <w:r w:rsidR="00756700">
        <w:t xml:space="preserve"> and aggregated to IMAGE regions</w:t>
      </w:r>
      <w:r w:rsidR="00AB738E">
        <w:t>.</w:t>
      </w:r>
    </w:p>
    <w:p w14:paraId="21C7EEEF" w14:textId="77777777" w:rsidR="00BA1C99" w:rsidRDefault="00BA1C99"/>
    <w:p w14:paraId="616E98F8" w14:textId="152E085E" w:rsidR="004D1C18" w:rsidRDefault="00341290">
      <w:r>
        <w:t xml:space="preserve">The SLE set of emission factors </w:t>
      </w:r>
      <w:r w:rsidR="004D1C18">
        <w:t xml:space="preserve">(Table 2) </w:t>
      </w:r>
      <w:r>
        <w:t xml:space="preserve">evolves over time </w:t>
      </w:r>
      <w:proofErr w:type="gramStart"/>
      <w:r>
        <w:t>stating</w:t>
      </w:r>
      <w:proofErr w:type="gramEnd"/>
      <w:r>
        <w:t xml:space="preserve"> with the CLE</w:t>
      </w:r>
      <w:r w:rsidR="00464F78">
        <w:t xml:space="preserve"> until 2030 and then is adjusted in 25% reduction steps when given country moves from one </w:t>
      </w:r>
      <w:r w:rsidR="004C4616">
        <w:t xml:space="preserve">income category to the other, i.e., Low (L) to Medium(M) </w:t>
      </w:r>
      <w:r w:rsidR="0072688D">
        <w:t xml:space="preserve">and Medium (M) to High (H). The 25% reduction in EF is dependent on sector and region as it is </w:t>
      </w:r>
      <w:proofErr w:type="gramStart"/>
      <w:r w:rsidR="00F86F22">
        <w:t>25</w:t>
      </w:r>
      <w:proofErr w:type="gramEnd"/>
      <w:r w:rsidR="00F86F22">
        <w:t>% reduction of the ‘gap’</w:t>
      </w:r>
      <w:r w:rsidR="004D1C18">
        <w:t xml:space="preserve"> </w:t>
      </w:r>
      <w:r w:rsidR="00F86F22">
        <w:t>between CLE and MTFR value for a given sector/region</w:t>
      </w:r>
      <w:r w:rsidR="00745C29">
        <w:t xml:space="preserve"> </w:t>
      </w:r>
      <w:proofErr w:type="gramStart"/>
      <w:r w:rsidR="00745C29">
        <w:t>in a given</w:t>
      </w:r>
      <w:proofErr w:type="gramEnd"/>
      <w:r w:rsidR="00745C29">
        <w:t xml:space="preserve"> period. </w:t>
      </w:r>
    </w:p>
    <w:p w14:paraId="0A8CA0E3" w14:textId="77777777" w:rsidR="004D1C18" w:rsidRDefault="004D1C18"/>
    <w:p w14:paraId="29C1039F" w14:textId="12A267C1" w:rsidR="003A7EB3" w:rsidRDefault="004D1C18">
      <w:r>
        <w:t xml:space="preserve">The MTFR set (table 2) </w:t>
      </w:r>
      <w:r w:rsidR="00437EAA">
        <w:t xml:space="preserve">is also evolving </w:t>
      </w:r>
      <w:r w:rsidR="007A5D62">
        <w:t xml:space="preserve">linearly </w:t>
      </w:r>
      <w:r w:rsidR="00437EAA">
        <w:t xml:space="preserve">after 2050 to reach the minimum MTFR value </w:t>
      </w:r>
      <w:proofErr w:type="gramStart"/>
      <w:r w:rsidR="00437EAA">
        <w:t xml:space="preserve">in </w:t>
      </w:r>
      <w:proofErr w:type="spellStart"/>
      <w:r w:rsidR="00437EAA">
        <w:t>a</w:t>
      </w:r>
      <w:proofErr w:type="spellEnd"/>
      <w:r w:rsidR="00437EAA">
        <w:t xml:space="preserve"> given</w:t>
      </w:r>
      <w:proofErr w:type="gramEnd"/>
      <w:r w:rsidR="00437EAA">
        <w:t xml:space="preserve"> sector/region by 2100</w:t>
      </w:r>
      <w:r w:rsidR="00085B7A">
        <w:t>.</w:t>
      </w:r>
    </w:p>
    <w:p w14:paraId="49ECD6DE" w14:textId="77777777" w:rsidR="004509BF" w:rsidRDefault="004509BF"/>
    <w:p w14:paraId="1AF30D2F" w14:textId="77777777" w:rsidR="00D6312C" w:rsidRDefault="00D6312C"/>
    <w:p w14:paraId="18BF0C82" w14:textId="6B6D9EC7" w:rsidR="00AB738E" w:rsidRDefault="00D6312C" w:rsidP="004A70F1">
      <w:pPr>
        <w:keepNext/>
      </w:pPr>
      <w:r>
        <w:lastRenderedPageBreak/>
        <w:t xml:space="preserve">Table 2. Proposal for assumption on development of </w:t>
      </w:r>
      <w:r w:rsidR="0050417D">
        <w:t>EFs for further variants</w:t>
      </w:r>
      <w:r w:rsidR="00C40D0D">
        <w:t>…L/M/H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70"/>
        <w:gridCol w:w="2340"/>
        <w:gridCol w:w="2610"/>
      </w:tblGrid>
      <w:tr w:rsidR="00021988" w:rsidRPr="002D4297" w14:paraId="3E7F4E77" w14:textId="1B3D6811" w:rsidTr="00400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E23E77" w14:textId="4ED62CC5" w:rsidR="00021988" w:rsidRPr="002D4297" w:rsidRDefault="00021988">
            <w:pPr>
              <w:rPr>
                <w:sz w:val="18"/>
                <w:szCs w:val="18"/>
              </w:rPr>
            </w:pPr>
            <w:r w:rsidRPr="002D4297">
              <w:rPr>
                <w:sz w:val="18"/>
                <w:szCs w:val="18"/>
              </w:rPr>
              <w:t>Variant</w:t>
            </w:r>
          </w:p>
        </w:tc>
        <w:tc>
          <w:tcPr>
            <w:tcW w:w="1260" w:type="dxa"/>
          </w:tcPr>
          <w:p w14:paraId="4C980BA0" w14:textId="187D3F2F" w:rsidR="00021988" w:rsidRDefault="00021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2020-2030</w:t>
            </w:r>
          </w:p>
        </w:tc>
        <w:tc>
          <w:tcPr>
            <w:tcW w:w="1170" w:type="dxa"/>
          </w:tcPr>
          <w:p w14:paraId="588332AC" w14:textId="16EA7B64" w:rsidR="00021988" w:rsidRPr="002D4297" w:rsidRDefault="00021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2030-2050</w:t>
            </w:r>
          </w:p>
        </w:tc>
        <w:tc>
          <w:tcPr>
            <w:tcW w:w="2340" w:type="dxa"/>
          </w:tcPr>
          <w:p w14:paraId="3C3BC95A" w14:textId="00A06B54" w:rsidR="00021988" w:rsidRPr="002D4297" w:rsidRDefault="00021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2050-2100</w:t>
            </w:r>
          </w:p>
        </w:tc>
        <w:tc>
          <w:tcPr>
            <w:tcW w:w="2610" w:type="dxa"/>
          </w:tcPr>
          <w:p w14:paraId="1DCE101F" w14:textId="0F445347" w:rsidR="00021988" w:rsidRDefault="007C6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21988" w:rsidRPr="002D4297" w14:paraId="7689E1A6" w14:textId="788240C5" w:rsidTr="00400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55BB1DC" w14:textId="2F11FE8D" w:rsidR="005370CA" w:rsidRDefault="007011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Medium-Overshot</w:t>
            </w:r>
            <w:r w:rsidR="00900456">
              <w:rPr>
                <w:sz w:val="18"/>
                <w:szCs w:val="18"/>
              </w:rPr>
              <w:t xml:space="preserve"> </w:t>
            </w:r>
            <w:r w:rsidR="005370CA">
              <w:rPr>
                <w:sz w:val="18"/>
                <w:szCs w:val="18"/>
              </w:rPr>
              <w:t>(MOS)</w:t>
            </w:r>
          </w:p>
        </w:tc>
        <w:tc>
          <w:tcPr>
            <w:tcW w:w="1260" w:type="dxa"/>
          </w:tcPr>
          <w:p w14:paraId="757BFFD5" w14:textId="3AFBD0E4" w:rsidR="00021988" w:rsidRDefault="0002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 Baseline</w:t>
            </w:r>
          </w:p>
        </w:tc>
        <w:tc>
          <w:tcPr>
            <w:tcW w:w="1170" w:type="dxa"/>
          </w:tcPr>
          <w:p w14:paraId="59C330AB" w14:textId="028E9B21" w:rsidR="00021988" w:rsidRDefault="0002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 (</w:t>
            </w:r>
            <w:proofErr w:type="spellStart"/>
            <w:r>
              <w:rPr>
                <w:sz w:val="18"/>
                <w:szCs w:val="18"/>
              </w:rPr>
              <w:t>SSPx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</w:tcPr>
          <w:p w14:paraId="302EF1C1" w14:textId="2C29274D" w:rsidR="00021988" w:rsidRPr="002D4297" w:rsidRDefault="0002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 (</w:t>
            </w:r>
            <w:proofErr w:type="spellStart"/>
            <w:r>
              <w:rPr>
                <w:sz w:val="18"/>
                <w:szCs w:val="18"/>
              </w:rPr>
              <w:t>SSPx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610" w:type="dxa"/>
          </w:tcPr>
          <w:p w14:paraId="37FBCFCF" w14:textId="20DF54DC" w:rsidR="00021988" w:rsidRDefault="00046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gap between CLE and </w:t>
            </w:r>
            <w:r w:rsidR="00C33653">
              <w:rPr>
                <w:sz w:val="18"/>
                <w:szCs w:val="18"/>
              </w:rPr>
              <w:t>MTFR</w:t>
            </w:r>
            <w:r w:rsidR="002C558F">
              <w:rPr>
                <w:sz w:val="18"/>
                <w:szCs w:val="18"/>
              </w:rPr>
              <w:t xml:space="preserve"> is reduced </w:t>
            </w:r>
            <w:r w:rsidR="00947E42">
              <w:rPr>
                <w:sz w:val="18"/>
                <w:szCs w:val="18"/>
              </w:rPr>
              <w:t>SSP</w:t>
            </w:r>
            <w:r w:rsidR="00A935A1">
              <w:rPr>
                <w:sz w:val="18"/>
                <w:szCs w:val="18"/>
              </w:rPr>
              <w:t xml:space="preserve"> specific pace d</w:t>
            </w:r>
            <w:r w:rsidR="004F08CF">
              <w:rPr>
                <w:sz w:val="18"/>
                <w:szCs w:val="18"/>
              </w:rPr>
              <w:t>ependen</w:t>
            </w:r>
            <w:r w:rsidR="00A935A1">
              <w:rPr>
                <w:sz w:val="18"/>
                <w:szCs w:val="18"/>
              </w:rPr>
              <w:t xml:space="preserve">t </w:t>
            </w:r>
            <w:r w:rsidR="004F08CF">
              <w:rPr>
                <w:sz w:val="18"/>
                <w:szCs w:val="18"/>
              </w:rPr>
              <w:t>on</w:t>
            </w:r>
            <w:r w:rsidR="002C7D39">
              <w:rPr>
                <w:sz w:val="18"/>
                <w:szCs w:val="18"/>
              </w:rPr>
              <w:t xml:space="preserve"> inc</w:t>
            </w:r>
            <w:r w:rsidR="005902E1">
              <w:rPr>
                <w:sz w:val="18"/>
                <w:szCs w:val="18"/>
              </w:rPr>
              <w:t xml:space="preserve">ome level </w:t>
            </w:r>
            <w:r w:rsidR="00161C7E">
              <w:rPr>
                <w:sz w:val="18"/>
                <w:szCs w:val="18"/>
              </w:rPr>
              <w:t>development</w:t>
            </w:r>
            <w:r w:rsidR="004F08CF">
              <w:rPr>
                <w:sz w:val="18"/>
                <w:szCs w:val="18"/>
              </w:rPr>
              <w:t xml:space="preserve"> L/M/H</w:t>
            </w:r>
          </w:p>
        </w:tc>
      </w:tr>
      <w:tr w:rsidR="00900456" w:rsidRPr="002D4297" w14:paraId="65FD18A0" w14:textId="77777777" w:rsidTr="0040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52BE8E" w14:textId="0832BF0A" w:rsidR="00DC2477" w:rsidRPr="00685541" w:rsidRDefault="00DC2477" w:rsidP="007658D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>
              <w:rPr>
                <w:sz w:val="18"/>
                <w:szCs w:val="18"/>
              </w:rPr>
              <w:t xml:space="preserve"> (L)</w:t>
            </w:r>
          </w:p>
        </w:tc>
        <w:tc>
          <w:tcPr>
            <w:tcW w:w="1260" w:type="dxa"/>
          </w:tcPr>
          <w:p w14:paraId="1D65269A" w14:textId="77777777" w:rsidR="00DC2477" w:rsidRDefault="00DC2477" w:rsidP="0076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 Baseline</w:t>
            </w:r>
          </w:p>
        </w:tc>
        <w:tc>
          <w:tcPr>
            <w:tcW w:w="1170" w:type="dxa"/>
          </w:tcPr>
          <w:p w14:paraId="4C86B3B1" w14:textId="77777777" w:rsidR="00DC2477" w:rsidRPr="002D4297" w:rsidRDefault="00DC2477" w:rsidP="0076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 (</w:t>
            </w:r>
            <w:proofErr w:type="spellStart"/>
            <w:r>
              <w:rPr>
                <w:sz w:val="18"/>
                <w:szCs w:val="18"/>
              </w:rPr>
              <w:t>SSPx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</w:tcPr>
          <w:p w14:paraId="66A86DA8" w14:textId="7ED53880" w:rsidR="00DC2477" w:rsidRPr="002D4297" w:rsidRDefault="00DC2477" w:rsidP="0076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 (</w:t>
            </w:r>
            <w:proofErr w:type="spellStart"/>
            <w:r>
              <w:rPr>
                <w:sz w:val="18"/>
                <w:szCs w:val="18"/>
              </w:rPr>
              <w:t>SSPx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610" w:type="dxa"/>
          </w:tcPr>
          <w:p w14:paraId="6683B67F" w14:textId="0DF431E4" w:rsidR="00DC2477" w:rsidRDefault="00D757A3" w:rsidP="0076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gap between CLE and MTFR is reduced SSP specific pace dependent on income level development L/M/H</w:t>
            </w:r>
          </w:p>
        </w:tc>
      </w:tr>
      <w:tr w:rsidR="00021988" w:rsidRPr="007F2EE7" w14:paraId="62FB9B36" w14:textId="06316583" w:rsidTr="00400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F1F496" w14:textId="76912B50" w:rsidR="00021988" w:rsidRPr="002D4297" w:rsidRDefault="00021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Overshot</w:t>
            </w:r>
            <w:r w:rsidR="007011A4">
              <w:rPr>
                <w:sz w:val="18"/>
                <w:szCs w:val="18"/>
              </w:rPr>
              <w:t xml:space="preserve"> (LOS)</w:t>
            </w:r>
          </w:p>
        </w:tc>
        <w:tc>
          <w:tcPr>
            <w:tcW w:w="1260" w:type="dxa"/>
          </w:tcPr>
          <w:p w14:paraId="5B25C65F" w14:textId="3B0894FA" w:rsidR="00021988" w:rsidRDefault="0002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 Baseline</w:t>
            </w:r>
          </w:p>
        </w:tc>
        <w:tc>
          <w:tcPr>
            <w:tcW w:w="1170" w:type="dxa"/>
          </w:tcPr>
          <w:p w14:paraId="4140F1AA" w14:textId="3280C7A7" w:rsidR="00021988" w:rsidRPr="002D4297" w:rsidRDefault="007F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MTFR (GAINS)</w:t>
            </w:r>
          </w:p>
        </w:tc>
        <w:tc>
          <w:tcPr>
            <w:tcW w:w="2340" w:type="dxa"/>
          </w:tcPr>
          <w:p w14:paraId="7383D20F" w14:textId="2485FD31" w:rsidR="00021988" w:rsidRPr="007F2EE7" w:rsidRDefault="007F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2EE7">
              <w:rPr>
                <w:sz w:val="18"/>
                <w:szCs w:val="18"/>
              </w:rPr>
              <w:t>MTFR (GAINS) -&gt; min MTFR (GAINS)</w:t>
            </w:r>
          </w:p>
        </w:tc>
        <w:tc>
          <w:tcPr>
            <w:tcW w:w="2610" w:type="dxa"/>
          </w:tcPr>
          <w:p w14:paraId="3010132E" w14:textId="16382D2A" w:rsidR="00021988" w:rsidRPr="007F2EE7" w:rsidRDefault="00F4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qq</w:t>
            </w:r>
            <w:proofErr w:type="spellEnd"/>
          </w:p>
        </w:tc>
      </w:tr>
      <w:tr w:rsidR="00021988" w:rsidRPr="002D4297" w14:paraId="6CBAC419" w14:textId="69406088" w:rsidTr="00400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276722" w14:textId="1A104AFC" w:rsidR="00021988" w:rsidRPr="002D4297" w:rsidRDefault="00021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</w:t>
            </w:r>
            <w:r w:rsidR="007011A4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</w:t>
            </w:r>
            <w:r w:rsidR="007011A4">
              <w:rPr>
                <w:sz w:val="18"/>
                <w:szCs w:val="18"/>
              </w:rPr>
              <w:t xml:space="preserve"> (VL)</w:t>
            </w:r>
          </w:p>
        </w:tc>
        <w:tc>
          <w:tcPr>
            <w:tcW w:w="1260" w:type="dxa"/>
          </w:tcPr>
          <w:p w14:paraId="66EB5844" w14:textId="0FA0C552" w:rsidR="00021988" w:rsidRDefault="0002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 Baseline</w:t>
            </w:r>
          </w:p>
        </w:tc>
        <w:tc>
          <w:tcPr>
            <w:tcW w:w="1170" w:type="dxa"/>
          </w:tcPr>
          <w:p w14:paraId="76AC2481" w14:textId="04D524E9" w:rsidR="00021988" w:rsidRPr="00756B6A" w:rsidRDefault="0002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MTFR (</w:t>
            </w:r>
            <w:r w:rsidR="00EF41C5">
              <w:rPr>
                <w:sz w:val="18"/>
                <w:szCs w:val="18"/>
              </w:rPr>
              <w:t>GAINS</w:t>
            </w:r>
            <w:r>
              <w:rPr>
                <w:sz w:val="18"/>
                <w:szCs w:val="18"/>
              </w:rPr>
              <w:t>)</w:t>
            </w:r>
            <w:r w:rsidRPr="00756B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4501644F" w14:textId="51A49BE7" w:rsidR="00021988" w:rsidRPr="007F2EE7" w:rsidRDefault="00CF3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2EE7">
              <w:rPr>
                <w:sz w:val="18"/>
                <w:szCs w:val="18"/>
              </w:rPr>
              <w:t>MTFR</w:t>
            </w:r>
            <w:r w:rsidR="00240D03" w:rsidRPr="007F2EE7">
              <w:rPr>
                <w:sz w:val="18"/>
                <w:szCs w:val="18"/>
              </w:rPr>
              <w:t xml:space="preserve"> (</w:t>
            </w:r>
            <w:r w:rsidR="00EF41C5" w:rsidRPr="007F2EE7">
              <w:rPr>
                <w:sz w:val="18"/>
                <w:szCs w:val="18"/>
              </w:rPr>
              <w:t>GAINS</w:t>
            </w:r>
            <w:r w:rsidR="000A1201" w:rsidRPr="007F2EE7">
              <w:rPr>
                <w:sz w:val="18"/>
                <w:szCs w:val="18"/>
              </w:rPr>
              <w:t xml:space="preserve">) -&gt; </w:t>
            </w:r>
            <w:r w:rsidR="00D228E5" w:rsidRPr="007F2EE7">
              <w:rPr>
                <w:sz w:val="18"/>
                <w:szCs w:val="18"/>
              </w:rPr>
              <w:t>min</w:t>
            </w:r>
            <w:r w:rsidR="00666BEB" w:rsidRPr="007F2EE7">
              <w:rPr>
                <w:sz w:val="18"/>
                <w:szCs w:val="18"/>
              </w:rPr>
              <w:t xml:space="preserve"> </w:t>
            </w:r>
            <w:r w:rsidR="000A1201" w:rsidRPr="007F2EE7">
              <w:rPr>
                <w:sz w:val="18"/>
                <w:szCs w:val="18"/>
              </w:rPr>
              <w:t>MTFR</w:t>
            </w:r>
            <w:r w:rsidR="00054595" w:rsidRPr="007F2EE7">
              <w:rPr>
                <w:sz w:val="18"/>
                <w:szCs w:val="18"/>
              </w:rPr>
              <w:t xml:space="preserve"> (</w:t>
            </w:r>
            <w:r w:rsidR="00EF41C5" w:rsidRPr="007F2EE7">
              <w:rPr>
                <w:sz w:val="18"/>
                <w:szCs w:val="18"/>
              </w:rPr>
              <w:t>GAINS</w:t>
            </w:r>
            <w:r w:rsidR="00D228E5" w:rsidRPr="007F2EE7">
              <w:rPr>
                <w:sz w:val="18"/>
                <w:szCs w:val="18"/>
              </w:rPr>
              <w:t xml:space="preserve">) </w:t>
            </w:r>
          </w:p>
        </w:tc>
        <w:tc>
          <w:tcPr>
            <w:tcW w:w="2610" w:type="dxa"/>
          </w:tcPr>
          <w:p w14:paraId="65C42030" w14:textId="33093A7B" w:rsidR="00021988" w:rsidRDefault="00E17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Reducing </w:t>
            </w:r>
            <w:proofErr w:type="gramStart"/>
            <w:r w:rsidR="008715D6">
              <w:rPr>
                <w:sz w:val="18"/>
                <w:szCs w:val="18"/>
              </w:rPr>
              <w:t>sector/region</w:t>
            </w:r>
            <w:proofErr w:type="gramEnd"/>
            <w:r w:rsidR="008715D6">
              <w:rPr>
                <w:sz w:val="18"/>
                <w:szCs w:val="18"/>
              </w:rPr>
              <w:t xml:space="preserve"> </w:t>
            </w:r>
            <w:r w:rsidR="009A4BBE">
              <w:rPr>
                <w:sz w:val="18"/>
                <w:szCs w:val="18"/>
              </w:rPr>
              <w:t xml:space="preserve">MTFR </w:t>
            </w:r>
            <w:r>
              <w:rPr>
                <w:sz w:val="18"/>
                <w:szCs w:val="18"/>
              </w:rPr>
              <w:t xml:space="preserve">EF </w:t>
            </w:r>
            <w:r w:rsidR="00460E85">
              <w:rPr>
                <w:sz w:val="18"/>
                <w:szCs w:val="18"/>
              </w:rPr>
              <w:t>in 2050</w:t>
            </w:r>
            <w:r w:rsidR="004E65B2">
              <w:rPr>
                <w:sz w:val="18"/>
                <w:szCs w:val="18"/>
              </w:rPr>
              <w:t xml:space="preserve"> to </w:t>
            </w:r>
            <w:r w:rsidR="003F5035">
              <w:rPr>
                <w:sz w:val="18"/>
                <w:szCs w:val="18"/>
              </w:rPr>
              <w:t xml:space="preserve">the </w:t>
            </w:r>
            <w:r w:rsidR="006D5CB4">
              <w:rPr>
                <w:sz w:val="18"/>
                <w:szCs w:val="18"/>
              </w:rPr>
              <w:t xml:space="preserve">minimum </w:t>
            </w:r>
            <w:r w:rsidR="005541EE">
              <w:rPr>
                <w:sz w:val="18"/>
                <w:szCs w:val="18"/>
              </w:rPr>
              <w:t xml:space="preserve">MTFR value </w:t>
            </w:r>
            <w:r w:rsidR="006D5CB4">
              <w:rPr>
                <w:sz w:val="18"/>
                <w:szCs w:val="18"/>
              </w:rPr>
              <w:t>(most efficient GAINS technology</w:t>
            </w:r>
            <w:r w:rsidR="003C2516">
              <w:rPr>
                <w:sz w:val="18"/>
                <w:szCs w:val="18"/>
              </w:rPr>
              <w:t xml:space="preserve"> in 2050</w:t>
            </w:r>
            <w:r w:rsidR="005541EE">
              <w:rPr>
                <w:sz w:val="18"/>
                <w:szCs w:val="18"/>
              </w:rPr>
              <w:t>)</w:t>
            </w:r>
            <w:r w:rsidR="003C2516">
              <w:rPr>
                <w:sz w:val="18"/>
                <w:szCs w:val="18"/>
              </w:rPr>
              <w:t xml:space="preserve"> by </w:t>
            </w:r>
            <w:r w:rsidR="000A339B">
              <w:rPr>
                <w:sz w:val="18"/>
                <w:szCs w:val="18"/>
              </w:rPr>
              <w:t xml:space="preserve">2100. </w:t>
            </w:r>
            <w:r w:rsidR="00D83F96">
              <w:rPr>
                <w:sz w:val="18"/>
                <w:szCs w:val="18"/>
              </w:rPr>
              <w:t xml:space="preserve">Linear approach is used. </w:t>
            </w:r>
          </w:p>
        </w:tc>
      </w:tr>
    </w:tbl>
    <w:p w14:paraId="1F822B09" w14:textId="03429B3F" w:rsidR="00AB738E" w:rsidRDefault="00AB738E"/>
    <w:p w14:paraId="0B7D0BCE" w14:textId="77777777" w:rsidR="009A3EE5" w:rsidRDefault="009A3EE5" w:rsidP="009A3EE5">
      <w:r>
        <w:t xml:space="preserve">The QUESTION is if there shall be a different definition/assumption on how the trajectory for the variants </w:t>
      </w:r>
      <w:proofErr w:type="gramStart"/>
      <w:r>
        <w:t>looks like</w:t>
      </w:r>
      <w:proofErr w:type="gramEnd"/>
      <w:r>
        <w:t xml:space="preserve"> dependent on the underlying SSP (beyond the already embedded differences in the SLE and MTFR factors); current proposal is to keep it independent and so use the below for all SSPs with respective variants. </w:t>
      </w:r>
    </w:p>
    <w:p w14:paraId="7CC50FBE" w14:textId="77777777" w:rsidR="00DF08BF" w:rsidRDefault="00DF08BF" w:rsidP="009A3EE5"/>
    <w:p w14:paraId="459D56BF" w14:textId="06E83460" w:rsidR="00DF08BF" w:rsidRDefault="00DF08BF" w:rsidP="009A3EE5">
      <w:r>
        <w:t xml:space="preserve">Below, the stylized concept of the </w:t>
      </w:r>
      <w:r w:rsidR="00B84D68">
        <w:t xml:space="preserve">CMIP7 </w:t>
      </w:r>
      <w:proofErr w:type="spellStart"/>
      <w:r w:rsidR="00B84D68">
        <w:t>scenariso</w:t>
      </w:r>
      <w:proofErr w:type="spellEnd"/>
      <w:r w:rsidR="00B84D68">
        <w:t xml:space="preserve"> for reference in Table 2.</w:t>
      </w:r>
    </w:p>
    <w:p w14:paraId="573A8D57" w14:textId="77777777" w:rsidR="009A3EE5" w:rsidRDefault="009A3EE5" w:rsidP="009A3EE5"/>
    <w:p w14:paraId="3634C87B" w14:textId="00848521" w:rsidR="009A3EE5" w:rsidRDefault="009A3EE5" w:rsidP="009A3EE5">
      <w:r>
        <w:rPr>
          <w:noProof/>
        </w:rPr>
        <w:drawing>
          <wp:inline distT="0" distB="0" distL="0" distR="0" wp14:anchorId="387F6207" wp14:editId="16D04EB1">
            <wp:extent cx="5723890" cy="2546024"/>
            <wp:effectExtent l="0" t="0" r="0" b="6985"/>
            <wp:docPr id="1099213400" name="Picture 1099213400" descr="A diagram of a de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3400" name="Picture 1099213400" descr="A diagram of a design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1"/>
                    <a:stretch/>
                  </pic:blipFill>
                  <pic:spPr bwMode="auto">
                    <a:xfrm>
                      <a:off x="0" y="0"/>
                      <a:ext cx="5724524" cy="254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Figure 1. S</w:t>
      </w:r>
      <w:r>
        <w:t xml:space="preserve">tylized, qualitative design for the CMIP7 </w:t>
      </w:r>
      <w:proofErr w:type="spellStart"/>
      <w:r>
        <w:t>ScenarioMIP</w:t>
      </w:r>
      <w:proofErr w:type="spellEnd"/>
      <w:r>
        <w:t xml:space="preserve"> scenarios</w:t>
      </w:r>
      <w:r w:rsidR="00C845A2">
        <w:t xml:space="preserve">; </w:t>
      </w:r>
      <w:r>
        <w:t xml:space="preserve">Source: </w:t>
      </w:r>
      <w:hyperlink r:id="rId6">
        <w:r w:rsidRPr="3C725B89">
          <w:rPr>
            <w:rStyle w:val="Hyperlink"/>
            <w:rFonts w:ascii="Calibri" w:eastAsia="Calibri" w:hAnsi="Calibri" w:cs="Calibri"/>
          </w:rPr>
          <w:t>https://wcrp-cmip.org/wp-content/uploads/2024/04/24-04-15_ScenarioMIP-CMIP7-proposal_final.pdf</w:t>
        </w:r>
      </w:hyperlink>
    </w:p>
    <w:p w14:paraId="4393A176" w14:textId="5FB63A28" w:rsidR="00AB738E" w:rsidRDefault="00AB738E"/>
    <w:sectPr w:rsidR="00AB738E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14604"/>
    <w:multiLevelType w:val="hybridMultilevel"/>
    <w:tmpl w:val="30B03F72"/>
    <w:lvl w:ilvl="0" w:tplc="C30EA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99"/>
    <w:rsid w:val="000000CE"/>
    <w:rsid w:val="00003E73"/>
    <w:rsid w:val="0000493D"/>
    <w:rsid w:val="00006333"/>
    <w:rsid w:val="00011276"/>
    <w:rsid w:val="000122F9"/>
    <w:rsid w:val="000212D2"/>
    <w:rsid w:val="00021988"/>
    <w:rsid w:val="000309ED"/>
    <w:rsid w:val="00043852"/>
    <w:rsid w:val="00046642"/>
    <w:rsid w:val="00053C16"/>
    <w:rsid w:val="000540B4"/>
    <w:rsid w:val="00054595"/>
    <w:rsid w:val="00056EE5"/>
    <w:rsid w:val="00060085"/>
    <w:rsid w:val="00060800"/>
    <w:rsid w:val="00061A80"/>
    <w:rsid w:val="0007398B"/>
    <w:rsid w:val="00075855"/>
    <w:rsid w:val="00076B9D"/>
    <w:rsid w:val="00085B7A"/>
    <w:rsid w:val="000873CB"/>
    <w:rsid w:val="000900DC"/>
    <w:rsid w:val="0009159C"/>
    <w:rsid w:val="000A1201"/>
    <w:rsid w:val="000A19FC"/>
    <w:rsid w:val="000A339B"/>
    <w:rsid w:val="000C2CCC"/>
    <w:rsid w:val="000C37DC"/>
    <w:rsid w:val="000C4E15"/>
    <w:rsid w:val="000C59C4"/>
    <w:rsid w:val="000C5DDB"/>
    <w:rsid w:val="000D0261"/>
    <w:rsid w:val="000D301E"/>
    <w:rsid w:val="000E1040"/>
    <w:rsid w:val="000E2579"/>
    <w:rsid w:val="000E71D4"/>
    <w:rsid w:val="000F24C2"/>
    <w:rsid w:val="000F3F24"/>
    <w:rsid w:val="000F5C25"/>
    <w:rsid w:val="00102B80"/>
    <w:rsid w:val="00105D88"/>
    <w:rsid w:val="00106360"/>
    <w:rsid w:val="001068A8"/>
    <w:rsid w:val="00107EC8"/>
    <w:rsid w:val="001123BA"/>
    <w:rsid w:val="001123C5"/>
    <w:rsid w:val="001213EB"/>
    <w:rsid w:val="001238E5"/>
    <w:rsid w:val="0015168B"/>
    <w:rsid w:val="00151E06"/>
    <w:rsid w:val="00161C7E"/>
    <w:rsid w:val="001641DE"/>
    <w:rsid w:val="001655FD"/>
    <w:rsid w:val="00172261"/>
    <w:rsid w:val="00177272"/>
    <w:rsid w:val="00184767"/>
    <w:rsid w:val="00192AE3"/>
    <w:rsid w:val="0019615D"/>
    <w:rsid w:val="001972C8"/>
    <w:rsid w:val="001A0755"/>
    <w:rsid w:val="001B5CD6"/>
    <w:rsid w:val="001B72F7"/>
    <w:rsid w:val="001C16A4"/>
    <w:rsid w:val="001C1D76"/>
    <w:rsid w:val="001C57E9"/>
    <w:rsid w:val="001D2F8C"/>
    <w:rsid w:val="001E0DA2"/>
    <w:rsid w:val="001E1752"/>
    <w:rsid w:val="001E1974"/>
    <w:rsid w:val="001E2A3E"/>
    <w:rsid w:val="001E73FA"/>
    <w:rsid w:val="001F0E7E"/>
    <w:rsid w:val="001F2FE7"/>
    <w:rsid w:val="001F4B20"/>
    <w:rsid w:val="002052E4"/>
    <w:rsid w:val="002128EC"/>
    <w:rsid w:val="00236C69"/>
    <w:rsid w:val="002401E2"/>
    <w:rsid w:val="00240D03"/>
    <w:rsid w:val="002449C2"/>
    <w:rsid w:val="00247930"/>
    <w:rsid w:val="0025127C"/>
    <w:rsid w:val="002527F9"/>
    <w:rsid w:val="00252BB6"/>
    <w:rsid w:val="002536F8"/>
    <w:rsid w:val="002629A1"/>
    <w:rsid w:val="002715B6"/>
    <w:rsid w:val="00274C38"/>
    <w:rsid w:val="002807EE"/>
    <w:rsid w:val="002839E6"/>
    <w:rsid w:val="00284508"/>
    <w:rsid w:val="00286448"/>
    <w:rsid w:val="00292EE2"/>
    <w:rsid w:val="00295A9B"/>
    <w:rsid w:val="0029727D"/>
    <w:rsid w:val="002A1346"/>
    <w:rsid w:val="002B1F4C"/>
    <w:rsid w:val="002B20C8"/>
    <w:rsid w:val="002B37BB"/>
    <w:rsid w:val="002B3EE8"/>
    <w:rsid w:val="002C558F"/>
    <w:rsid w:val="002C7CB2"/>
    <w:rsid w:val="002C7D39"/>
    <w:rsid w:val="002D4297"/>
    <w:rsid w:val="002D4F03"/>
    <w:rsid w:val="002E6AE3"/>
    <w:rsid w:val="002F2B58"/>
    <w:rsid w:val="002F4EC3"/>
    <w:rsid w:val="0032153F"/>
    <w:rsid w:val="00321F1D"/>
    <w:rsid w:val="003255EA"/>
    <w:rsid w:val="00325D50"/>
    <w:rsid w:val="00341290"/>
    <w:rsid w:val="00350396"/>
    <w:rsid w:val="00357749"/>
    <w:rsid w:val="00362337"/>
    <w:rsid w:val="0037011B"/>
    <w:rsid w:val="0037412D"/>
    <w:rsid w:val="00375F57"/>
    <w:rsid w:val="003772CE"/>
    <w:rsid w:val="003873D0"/>
    <w:rsid w:val="003A7EB3"/>
    <w:rsid w:val="003B366D"/>
    <w:rsid w:val="003C101C"/>
    <w:rsid w:val="003C2516"/>
    <w:rsid w:val="003C443A"/>
    <w:rsid w:val="003C5D18"/>
    <w:rsid w:val="003C659F"/>
    <w:rsid w:val="003C6B9D"/>
    <w:rsid w:val="003D1F0B"/>
    <w:rsid w:val="003D2125"/>
    <w:rsid w:val="003D2C3D"/>
    <w:rsid w:val="003D42AF"/>
    <w:rsid w:val="003D70C2"/>
    <w:rsid w:val="003E6F74"/>
    <w:rsid w:val="003F5035"/>
    <w:rsid w:val="0040067A"/>
    <w:rsid w:val="0040581C"/>
    <w:rsid w:val="00405889"/>
    <w:rsid w:val="004159B6"/>
    <w:rsid w:val="0042584F"/>
    <w:rsid w:val="00427D95"/>
    <w:rsid w:val="00437EAA"/>
    <w:rsid w:val="0044163A"/>
    <w:rsid w:val="0044586C"/>
    <w:rsid w:val="004509BF"/>
    <w:rsid w:val="0045604F"/>
    <w:rsid w:val="00456DB7"/>
    <w:rsid w:val="0045736F"/>
    <w:rsid w:val="00460E85"/>
    <w:rsid w:val="00463BB6"/>
    <w:rsid w:val="00464F78"/>
    <w:rsid w:val="00475A6F"/>
    <w:rsid w:val="00482F15"/>
    <w:rsid w:val="004A20F9"/>
    <w:rsid w:val="004A5587"/>
    <w:rsid w:val="004A70F1"/>
    <w:rsid w:val="004B2CE7"/>
    <w:rsid w:val="004B335E"/>
    <w:rsid w:val="004B4345"/>
    <w:rsid w:val="004B4933"/>
    <w:rsid w:val="004B5D67"/>
    <w:rsid w:val="004C07B9"/>
    <w:rsid w:val="004C12E0"/>
    <w:rsid w:val="004C4491"/>
    <w:rsid w:val="004C4616"/>
    <w:rsid w:val="004C479B"/>
    <w:rsid w:val="004C6E5C"/>
    <w:rsid w:val="004D1C18"/>
    <w:rsid w:val="004D57A3"/>
    <w:rsid w:val="004E36F4"/>
    <w:rsid w:val="004E5E62"/>
    <w:rsid w:val="004E65B2"/>
    <w:rsid w:val="004F08CF"/>
    <w:rsid w:val="00502EBC"/>
    <w:rsid w:val="0050417D"/>
    <w:rsid w:val="00506ED9"/>
    <w:rsid w:val="00507D94"/>
    <w:rsid w:val="00513998"/>
    <w:rsid w:val="005175D9"/>
    <w:rsid w:val="00517DC4"/>
    <w:rsid w:val="0052301C"/>
    <w:rsid w:val="00526B30"/>
    <w:rsid w:val="00531768"/>
    <w:rsid w:val="00531D1F"/>
    <w:rsid w:val="005333FB"/>
    <w:rsid w:val="005370CA"/>
    <w:rsid w:val="00542FD2"/>
    <w:rsid w:val="00543E0D"/>
    <w:rsid w:val="00544A94"/>
    <w:rsid w:val="005541EE"/>
    <w:rsid w:val="00566CDA"/>
    <w:rsid w:val="00571769"/>
    <w:rsid w:val="00574C33"/>
    <w:rsid w:val="00574F99"/>
    <w:rsid w:val="00584AA2"/>
    <w:rsid w:val="00585F4A"/>
    <w:rsid w:val="00586116"/>
    <w:rsid w:val="005878D2"/>
    <w:rsid w:val="005902E1"/>
    <w:rsid w:val="005A05E1"/>
    <w:rsid w:val="005A459B"/>
    <w:rsid w:val="005B1255"/>
    <w:rsid w:val="005C006A"/>
    <w:rsid w:val="005C647D"/>
    <w:rsid w:val="005C6DB3"/>
    <w:rsid w:val="005D522A"/>
    <w:rsid w:val="005E1B3C"/>
    <w:rsid w:val="005E3871"/>
    <w:rsid w:val="005E6699"/>
    <w:rsid w:val="005F3B26"/>
    <w:rsid w:val="005F3C65"/>
    <w:rsid w:val="00602C3C"/>
    <w:rsid w:val="00603ADE"/>
    <w:rsid w:val="00604782"/>
    <w:rsid w:val="00612CC6"/>
    <w:rsid w:val="00613F54"/>
    <w:rsid w:val="006204AA"/>
    <w:rsid w:val="00623C3A"/>
    <w:rsid w:val="006263CC"/>
    <w:rsid w:val="00635B7F"/>
    <w:rsid w:val="00637C56"/>
    <w:rsid w:val="00644925"/>
    <w:rsid w:val="0065549E"/>
    <w:rsid w:val="0065582F"/>
    <w:rsid w:val="006610C7"/>
    <w:rsid w:val="00665F7B"/>
    <w:rsid w:val="00666BEB"/>
    <w:rsid w:val="00667889"/>
    <w:rsid w:val="00670F0A"/>
    <w:rsid w:val="00683BB2"/>
    <w:rsid w:val="00685541"/>
    <w:rsid w:val="00687EAA"/>
    <w:rsid w:val="00693071"/>
    <w:rsid w:val="00693C0C"/>
    <w:rsid w:val="006A131D"/>
    <w:rsid w:val="006B07ED"/>
    <w:rsid w:val="006B122A"/>
    <w:rsid w:val="006C0C1E"/>
    <w:rsid w:val="006C2809"/>
    <w:rsid w:val="006C3CCE"/>
    <w:rsid w:val="006D3744"/>
    <w:rsid w:val="006D5CB4"/>
    <w:rsid w:val="006E6EB7"/>
    <w:rsid w:val="006F4F82"/>
    <w:rsid w:val="007011A4"/>
    <w:rsid w:val="00701918"/>
    <w:rsid w:val="007048C8"/>
    <w:rsid w:val="00704D76"/>
    <w:rsid w:val="00705DE8"/>
    <w:rsid w:val="00707BD8"/>
    <w:rsid w:val="007120D3"/>
    <w:rsid w:val="0071588B"/>
    <w:rsid w:val="007202A8"/>
    <w:rsid w:val="007207D0"/>
    <w:rsid w:val="00721187"/>
    <w:rsid w:val="00722715"/>
    <w:rsid w:val="007240B5"/>
    <w:rsid w:val="007255C8"/>
    <w:rsid w:val="0072688D"/>
    <w:rsid w:val="00731749"/>
    <w:rsid w:val="00745C29"/>
    <w:rsid w:val="00746893"/>
    <w:rsid w:val="00747E4E"/>
    <w:rsid w:val="00754932"/>
    <w:rsid w:val="00756700"/>
    <w:rsid w:val="00756B6A"/>
    <w:rsid w:val="00757E06"/>
    <w:rsid w:val="00763759"/>
    <w:rsid w:val="0076692D"/>
    <w:rsid w:val="0077518B"/>
    <w:rsid w:val="0077565D"/>
    <w:rsid w:val="007804F8"/>
    <w:rsid w:val="00792F28"/>
    <w:rsid w:val="00793D11"/>
    <w:rsid w:val="007A5D62"/>
    <w:rsid w:val="007B177C"/>
    <w:rsid w:val="007B34EB"/>
    <w:rsid w:val="007B3717"/>
    <w:rsid w:val="007B3B83"/>
    <w:rsid w:val="007B42C8"/>
    <w:rsid w:val="007B5E5D"/>
    <w:rsid w:val="007C052A"/>
    <w:rsid w:val="007C4716"/>
    <w:rsid w:val="007C4D0D"/>
    <w:rsid w:val="007C6A7B"/>
    <w:rsid w:val="007D40F0"/>
    <w:rsid w:val="007D6E98"/>
    <w:rsid w:val="007E0304"/>
    <w:rsid w:val="007E2A12"/>
    <w:rsid w:val="007E4B9E"/>
    <w:rsid w:val="007F1D9D"/>
    <w:rsid w:val="007F22F7"/>
    <w:rsid w:val="007F2EE7"/>
    <w:rsid w:val="00800C63"/>
    <w:rsid w:val="00802AFE"/>
    <w:rsid w:val="00805FB5"/>
    <w:rsid w:val="00815EC6"/>
    <w:rsid w:val="0081761B"/>
    <w:rsid w:val="00821241"/>
    <w:rsid w:val="008224DA"/>
    <w:rsid w:val="00822A70"/>
    <w:rsid w:val="008346EE"/>
    <w:rsid w:val="00847F3B"/>
    <w:rsid w:val="00853160"/>
    <w:rsid w:val="00855504"/>
    <w:rsid w:val="00855E21"/>
    <w:rsid w:val="0086128D"/>
    <w:rsid w:val="008641BF"/>
    <w:rsid w:val="008674CB"/>
    <w:rsid w:val="008715D6"/>
    <w:rsid w:val="008750E9"/>
    <w:rsid w:val="008753A7"/>
    <w:rsid w:val="008920E6"/>
    <w:rsid w:val="008936CA"/>
    <w:rsid w:val="00895B04"/>
    <w:rsid w:val="008B3C32"/>
    <w:rsid w:val="008D41D4"/>
    <w:rsid w:val="008D4B88"/>
    <w:rsid w:val="008D6107"/>
    <w:rsid w:val="008E1608"/>
    <w:rsid w:val="008E452C"/>
    <w:rsid w:val="008E67FA"/>
    <w:rsid w:val="008E7A9E"/>
    <w:rsid w:val="008F01AC"/>
    <w:rsid w:val="008F0D27"/>
    <w:rsid w:val="008F4CFB"/>
    <w:rsid w:val="00900456"/>
    <w:rsid w:val="009013AA"/>
    <w:rsid w:val="009025E0"/>
    <w:rsid w:val="009066EE"/>
    <w:rsid w:val="0091030D"/>
    <w:rsid w:val="009128B0"/>
    <w:rsid w:val="009148C5"/>
    <w:rsid w:val="009259A9"/>
    <w:rsid w:val="00930F6F"/>
    <w:rsid w:val="00931AE9"/>
    <w:rsid w:val="009333D5"/>
    <w:rsid w:val="009371B7"/>
    <w:rsid w:val="00941A54"/>
    <w:rsid w:val="00942CE3"/>
    <w:rsid w:val="009451B8"/>
    <w:rsid w:val="00946895"/>
    <w:rsid w:val="00947E42"/>
    <w:rsid w:val="00950FFA"/>
    <w:rsid w:val="00956F87"/>
    <w:rsid w:val="009648F5"/>
    <w:rsid w:val="00970BC8"/>
    <w:rsid w:val="00974146"/>
    <w:rsid w:val="009753E2"/>
    <w:rsid w:val="00980C4E"/>
    <w:rsid w:val="009814DA"/>
    <w:rsid w:val="00992688"/>
    <w:rsid w:val="00997F5E"/>
    <w:rsid w:val="009A3EE5"/>
    <w:rsid w:val="009A4BBE"/>
    <w:rsid w:val="009A7BCE"/>
    <w:rsid w:val="009B135B"/>
    <w:rsid w:val="009B51F0"/>
    <w:rsid w:val="009B5407"/>
    <w:rsid w:val="009C1A24"/>
    <w:rsid w:val="009C1AFA"/>
    <w:rsid w:val="009C1FDC"/>
    <w:rsid w:val="009D49DA"/>
    <w:rsid w:val="009D704F"/>
    <w:rsid w:val="009D7CC0"/>
    <w:rsid w:val="009E338A"/>
    <w:rsid w:val="009E5321"/>
    <w:rsid w:val="009E5DA6"/>
    <w:rsid w:val="009F3D0B"/>
    <w:rsid w:val="009F702A"/>
    <w:rsid w:val="00A051B0"/>
    <w:rsid w:val="00A05530"/>
    <w:rsid w:val="00A16D54"/>
    <w:rsid w:val="00A330CB"/>
    <w:rsid w:val="00A35DC6"/>
    <w:rsid w:val="00A35F43"/>
    <w:rsid w:val="00A42594"/>
    <w:rsid w:val="00A43ABF"/>
    <w:rsid w:val="00A63738"/>
    <w:rsid w:val="00A66112"/>
    <w:rsid w:val="00A72191"/>
    <w:rsid w:val="00A72F8D"/>
    <w:rsid w:val="00A75653"/>
    <w:rsid w:val="00A764EB"/>
    <w:rsid w:val="00A76E7E"/>
    <w:rsid w:val="00A81072"/>
    <w:rsid w:val="00A901DD"/>
    <w:rsid w:val="00A935A1"/>
    <w:rsid w:val="00AA09A0"/>
    <w:rsid w:val="00AA2E3D"/>
    <w:rsid w:val="00AA2FCE"/>
    <w:rsid w:val="00AA78BF"/>
    <w:rsid w:val="00AB1108"/>
    <w:rsid w:val="00AB3CAB"/>
    <w:rsid w:val="00AB738E"/>
    <w:rsid w:val="00AD45AC"/>
    <w:rsid w:val="00AD5319"/>
    <w:rsid w:val="00AE48A5"/>
    <w:rsid w:val="00AE6015"/>
    <w:rsid w:val="00AE7104"/>
    <w:rsid w:val="00AF08F4"/>
    <w:rsid w:val="00AF64B9"/>
    <w:rsid w:val="00AF8DD3"/>
    <w:rsid w:val="00B00F7B"/>
    <w:rsid w:val="00B0366E"/>
    <w:rsid w:val="00B03712"/>
    <w:rsid w:val="00B116FA"/>
    <w:rsid w:val="00B2015A"/>
    <w:rsid w:val="00B20B46"/>
    <w:rsid w:val="00B30662"/>
    <w:rsid w:val="00B31BD7"/>
    <w:rsid w:val="00B3214E"/>
    <w:rsid w:val="00B41BB2"/>
    <w:rsid w:val="00B4677F"/>
    <w:rsid w:val="00B51ED6"/>
    <w:rsid w:val="00B57544"/>
    <w:rsid w:val="00B63F6E"/>
    <w:rsid w:val="00B652B7"/>
    <w:rsid w:val="00B71945"/>
    <w:rsid w:val="00B73B69"/>
    <w:rsid w:val="00B74C7C"/>
    <w:rsid w:val="00B74F79"/>
    <w:rsid w:val="00B809CB"/>
    <w:rsid w:val="00B84D68"/>
    <w:rsid w:val="00B87AD6"/>
    <w:rsid w:val="00BA1C99"/>
    <w:rsid w:val="00BA519D"/>
    <w:rsid w:val="00BB16C5"/>
    <w:rsid w:val="00BB33D7"/>
    <w:rsid w:val="00BC0C41"/>
    <w:rsid w:val="00BC21A3"/>
    <w:rsid w:val="00BC5503"/>
    <w:rsid w:val="00BD57A2"/>
    <w:rsid w:val="00BD57E9"/>
    <w:rsid w:val="00BD7C97"/>
    <w:rsid w:val="00BE0081"/>
    <w:rsid w:val="00BE039A"/>
    <w:rsid w:val="00BE2F80"/>
    <w:rsid w:val="00BF23FE"/>
    <w:rsid w:val="00BF2933"/>
    <w:rsid w:val="00BF3F49"/>
    <w:rsid w:val="00BF5E0B"/>
    <w:rsid w:val="00BF76EE"/>
    <w:rsid w:val="00C1088D"/>
    <w:rsid w:val="00C11D73"/>
    <w:rsid w:val="00C12FA9"/>
    <w:rsid w:val="00C13969"/>
    <w:rsid w:val="00C15AFF"/>
    <w:rsid w:val="00C177AA"/>
    <w:rsid w:val="00C20CA6"/>
    <w:rsid w:val="00C22599"/>
    <w:rsid w:val="00C2653E"/>
    <w:rsid w:val="00C33653"/>
    <w:rsid w:val="00C40D0D"/>
    <w:rsid w:val="00C43997"/>
    <w:rsid w:val="00C43D34"/>
    <w:rsid w:val="00C45283"/>
    <w:rsid w:val="00C505B1"/>
    <w:rsid w:val="00C50A9F"/>
    <w:rsid w:val="00C527C0"/>
    <w:rsid w:val="00C53A17"/>
    <w:rsid w:val="00C5659F"/>
    <w:rsid w:val="00C64C7D"/>
    <w:rsid w:val="00C68472"/>
    <w:rsid w:val="00C77CD3"/>
    <w:rsid w:val="00C845A2"/>
    <w:rsid w:val="00C84CB5"/>
    <w:rsid w:val="00C90195"/>
    <w:rsid w:val="00C9186B"/>
    <w:rsid w:val="00C92C6C"/>
    <w:rsid w:val="00C962FB"/>
    <w:rsid w:val="00C9735E"/>
    <w:rsid w:val="00CA2FE8"/>
    <w:rsid w:val="00CB068E"/>
    <w:rsid w:val="00CB25C2"/>
    <w:rsid w:val="00CB279B"/>
    <w:rsid w:val="00CC100E"/>
    <w:rsid w:val="00CD10A2"/>
    <w:rsid w:val="00CD577F"/>
    <w:rsid w:val="00CD6EEF"/>
    <w:rsid w:val="00CE53C5"/>
    <w:rsid w:val="00CF1351"/>
    <w:rsid w:val="00CF31C7"/>
    <w:rsid w:val="00CF6ECE"/>
    <w:rsid w:val="00D228E5"/>
    <w:rsid w:val="00D27310"/>
    <w:rsid w:val="00D36E41"/>
    <w:rsid w:val="00D37D40"/>
    <w:rsid w:val="00D534CC"/>
    <w:rsid w:val="00D600FA"/>
    <w:rsid w:val="00D6312C"/>
    <w:rsid w:val="00D74525"/>
    <w:rsid w:val="00D757A3"/>
    <w:rsid w:val="00D83F96"/>
    <w:rsid w:val="00D84DDC"/>
    <w:rsid w:val="00D86EB1"/>
    <w:rsid w:val="00D918C6"/>
    <w:rsid w:val="00D9195C"/>
    <w:rsid w:val="00D92BB4"/>
    <w:rsid w:val="00D966BE"/>
    <w:rsid w:val="00DA3FA9"/>
    <w:rsid w:val="00DA4759"/>
    <w:rsid w:val="00DB4A8C"/>
    <w:rsid w:val="00DB50DB"/>
    <w:rsid w:val="00DB706C"/>
    <w:rsid w:val="00DB7AA2"/>
    <w:rsid w:val="00DC2477"/>
    <w:rsid w:val="00DC4478"/>
    <w:rsid w:val="00DC4C03"/>
    <w:rsid w:val="00DC4F4A"/>
    <w:rsid w:val="00DD1662"/>
    <w:rsid w:val="00DD4421"/>
    <w:rsid w:val="00DE2AD1"/>
    <w:rsid w:val="00DE4356"/>
    <w:rsid w:val="00DE5F1A"/>
    <w:rsid w:val="00DF08BF"/>
    <w:rsid w:val="00DF3387"/>
    <w:rsid w:val="00DF49CA"/>
    <w:rsid w:val="00DF5586"/>
    <w:rsid w:val="00DF5AE7"/>
    <w:rsid w:val="00E0014B"/>
    <w:rsid w:val="00E03EA7"/>
    <w:rsid w:val="00E03F4A"/>
    <w:rsid w:val="00E177B2"/>
    <w:rsid w:val="00E17C97"/>
    <w:rsid w:val="00E2235E"/>
    <w:rsid w:val="00E227E4"/>
    <w:rsid w:val="00E344DB"/>
    <w:rsid w:val="00E363D1"/>
    <w:rsid w:val="00E4178F"/>
    <w:rsid w:val="00E42242"/>
    <w:rsid w:val="00E46DCD"/>
    <w:rsid w:val="00E54FF6"/>
    <w:rsid w:val="00E572B1"/>
    <w:rsid w:val="00E63EA7"/>
    <w:rsid w:val="00E751F1"/>
    <w:rsid w:val="00E761B4"/>
    <w:rsid w:val="00E76872"/>
    <w:rsid w:val="00E7765A"/>
    <w:rsid w:val="00E84331"/>
    <w:rsid w:val="00E84337"/>
    <w:rsid w:val="00E85086"/>
    <w:rsid w:val="00E866E5"/>
    <w:rsid w:val="00E86916"/>
    <w:rsid w:val="00E933C0"/>
    <w:rsid w:val="00E93511"/>
    <w:rsid w:val="00E93D8D"/>
    <w:rsid w:val="00E953BD"/>
    <w:rsid w:val="00EA38E4"/>
    <w:rsid w:val="00EC2B30"/>
    <w:rsid w:val="00EC4BD2"/>
    <w:rsid w:val="00EE2440"/>
    <w:rsid w:val="00EE76AD"/>
    <w:rsid w:val="00EF1F88"/>
    <w:rsid w:val="00EF41C5"/>
    <w:rsid w:val="00EF43CA"/>
    <w:rsid w:val="00F019D1"/>
    <w:rsid w:val="00F10305"/>
    <w:rsid w:val="00F140B8"/>
    <w:rsid w:val="00F2037E"/>
    <w:rsid w:val="00F22CC5"/>
    <w:rsid w:val="00F25902"/>
    <w:rsid w:val="00F34D90"/>
    <w:rsid w:val="00F4018A"/>
    <w:rsid w:val="00F40AD2"/>
    <w:rsid w:val="00F4176B"/>
    <w:rsid w:val="00F41E67"/>
    <w:rsid w:val="00F518E7"/>
    <w:rsid w:val="00F522DE"/>
    <w:rsid w:val="00F55792"/>
    <w:rsid w:val="00F55A76"/>
    <w:rsid w:val="00F618C8"/>
    <w:rsid w:val="00F7419D"/>
    <w:rsid w:val="00F7782C"/>
    <w:rsid w:val="00F82BE8"/>
    <w:rsid w:val="00F84553"/>
    <w:rsid w:val="00F86F22"/>
    <w:rsid w:val="00F90348"/>
    <w:rsid w:val="00F9413C"/>
    <w:rsid w:val="00FA3621"/>
    <w:rsid w:val="00FA4F57"/>
    <w:rsid w:val="00FC537C"/>
    <w:rsid w:val="00FC6B22"/>
    <w:rsid w:val="00FC79E9"/>
    <w:rsid w:val="00FD0937"/>
    <w:rsid w:val="00FD24BF"/>
    <w:rsid w:val="00FD2987"/>
    <w:rsid w:val="00FE7650"/>
    <w:rsid w:val="05354788"/>
    <w:rsid w:val="058F4FE9"/>
    <w:rsid w:val="06CB3566"/>
    <w:rsid w:val="07CCE3A6"/>
    <w:rsid w:val="08E2C976"/>
    <w:rsid w:val="09B14D06"/>
    <w:rsid w:val="0B516E92"/>
    <w:rsid w:val="0BD01D6E"/>
    <w:rsid w:val="0DDB1935"/>
    <w:rsid w:val="0E604486"/>
    <w:rsid w:val="0EB35DBC"/>
    <w:rsid w:val="0FAE22F7"/>
    <w:rsid w:val="0FEE586A"/>
    <w:rsid w:val="113731FA"/>
    <w:rsid w:val="11802F52"/>
    <w:rsid w:val="119ACDF1"/>
    <w:rsid w:val="14133CF9"/>
    <w:rsid w:val="1434597A"/>
    <w:rsid w:val="14BFFCED"/>
    <w:rsid w:val="15B786F1"/>
    <w:rsid w:val="17B961D0"/>
    <w:rsid w:val="17E3E379"/>
    <w:rsid w:val="18E4B845"/>
    <w:rsid w:val="1AE47CAF"/>
    <w:rsid w:val="1AEC7DE6"/>
    <w:rsid w:val="1D3478D3"/>
    <w:rsid w:val="1DC01FE8"/>
    <w:rsid w:val="1EB1BD99"/>
    <w:rsid w:val="1EBDD62C"/>
    <w:rsid w:val="1F8333CB"/>
    <w:rsid w:val="21C11EAD"/>
    <w:rsid w:val="231713B0"/>
    <w:rsid w:val="23EBA820"/>
    <w:rsid w:val="2552B202"/>
    <w:rsid w:val="260FE25A"/>
    <w:rsid w:val="28C4B60E"/>
    <w:rsid w:val="2984344C"/>
    <w:rsid w:val="2A56F59C"/>
    <w:rsid w:val="2AB9C60C"/>
    <w:rsid w:val="2DCF0F15"/>
    <w:rsid w:val="2F35AA40"/>
    <w:rsid w:val="34B915DC"/>
    <w:rsid w:val="35E63D42"/>
    <w:rsid w:val="368E1C8B"/>
    <w:rsid w:val="38473497"/>
    <w:rsid w:val="386BE131"/>
    <w:rsid w:val="391EAC21"/>
    <w:rsid w:val="3A0DADB7"/>
    <w:rsid w:val="3A22939B"/>
    <w:rsid w:val="3AFECED7"/>
    <w:rsid w:val="3B47C2BF"/>
    <w:rsid w:val="3C725B89"/>
    <w:rsid w:val="3C9C1A86"/>
    <w:rsid w:val="3D2B3B6B"/>
    <w:rsid w:val="3E2988CF"/>
    <w:rsid w:val="3EA56BE2"/>
    <w:rsid w:val="416EECBF"/>
    <w:rsid w:val="42E52276"/>
    <w:rsid w:val="464131EE"/>
    <w:rsid w:val="468CB887"/>
    <w:rsid w:val="493D684B"/>
    <w:rsid w:val="4B663BDC"/>
    <w:rsid w:val="4C1286C1"/>
    <w:rsid w:val="4D7CFBA0"/>
    <w:rsid w:val="4D81440F"/>
    <w:rsid w:val="4D864F18"/>
    <w:rsid w:val="4E54E943"/>
    <w:rsid w:val="53207F6E"/>
    <w:rsid w:val="5341C41F"/>
    <w:rsid w:val="54A1F633"/>
    <w:rsid w:val="56F3AB3D"/>
    <w:rsid w:val="570D35B0"/>
    <w:rsid w:val="574C0A39"/>
    <w:rsid w:val="578DE36C"/>
    <w:rsid w:val="58A54AB6"/>
    <w:rsid w:val="5C05D84D"/>
    <w:rsid w:val="5C453D3E"/>
    <w:rsid w:val="5E0ED96C"/>
    <w:rsid w:val="5E64EF08"/>
    <w:rsid w:val="5ECF1638"/>
    <w:rsid w:val="5FA1DCB4"/>
    <w:rsid w:val="607CDF5C"/>
    <w:rsid w:val="60EA4998"/>
    <w:rsid w:val="625E0983"/>
    <w:rsid w:val="648E6507"/>
    <w:rsid w:val="665CC1DD"/>
    <w:rsid w:val="6680E087"/>
    <w:rsid w:val="699E5B6C"/>
    <w:rsid w:val="6BF498B2"/>
    <w:rsid w:val="6D49B116"/>
    <w:rsid w:val="6D54D7BC"/>
    <w:rsid w:val="6D9445A8"/>
    <w:rsid w:val="6E9D1D1A"/>
    <w:rsid w:val="6F482839"/>
    <w:rsid w:val="710B6F13"/>
    <w:rsid w:val="7202DC65"/>
    <w:rsid w:val="721466EA"/>
    <w:rsid w:val="7327EB17"/>
    <w:rsid w:val="733ED6C6"/>
    <w:rsid w:val="748A90D6"/>
    <w:rsid w:val="773EF59B"/>
    <w:rsid w:val="77743460"/>
    <w:rsid w:val="77A0FB8C"/>
    <w:rsid w:val="782C3E2B"/>
    <w:rsid w:val="783A1F2F"/>
    <w:rsid w:val="789606D7"/>
    <w:rsid w:val="78CCFC0D"/>
    <w:rsid w:val="7954B9F5"/>
    <w:rsid w:val="79AE7846"/>
    <w:rsid w:val="7A3FE949"/>
    <w:rsid w:val="7B00EE48"/>
    <w:rsid w:val="7B0D323A"/>
    <w:rsid w:val="7B12F08D"/>
    <w:rsid w:val="7B624E9D"/>
    <w:rsid w:val="7B8433FB"/>
    <w:rsid w:val="7DF5065E"/>
    <w:rsid w:val="7EE76B88"/>
    <w:rsid w:val="7EE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9DB1"/>
  <w15:chartTrackingRefBased/>
  <w15:docId w15:val="{887CBA5B-C1A7-4664-B12C-756218BD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6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66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D52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rp-cmip.org/wp-content/uploads/2024/04/24-04-15_ScenarioMIP-CMIP7-proposal_fina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Links>
    <vt:vector size="6" baseType="variant">
      <vt:variant>
        <vt:i4>4784156</vt:i4>
      </vt:variant>
      <vt:variant>
        <vt:i4>0</vt:i4>
      </vt:variant>
      <vt:variant>
        <vt:i4>0</vt:i4>
      </vt:variant>
      <vt:variant>
        <vt:i4>5</vt:i4>
      </vt:variant>
      <vt:variant>
        <vt:lpwstr>https://wcrp-cmip.org/wp-content/uploads/2024/04/24-04-15_ScenarioMIP-CMIP7-proposal_final.pdf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KLIMONT Zbigniew</dc:creator>
  <cp:keywords/>
  <dc:description/>
  <cp:lastModifiedBy>KLIMONT Zbigniew</cp:lastModifiedBy>
  <cp:revision>2</cp:revision>
  <dcterms:created xsi:type="dcterms:W3CDTF">2025-03-13T18:36:00Z</dcterms:created>
  <dcterms:modified xsi:type="dcterms:W3CDTF">2025-03-13T18:36:00Z</dcterms:modified>
</cp:coreProperties>
</file>