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GHOST: Global Hepatitis Outbreak and Surveillance Technology Feasibility 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Team 23:</w:t>
      </w:r>
    </w:p>
    <w:p w:rsidR="00000000" w:rsidDel="00000000" w:rsidP="00000000" w:rsidRDefault="00000000" w:rsidRPr="00000000">
      <w:pPr>
        <w:contextualSpacing w:val="0"/>
        <w:jc w:val="center"/>
      </w:pPr>
      <w:r w:rsidDel="00000000" w:rsidR="00000000" w:rsidRPr="00000000">
        <w:rPr>
          <w:b w:val="1"/>
          <w:sz w:val="28"/>
          <w:szCs w:val="28"/>
          <w:rtl w:val="0"/>
        </w:rPr>
        <w:t xml:space="preserve">Andrew Amontree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Jeongsoo Kim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Ernest Lai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Sarthak Mohapatra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Lovissa Winyoto</w:t>
      </w:r>
    </w:p>
    <w:p w:rsidR="00000000" w:rsidDel="00000000" w:rsidP="00000000" w:rsidRDefault="00000000" w:rsidRPr="00000000">
      <w:pPr>
        <w:contextualSpacing w:val="0"/>
        <w:jc w:val="center"/>
      </w:pPr>
      <w:r w:rsidDel="00000000" w:rsidR="00000000" w:rsidRPr="00000000">
        <w:rPr>
          <w:b w:val="1"/>
          <w:rtl w:val="0"/>
        </w:rPr>
        <w:t xml:space="preserve">Georgia Institute of Technology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 partnership with:</w:t>
      </w:r>
    </w:p>
    <w:p w:rsidR="00000000" w:rsidDel="00000000" w:rsidP="00000000" w:rsidRDefault="00000000" w:rsidRPr="00000000">
      <w:pPr>
        <w:contextualSpacing w:val="0"/>
        <w:jc w:val="center"/>
      </w:pPr>
      <w:r w:rsidDel="00000000" w:rsidR="00000000" w:rsidRPr="00000000">
        <w:rPr>
          <w:b w:val="1"/>
          <w:sz w:val="28"/>
          <w:szCs w:val="28"/>
          <w:rtl w:val="0"/>
        </w:rPr>
        <w:t xml:space="preserve">David S. Campo, Ph.D.</w:t>
      </w:r>
    </w:p>
    <w:p w:rsidR="00000000" w:rsidDel="00000000" w:rsidP="00000000" w:rsidRDefault="00000000" w:rsidRPr="00000000">
      <w:r w:rsidDel="00000000" w:rsidR="00000000" w:rsidRPr="00000000">
        <w:rPr>
          <w:b w:val="1"/>
          <w:rtl w:val="0"/>
        </w:rPr>
        <w:t xml:space="preserve">Centers for Disease Control (CDC)</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0"/>
          <w:szCs w:val="30"/>
          <w:rtl w:val="0"/>
        </w:rPr>
        <w:t xml:space="preserve">Abstract</w:t>
      </w:r>
    </w:p>
    <w:p w:rsidR="00000000" w:rsidDel="00000000" w:rsidP="00000000" w:rsidRDefault="00000000" w:rsidRPr="00000000">
      <w:pPr>
        <w:contextualSpacing w:val="0"/>
      </w:pPr>
      <w:r w:rsidDel="00000000" w:rsidR="00000000" w:rsidRPr="00000000">
        <w:rPr>
          <w:sz w:val="24"/>
          <w:szCs w:val="24"/>
          <w:rtl w:val="0"/>
        </w:rPr>
        <w:t xml:space="preserve">This is the abstract… Please erase this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The Division of Viral Hepatitis at the Centers for Disease Control (CDC) has created a system, Global Hepatitis Outbreak and Surveillance Technology (GHOST), in which public health researchers can perform individual analyses based on collected and existing patient data. The current iteration of the user interface is a source of a number of usability and robustness issues. The interface is centered around a data visualization that forms the majority of the project. This visualization is written in one of several different frameworks that specialize in data visualizations. The two proposed alternatives are either improving upon the current code base or using the current model as a template to recreate it in a different framework. By factoring the alternatives through a set of various technical, managerial, economic, and political/cultural criteria, we determined that it would be best to refine and refactor the existing model of Global Hepatitis Outbreak and Surveillance Technology (GHOST) in order to avoid the significant costs of recreating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Background</w:t>
      </w:r>
    </w:p>
    <w:p w:rsidR="00000000" w:rsidDel="00000000" w:rsidP="00000000" w:rsidRDefault="00000000" w:rsidRPr="00000000">
      <w:pPr>
        <w:contextualSpacing w:val="0"/>
      </w:pPr>
      <w:r w:rsidDel="00000000" w:rsidR="00000000" w:rsidRPr="00000000">
        <w:rPr>
          <w:sz w:val="24"/>
          <w:szCs w:val="24"/>
          <w:rtl w:val="0"/>
        </w:rPr>
        <w:t xml:space="preserve">This is the background. Please erase this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Architechture and Diagram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Diagram Numbero Uno. Change this later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Diagram Numbero Dos. Change this later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Diagram Numbero Tres. Change this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Next Steps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Insert Gantt chart here??</w:t>
      </w:r>
    </w:p>
    <w:p w:rsidR="00000000" w:rsidDel="00000000" w:rsidP="00000000" w:rsidRDefault="00000000" w:rsidRPr="00000000">
      <w:pPr>
        <w:contextualSpacing w:val="0"/>
      </w:pPr>
      <w:r w:rsidDel="00000000" w:rsidR="00000000" w:rsidRPr="00000000">
        <w:rPr>
          <w:rtl w:val="0"/>
        </w:rPr>
      </w:r>
    </w:p>
    <w:sectPr>
      <w:footerReference r:id="rId5" w:type="default"/>
      <w:foot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xml"/></Relationships>
</file>