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280"/>
        <w:jc w:val="center"/>
      </w:pPr>
      <w:r>
        <w:rPr>
          <w:rFonts w:ascii="Calibri" w:hAnsi="Calibri"/>
          <w:b/>
          <w:color w:val="2E74B5"/>
          <w:sz w:val="18"/>
        </w:rPr>
        <w:t>RESCENED  ·  ENGINEERING RETROSPECTIVE</w:t>
      </w:r>
    </w:p>
    <w:p>
      <w:pPr>
        <w:pStyle w:val="Title"/>
        <w:jc w:val="center"/>
      </w:pPr>
      <w:r>
        <w:t>Phase 2.5</w:t>
        <w:br/>
        <w:t>Catalog Bootstrap</w:t>
      </w:r>
    </w:p>
    <w:p>
      <w:pPr>
        <w:pStyle w:val="Subtitle"/>
        <w:jc w:val="center"/>
      </w:pPr>
      <w:r>
        <w:t>ListenBrainz → MusicBrainz → validated JSON → AlbumCatalog</w:t>
      </w:r>
    </w:p>
    <w:p>
      <w:pPr>
        <w:spacing w:before="280" w:after="440"/>
        <w:ind w:left="2520" w:right="2520"/>
        <w:jc w:val="center"/>
        <w:pBdr>
          <w:bottom w:val="single" w:sz="12" w:space="1" w:color="2E74B5"/>
        </w:pBdr>
      </w:pPr>
    </w:p>
    <w:p>
      <w:pPr>
        <w:spacing w:after="1120"/>
        <w:ind w:left="936" w:right="936"/>
        <w:jc w:val="center"/>
      </w:pPr>
      <w:r>
        <w:rPr>
          <w:rFonts w:ascii="Calibri" w:hAnsi="Calibri"/>
          <w:color w:val="5E6B76"/>
          <w:sz w:val="24"/>
        </w:rPr>
        <w:t>Implementation scope, data contract, safety model, checked-in artifacts, verification coverage, and operational handoff</w:t>
      </w:r>
    </w:p>
    <w:p>
      <w:pPr>
        <w:spacing w:after="120"/>
        <w:jc w:val="center"/>
      </w:pPr>
      <w:r>
        <w:rPr>
          <w:b/>
          <w:color w:val="1F4D78"/>
          <w:sz w:val="18"/>
        </w:rPr>
        <w:t>AUGUST 2026</w:t>
      </w:r>
    </w:p>
    <w:p>
      <w:pPr>
        <w:ind w:left="720" w:right="720"/>
        <w:jc w:val="center"/>
      </w:pPr>
      <w:r>
        <w:rPr>
          <w:color w:val="5E6B76"/>
          <w:sz w:val="18"/>
        </w:rPr>
        <w:t>Prepared from commit 556aee1 and the checked-in catalog-import artifacts</w:t>
      </w:r>
    </w:p>
    <w:p>
      <w:pPr>
        <w:sectPr>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pPr>
    </w:p>
    <w:p>
      <w:pPr>
        <w:pStyle w:val="Heading1"/>
        <w:pBdr>
          <w:bottom w:val="single" w:sz="6" w:space="4" w:color="D7E0E8"/>
        </w:pBdr>
      </w:pPr>
      <w:r>
        <w:t>1. Executive summary</w:t>
      </w:r>
    </w:p>
    <w:p>
      <w:r>
        <w:t>Phase 2.5 created the data foundation that Phase 3 could safely build on. Before the contributor and moderator interfaces existed, Rescened needed a useful local album catalog that did not depend on Spotify and could be reproduced, inspected, and rolled out without bypassing database safeguards.</w:t>
      </w:r>
    </w:p>
    <w:p>
      <w:pPr>
        <w:spacing w:before="120" w:after="180" w:line="288" w:lineRule="auto"/>
        <w:ind w:left="190" w:right="120"/>
        <w:shd w:fill="E8EEF5" w:val="clear"/>
        <w:pBdr>
          <w:left w:val="single" w:sz="18" w:space="8" w:color="2E74B5"/>
        </w:pBdr>
      </w:pPr>
      <w:r>
        <w:rPr>
          <w:b/>
          <w:color w:val="1F4D78"/>
          <w:sz w:val="18"/>
        </w:rPr>
        <w:t xml:space="preserve">OUTCOME  </w:t>
      </w:r>
      <w:r>
        <w:rPr>
          <w:color w:val="24313D"/>
          <w:sz w:val="21"/>
        </w:rPr>
        <w:t>A provider-neutral, offline pipeline can now assemble a ranked 500-album seed, prove that the file matches a strict versioned contract, and insert or refresh only accepted rows in AlbumCatalog inside one MongoDB transaction.</w:t>
      </w:r>
    </w:p>
    <w:p>
      <w:pPr>
        <w:pStyle w:val="Heading2"/>
      </w:pPr>
      <w:r>
        <w:t>What was delivered</w:t>
      </w:r>
    </w:p>
    <w:p>
      <w:pPr>
        <w:pStyle w:val="ListBullet"/>
        <w:numPr>
          <w:ilvl w:val="0"/>
          <w:numId w:val="10"/>
        </w:numPr>
      </w:pPr>
      <w:r>
        <w:t>A ranking fetcher that combines ListenBrainz all-time, yearly, and monthly release-group statistics.</w:t>
      </w:r>
    </w:p>
    <w:p>
      <w:pPr>
        <w:pStyle w:val="ListBullet"/>
        <w:numPr>
          <w:ilvl w:val="0"/>
          <w:numId w:val="10"/>
        </w:numPr>
      </w:pPr>
      <w:r>
        <w:t>MusicBrainz hydration for canonical titles, artist credits, release types, and partial dates.</w:t>
      </w:r>
    </w:p>
    <w:p>
      <w:pPr>
        <w:pStyle w:val="ListBullet"/>
        <w:numPr>
          <w:ilvl w:val="0"/>
          <w:numId w:val="10"/>
        </w:numPr>
      </w:pPr>
      <w:r>
        <w:t>A draft-07 JSON Schema, semantic validator, two-album sample, and checked 500-album seed.</w:t>
      </w:r>
    </w:p>
    <w:p>
      <w:pPr>
        <w:pStyle w:val="ListBullet"/>
        <w:numPr>
          <w:ilvl w:val="0"/>
          <w:numId w:val="10"/>
        </w:numPr>
      </w:pPr>
      <w:r>
        <w:t>A dry-run-first importer with quarantine, conflict detection, refresh preservation, and transactions.</w:t>
      </w:r>
    </w:p>
    <w:p>
      <w:pPr>
        <w:pStyle w:val="ListBullet"/>
        <w:numPr>
          <w:ilvl w:val="0"/>
          <w:numId w:val="10"/>
        </w:numPr>
      </w:pPr>
      <w:r>
        <w:t>Reports, checksum verification, provider-neutral guards, captured fixtures, and opt-in live testing.</w:t>
      </w:r>
    </w:p>
    <w:p>
      <w:pPr>
        <w:pStyle w:val="Heading2"/>
      </w:pPr>
      <w:r>
        <w:t>Phase 2.5 at a glance</w:t>
      </w:r>
    </w:p>
    <w:tbl>
      <w:tblPr>
        <w:tblStyle w:val="TableGrid"/>
        <w:tblW w:type="dxa" w:w="9360"/>
        <w:jc w:val="left"/>
        <w:tblLayout w:type="fixed"/>
        <w:tblLook w:firstColumn="1" w:firstRow="1" w:lastColumn="0" w:lastRow="0" w:noHBand="0" w:noVBand="1" w:val="04A0"/>
        <w:tblInd w:type="dxa" w:w="120"/>
      </w:tblPr>
      <w:tblGrid>
        <w:gridCol w:w="2246"/>
        <w:gridCol w:w="7114"/>
      </w:tblGrid>
      <w:tr>
        <w:trPr>
          <w:tblHeader w:val="true"/>
          <w:cantSplit/>
        </w:trPr>
        <w:tc>
          <w:tcPr>
            <w:tcW w:type="dxa" w:w="2246"/>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Area</w:t>
            </w:r>
          </w:p>
        </w:tc>
        <w:tc>
          <w:tcPr>
            <w:tcW w:type="dxa" w:w="7114"/>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Implemented result</w:t>
            </w:r>
          </w:p>
        </w:tc>
      </w:tr>
      <w:tr>
        <w:trPr>
          <w:cantSplit/>
        </w:trPr>
        <w:tc>
          <w:tcPr>
            <w:tcW w:type="dxa" w:w="2246"/>
            <w:vAlign w:val="top"/>
            <w:tcMar>
              <w:top w:w="80" w:type="dxa"/>
              <w:bottom w:w="80" w:type="dxa"/>
              <w:start w:w="120" w:type="dxa"/>
              <w:end w:w="120" w:type="dxa"/>
            </w:tcMar>
          </w:tcPr>
          <w:p>
            <w:pPr>
              <w:spacing w:after="0" w:line="264" w:lineRule="auto"/>
            </w:pPr>
            <w:r>
              <w:rPr>
                <w:rFonts w:ascii="Calibri" w:hAnsi="Calibri"/>
                <w:b/>
                <w:color w:val="1F4D78"/>
                <w:sz w:val="18"/>
              </w:rPr>
              <w:t>Source</w:t>
            </w:r>
          </w:p>
        </w:tc>
        <w:tc>
          <w:tcPr>
            <w:tcW w:type="dxa" w:w="7114"/>
            <w:vAlign w:val="top"/>
            <w:tcMar>
              <w:top w:w="80" w:type="dxa"/>
              <w:bottom w:w="80" w:type="dxa"/>
              <w:start w:w="120" w:type="dxa"/>
              <w:end w:w="120" w:type="dxa"/>
            </w:tcMar>
          </w:tcPr>
          <w:p>
            <w:pPr>
              <w:spacing w:after="0" w:line="264" w:lineRule="auto"/>
            </w:pPr>
            <w:r>
              <w:rPr>
                <w:rFonts w:ascii="Calibri" w:hAnsi="Calibri"/>
                <w:color w:val="24313D"/>
                <w:sz w:val="18"/>
              </w:rPr>
              <w:t>Sitewide ListenBrainz release-group rankings, hydrated through MusicBrainz core metadata.</w:t>
            </w:r>
          </w:p>
        </w:tc>
      </w:tr>
      <w:tr>
        <w:trPr>
          <w:cantSplit/>
        </w:trPr>
        <w:tc>
          <w:tcPr>
            <w:tcW w:type="dxa" w:w="2246"/>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Selection</w:t>
            </w:r>
          </w:p>
        </w:tc>
        <w:tc>
          <w:tcPr>
            <w:tcW w:type="dxa" w:w="7114"/>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500 releases: 300 all-time, 150 yearly, 50 monthly; no more than five per primary artist.</w:t>
            </w:r>
          </w:p>
        </w:tc>
      </w:tr>
      <w:tr>
        <w:trPr>
          <w:cantSplit/>
        </w:trPr>
        <w:tc>
          <w:tcPr>
            <w:tcW w:type="dxa" w:w="2246"/>
            <w:vAlign w:val="top"/>
            <w:tcMar>
              <w:top w:w="80" w:type="dxa"/>
              <w:bottom w:w="80" w:type="dxa"/>
              <w:start w:w="120" w:type="dxa"/>
              <w:end w:w="120" w:type="dxa"/>
            </w:tcMar>
          </w:tcPr>
          <w:p>
            <w:pPr>
              <w:spacing w:after="0" w:line="264" w:lineRule="auto"/>
            </w:pPr>
            <w:r>
              <w:rPr>
                <w:rFonts w:ascii="Calibri" w:hAnsi="Calibri"/>
                <w:b/>
                <w:color w:val="1F4D78"/>
                <w:sz w:val="18"/>
              </w:rPr>
              <w:t>Contract</w:t>
            </w:r>
          </w:p>
        </w:tc>
        <w:tc>
          <w:tcPr>
            <w:tcW w:type="dxa" w:w="7114"/>
            <w:vAlign w:val="top"/>
            <w:tcMar>
              <w:top w:w="80" w:type="dxa"/>
              <w:bottom w:w="80" w:type="dxa"/>
              <w:start w:w="120" w:type="dxa"/>
              <w:end w:w="120" w:type="dxa"/>
            </w:tcMar>
          </w:tcPr>
          <w:p>
            <w:pPr>
              <w:spacing w:after="0" w:line="264" w:lineRule="auto"/>
            </w:pPr>
            <w:r>
              <w:rPr>
                <w:rFonts w:ascii="Calibri" w:hAnsi="Calibri"/>
                <w:color w:val="24313D"/>
                <w:sz w:val="18"/>
              </w:rPr>
              <w:t>Schema version 1.0.0, additionalProperties: false throughout, plus semantic validation.</w:t>
            </w:r>
          </w:p>
        </w:tc>
      </w:tr>
      <w:tr>
        <w:trPr>
          <w:cantSplit/>
        </w:trPr>
        <w:tc>
          <w:tcPr>
            <w:tcW w:type="dxa" w:w="2246"/>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Persistence</w:t>
            </w:r>
          </w:p>
        </w:tc>
        <w:tc>
          <w:tcPr>
            <w:tcW w:type="dxa" w:w="7114"/>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Insert or refresh AlbumCatalog by MusicBrainz release-group identity; preserve local/manual work.</w:t>
            </w:r>
          </w:p>
        </w:tc>
      </w:tr>
      <w:tr>
        <w:trPr>
          <w:cantSplit/>
        </w:trPr>
        <w:tc>
          <w:tcPr>
            <w:tcW w:type="dxa" w:w="2246"/>
            <w:vAlign w:val="top"/>
            <w:tcMar>
              <w:top w:w="80" w:type="dxa"/>
              <w:bottom w:w="80" w:type="dxa"/>
              <w:start w:w="120" w:type="dxa"/>
              <w:end w:w="120" w:type="dxa"/>
            </w:tcMar>
          </w:tcPr>
          <w:p>
            <w:pPr>
              <w:spacing w:after="0" w:line="264" w:lineRule="auto"/>
            </w:pPr>
            <w:r>
              <w:rPr>
                <w:rFonts w:ascii="Calibri" w:hAnsi="Calibri"/>
                <w:b/>
                <w:color w:val="1F4D78"/>
                <w:sz w:val="18"/>
              </w:rPr>
              <w:t>Safety</w:t>
            </w:r>
          </w:p>
        </w:tc>
        <w:tc>
          <w:tcPr>
            <w:tcW w:type="dxa" w:w="7114"/>
            <w:vAlign w:val="top"/>
            <w:tcMar>
              <w:top w:w="80" w:type="dxa"/>
              <w:bottom w:w="80" w:type="dxa"/>
              <w:start w:w="120" w:type="dxa"/>
              <w:end w:w="120" w:type="dxa"/>
            </w:tcMar>
          </w:tcPr>
          <w:p>
            <w:pPr>
              <w:spacing w:after="0" w:line="264" w:lineRule="auto"/>
            </w:pPr>
            <w:r>
              <w:rPr>
                <w:rFonts w:ascii="Calibri" w:hAnsi="Calibri"/>
                <w:color w:val="24313D"/>
                <w:sz w:val="18"/>
              </w:rPr>
              <w:t>Dry-run default, quarantine before writes, one transaction, atomic artifacts, deterministic exit codes.</w:t>
            </w:r>
          </w:p>
        </w:tc>
      </w:tr>
      <w:tr>
        <w:trPr>
          <w:cantSplit/>
        </w:trPr>
        <w:tc>
          <w:tcPr>
            <w:tcW w:type="dxa" w:w="2246"/>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Boundary</w:t>
            </w:r>
          </w:p>
        </w:tc>
        <w:tc>
          <w:tcPr>
            <w:tcW w:type="dxa" w:w="7114"/>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Catalog records only—no submissions, reviews, likes, boards, moderation activity, or UI.</w:t>
            </w:r>
          </w:p>
        </w:tc>
      </w:tr>
    </w:tbl>
    <w:p>
      <w:pPr>
        <w:spacing w:after="20"/>
      </w:pPr>
    </w:p>
    <w:p>
      <w:pPr>
        <w:pStyle w:val="Heading1"/>
        <w:pBdr>
          <w:bottom w:val="single" w:sz="6" w:space="4" w:color="D7E0E8"/>
        </w:pBdr>
      </w:pPr>
      <w:r>
        <w:t>2. Purpose, scope, and architecture</w:t>
      </w:r>
    </w:p>
    <w:p>
      <w:pPr>
        <w:pStyle w:val="Heading2"/>
      </w:pPr>
      <w:r>
        <w:t>Why this phase existed</w:t>
      </w:r>
    </w:p>
    <w:p>
      <w:r>
        <w:t>Phase 2 had established provider-neutral catalog and moderation APIs, but the generation-2 catalog still needed real records for search, detail, and social workflows. Phase 2.5 filled that gap without coupling catalog population to the later public-suggestion feed or the Phase 3 interface.</w:t>
      </w:r>
    </w:p>
    <w:p>
      <w:r>
        <w:t>The implementation landed primarily in commit 556aee1 (27 files, 27,588 insertions). Later handoff work tracked import reports alongside the Phase 3 UI. This retrospective describes the completed Phase 2.5 capability as it exists at handoff, while distinguishing its boundaries from Phase 3.</w:t>
      </w:r>
    </w:p>
    <w:p>
      <w:pPr>
        <w:pStyle w:val="Heading2"/>
      </w:pPr>
      <w:r>
        <w:t>End-to-end flow</w:t>
      </w:r>
    </w:p>
    <w:p>
      <w:pPr>
        <w:pStyle w:val="ListNumber"/>
        <w:numPr>
          <w:ilvl w:val="0"/>
          <w:numId w:val="12"/>
        </w:numPr>
      </w:pPr>
      <w:r>
        <w:rPr>
          <w:b/>
        </w:rPr>
        <w:t xml:space="preserve">Fetch rankings. </w:t>
      </w:r>
      <w:r>
        <w:t>Read up to 1,000 sitewide release groups from each configured ListenBrainz range.</w:t>
      </w:r>
    </w:p>
    <w:p>
      <w:pPr>
        <w:pStyle w:val="ListNumber"/>
        <w:numPr>
          <w:ilvl w:val="0"/>
          <w:numId w:val="12"/>
        </w:numPr>
      </w:pPr>
      <w:r>
        <w:rPr>
          <w:b/>
        </w:rPr>
        <w:t xml:space="preserve">Consolidate candidates. </w:t>
      </w:r>
      <w:r>
        <w:t>Normalize MBIDs, deduplicate release groups, and retain every range/rank/listen-count signal.</w:t>
      </w:r>
    </w:p>
    <w:p>
      <w:pPr>
        <w:pStyle w:val="ListNumber"/>
        <w:numPr>
          <w:ilvl w:val="0"/>
          <w:numId w:val="12"/>
        </w:numPr>
      </w:pPr>
      <w:r>
        <w:rPr>
          <w:b/>
        </w:rPr>
        <w:t xml:space="preserve">Hydrate metadata. </w:t>
      </w:r>
      <w:r>
        <w:t>Request MusicBrainz release-group details with artist credits, using pacing, cache, and retry controls.</w:t>
      </w:r>
    </w:p>
    <w:p>
      <w:pPr>
        <w:pStyle w:val="ListNumber"/>
        <w:numPr>
          <w:ilvl w:val="0"/>
          <w:numId w:val="12"/>
        </w:numPr>
      </w:pPr>
      <w:r>
        <w:rPr>
          <w:b/>
        </w:rPr>
        <w:t xml:space="preserve">Normalize and select. </w:t>
      </w:r>
      <w:r>
        <w:t>Map credits, types, dates, and optional CAA identity; enforce quotas and the artist cap with backfill.</w:t>
      </w:r>
    </w:p>
    <w:p>
      <w:pPr>
        <w:pStyle w:val="ListNumber"/>
        <w:numPr>
          <w:ilvl w:val="0"/>
          <w:numId w:val="12"/>
        </w:numPr>
      </w:pPr>
      <w:r>
        <w:rPr>
          <w:b/>
        </w:rPr>
        <w:t xml:space="preserve">Publish artifacts. </w:t>
      </w:r>
      <w:r>
        <w:t>Atomically write the strict dataset, its SHA-256 checksum, and a fetch report only after the target is filled.</w:t>
      </w:r>
    </w:p>
    <w:p>
      <w:pPr>
        <w:pStyle w:val="ListNumber"/>
        <w:numPr>
          <w:ilvl w:val="0"/>
          <w:numId w:val="12"/>
        </w:numPr>
      </w:pPr>
      <w:r>
        <w:rPr>
          <w:b/>
        </w:rPr>
        <w:t xml:space="preserve">Validate and preflight. </w:t>
      </w:r>
      <w:r>
        <w:t>Reject fatal envelopes, quarantine bad rows or conflicts, construct final merged documents, and validate again.</w:t>
      </w:r>
    </w:p>
    <w:p>
      <w:pPr>
        <w:pStyle w:val="ListNumber"/>
        <w:numPr>
          <w:ilvl w:val="0"/>
          <w:numId w:val="12"/>
        </w:numPr>
      </w:pPr>
      <w:r>
        <w:rPr>
          <w:b/>
        </w:rPr>
        <w:t xml:space="preserve">Apply transactionally. </w:t>
      </w:r>
      <w:r>
        <w:t>Insert or refresh accepted rows in one Mongo transaction; never write quarantined rows.</w:t>
      </w:r>
    </w:p>
    <w:p>
      <w:pPr>
        <w:pStyle w:val="Heading2"/>
      </w:pPr>
      <w:r>
        <w:t>Deliberate non-goals</w:t>
      </w:r>
    </w:p>
    <w:p>
      <w:pPr>
        <w:pStyle w:val="ListBullet"/>
        <w:numPr>
          <w:ilvl w:val="0"/>
          <w:numId w:val="10"/>
        </w:numPr>
      </w:pPr>
      <w:r>
        <w:t>No HTTP fetch/import endpoint and no public download endpoint; artifacts remain repository files.</w:t>
      </w:r>
    </w:p>
    <w:p>
      <w:pPr>
        <w:pStyle w:val="ListBullet"/>
        <w:numPr>
          <w:ilvl w:val="0"/>
          <w:numId w:val="10"/>
        </w:numPr>
      </w:pPr>
      <w:r>
        <w:t>No recurring synchronization, scheduled job, or deletion of catalog albums absent from a later seed.</w:t>
      </w:r>
    </w:p>
    <w:p>
      <w:pPr>
        <w:pStyle w:val="ListBullet"/>
        <w:numPr>
          <w:ilvl w:val="0"/>
          <w:numId w:val="10"/>
        </w:numPr>
      </w:pPr>
      <w:r>
        <w:t>No reviews, likes, boards, profiles, submissions, moderation history, notifications, or feed activity.</w:t>
      </w:r>
    </w:p>
    <w:p>
      <w:pPr>
        <w:pStyle w:val="ListBullet"/>
        <w:numPr>
          <w:ilvl w:val="0"/>
          <w:numId w:val="10"/>
        </w:numPr>
      </w:pPr>
      <w:r>
        <w:t>No Phase 3 contributor/moderator interface and no optional public approved-suggestion feed.</w:t>
      </w:r>
    </w:p>
    <w:p>
      <w:pPr>
        <w:pStyle w:val="ListBullet"/>
        <w:numPr>
          <w:ilvl w:val="0"/>
          <w:numId w:val="10"/>
        </w:numPr>
      </w:pPr>
      <w:r>
        <w:t>No tracks, labels, Spotify references, MusicBrainz tags, genres, ratings, annotations, or artwork downloads; CAA images are linked by URL only.</w:t>
      </w:r>
    </w:p>
    <w:p>
      <w:pPr>
        <w:pStyle w:val="Heading1"/>
        <w:pBdr>
          <w:bottom w:val="single" w:sz="6" w:space="4" w:color="D7E0E8"/>
        </w:pBdr>
      </w:pPr>
      <w:r>
        <w:t>3. Data acquisition and normalization</w:t>
      </w:r>
    </w:p>
    <w:p>
      <w:pPr>
        <w:pStyle w:val="Heading2"/>
      </w:pPr>
      <w:r>
        <w:t>ListenBrainz selection</w:t>
      </w:r>
    </w:p>
    <w:p>
      <w:r>
        <w:t>The fetcher reads sitewide release-group statistics rather than individual listening histories. Each range supplies both a candidate pool and a required contribution to the final dataset. If a candidate is invalid, fails hydration, violates the contract, duplicates an earlier MBID, or exceeds the artist cap, selection continues lower in the ranking until the quota is filled.</w:t>
      </w:r>
    </w:p>
    <w:tbl>
      <w:tblPr>
        <w:tblStyle w:val="TableGrid"/>
        <w:tblW w:type="dxa" w:w="9360"/>
        <w:jc w:val="left"/>
        <w:tblLayout w:type="fixed"/>
        <w:tblLook w:firstColumn="1" w:firstRow="1" w:lastColumn="0" w:lastRow="0" w:noHBand="0" w:noVBand="1" w:val="04A0"/>
        <w:tblInd w:type="dxa" w:w="120"/>
      </w:tblPr>
      <w:tblGrid>
        <w:gridCol w:w="1716"/>
        <w:gridCol w:w="1560"/>
        <w:gridCol w:w="1872"/>
        <w:gridCol w:w="4212"/>
      </w:tblGrid>
      <w:tr>
        <w:trPr>
          <w:tblHeader w:val="true"/>
          <w:cantSplit/>
        </w:trPr>
        <w:tc>
          <w:tcPr>
            <w:tcW w:type="dxa" w:w="1716"/>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Range</w:t>
            </w:r>
          </w:p>
        </w:tc>
        <w:tc>
          <w:tcPr>
            <w:tcW w:type="dxa" w:w="156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Final quota</w:t>
            </w:r>
          </w:p>
        </w:tc>
        <w:tc>
          <w:tcPr>
            <w:tcW w:type="dxa" w:w="187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Candidate ceiling</w:t>
            </w:r>
          </w:p>
        </w:tc>
        <w:tc>
          <w:tcPr>
            <w:tcW w:type="dxa" w:w="421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Selection role</w:t>
            </w:r>
          </w:p>
        </w:tc>
      </w:tr>
      <w:tr>
        <w:trPr>
          <w:cantSplit/>
        </w:trPr>
        <w:tc>
          <w:tcPr>
            <w:tcW w:type="dxa" w:w="1716"/>
            <w:vAlign w:val="top"/>
            <w:tcMar>
              <w:top w:w="80" w:type="dxa"/>
              <w:bottom w:w="80" w:type="dxa"/>
              <w:start w:w="120" w:type="dxa"/>
              <w:end w:w="120" w:type="dxa"/>
            </w:tcMar>
          </w:tcPr>
          <w:p>
            <w:pPr>
              <w:spacing w:after="0" w:line="264" w:lineRule="auto"/>
            </w:pPr>
            <w:r>
              <w:rPr>
                <w:rFonts w:ascii="Calibri" w:hAnsi="Calibri"/>
                <w:b/>
                <w:color w:val="1F4D78"/>
                <w:sz w:val="18"/>
              </w:rPr>
              <w:t>all_time</w:t>
            </w:r>
          </w:p>
        </w:tc>
        <w:tc>
          <w:tcPr>
            <w:tcW w:type="dxa" w:w="1560"/>
            <w:vAlign w:val="top"/>
            <w:tcMar>
              <w:top w:w="80" w:type="dxa"/>
              <w:bottom w:w="80" w:type="dxa"/>
              <w:start w:w="120" w:type="dxa"/>
              <w:end w:w="120" w:type="dxa"/>
            </w:tcMar>
          </w:tcPr>
          <w:p>
            <w:pPr>
              <w:spacing w:after="0" w:line="264" w:lineRule="auto"/>
            </w:pPr>
            <w:r>
              <w:rPr>
                <w:rFonts w:ascii="Calibri" w:hAnsi="Calibri"/>
                <w:color w:val="24313D"/>
                <w:sz w:val="18"/>
              </w:rPr>
              <w:t>300</w:t>
            </w:r>
          </w:p>
        </w:tc>
        <w:tc>
          <w:tcPr>
            <w:tcW w:type="dxa" w:w="1872"/>
            <w:vAlign w:val="top"/>
            <w:tcMar>
              <w:top w:w="80" w:type="dxa"/>
              <w:bottom w:w="80" w:type="dxa"/>
              <w:start w:w="120" w:type="dxa"/>
              <w:end w:w="120" w:type="dxa"/>
            </w:tcMar>
          </w:tcPr>
          <w:p>
            <w:pPr>
              <w:spacing w:after="0" w:line="264" w:lineRule="auto"/>
            </w:pPr>
            <w:r>
              <w:rPr>
                <w:rFonts w:ascii="Calibri" w:hAnsi="Calibri"/>
                <w:color w:val="24313D"/>
                <w:sz w:val="18"/>
              </w:rPr>
              <w:t>1,000</w:t>
            </w:r>
          </w:p>
        </w:tc>
        <w:tc>
          <w:tcPr>
            <w:tcW w:type="dxa" w:w="4212"/>
            <w:vAlign w:val="top"/>
            <w:tcMar>
              <w:top w:w="80" w:type="dxa"/>
              <w:bottom w:w="80" w:type="dxa"/>
              <w:start w:w="120" w:type="dxa"/>
              <w:end w:w="120" w:type="dxa"/>
            </w:tcMar>
          </w:tcPr>
          <w:p>
            <w:pPr>
              <w:spacing w:after="0" w:line="264" w:lineRule="auto"/>
            </w:pPr>
            <w:r>
              <w:rPr>
                <w:rFonts w:ascii="Calibri" w:hAnsi="Calibri"/>
                <w:color w:val="24313D"/>
                <w:sz w:val="18"/>
              </w:rPr>
              <w:t>Stable long-horizon popularity</w:t>
            </w:r>
          </w:p>
        </w:tc>
      </w:tr>
      <w:tr>
        <w:trPr>
          <w:cantSplit/>
        </w:trPr>
        <w:tc>
          <w:tcPr>
            <w:tcW w:type="dxa" w:w="1716"/>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year</w:t>
            </w:r>
          </w:p>
        </w:tc>
        <w:tc>
          <w:tcPr>
            <w:tcW w:type="dxa" w:w="156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150</w:t>
            </w:r>
          </w:p>
        </w:tc>
        <w:tc>
          <w:tcPr>
            <w:tcW w:type="dxa" w:w="187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1,000</w:t>
            </w:r>
          </w:p>
        </w:tc>
        <w:tc>
          <w:tcPr>
            <w:tcW w:type="dxa" w:w="421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Recent annual listening</w:t>
            </w:r>
          </w:p>
        </w:tc>
      </w:tr>
      <w:tr>
        <w:trPr>
          <w:cantSplit/>
        </w:trPr>
        <w:tc>
          <w:tcPr>
            <w:tcW w:type="dxa" w:w="1716"/>
            <w:vAlign w:val="top"/>
            <w:tcMar>
              <w:top w:w="80" w:type="dxa"/>
              <w:bottom w:w="80" w:type="dxa"/>
              <w:start w:w="120" w:type="dxa"/>
              <w:end w:w="120" w:type="dxa"/>
            </w:tcMar>
          </w:tcPr>
          <w:p>
            <w:pPr>
              <w:spacing w:after="0" w:line="264" w:lineRule="auto"/>
            </w:pPr>
            <w:r>
              <w:rPr>
                <w:rFonts w:ascii="Calibri" w:hAnsi="Calibri"/>
                <w:b/>
                <w:color w:val="1F4D78"/>
                <w:sz w:val="18"/>
              </w:rPr>
              <w:t>month</w:t>
            </w:r>
          </w:p>
        </w:tc>
        <w:tc>
          <w:tcPr>
            <w:tcW w:type="dxa" w:w="1560"/>
            <w:vAlign w:val="top"/>
            <w:tcMar>
              <w:top w:w="80" w:type="dxa"/>
              <w:bottom w:w="80" w:type="dxa"/>
              <w:start w:w="120" w:type="dxa"/>
              <w:end w:w="120" w:type="dxa"/>
            </w:tcMar>
          </w:tcPr>
          <w:p>
            <w:pPr>
              <w:spacing w:after="0" w:line="264" w:lineRule="auto"/>
            </w:pPr>
            <w:r>
              <w:rPr>
                <w:rFonts w:ascii="Calibri" w:hAnsi="Calibri"/>
                <w:color w:val="24313D"/>
                <w:sz w:val="18"/>
              </w:rPr>
              <w:t>50</w:t>
            </w:r>
          </w:p>
        </w:tc>
        <w:tc>
          <w:tcPr>
            <w:tcW w:type="dxa" w:w="1872"/>
            <w:vAlign w:val="top"/>
            <w:tcMar>
              <w:top w:w="80" w:type="dxa"/>
              <w:bottom w:w="80" w:type="dxa"/>
              <w:start w:w="120" w:type="dxa"/>
              <w:end w:w="120" w:type="dxa"/>
            </w:tcMar>
          </w:tcPr>
          <w:p>
            <w:pPr>
              <w:spacing w:after="0" w:line="264" w:lineRule="auto"/>
            </w:pPr>
            <w:r>
              <w:rPr>
                <w:rFonts w:ascii="Calibri" w:hAnsi="Calibri"/>
                <w:color w:val="24313D"/>
                <w:sz w:val="18"/>
              </w:rPr>
              <w:t>1,000</w:t>
            </w:r>
          </w:p>
        </w:tc>
        <w:tc>
          <w:tcPr>
            <w:tcW w:type="dxa" w:w="4212"/>
            <w:vAlign w:val="top"/>
            <w:tcMar>
              <w:top w:w="80" w:type="dxa"/>
              <w:bottom w:w="80" w:type="dxa"/>
              <w:start w:w="120" w:type="dxa"/>
              <w:end w:w="120" w:type="dxa"/>
            </w:tcMar>
          </w:tcPr>
          <w:p>
            <w:pPr>
              <w:spacing w:after="0" w:line="264" w:lineRule="auto"/>
            </w:pPr>
            <w:r>
              <w:rPr>
                <w:rFonts w:ascii="Calibri" w:hAnsi="Calibri"/>
                <w:color w:val="24313D"/>
                <w:sz w:val="18"/>
              </w:rPr>
              <w:t>Short-horizon momentum</w:t>
            </w:r>
          </w:p>
        </w:tc>
      </w:tr>
    </w:tbl>
    <w:p>
      <w:pPr>
        <w:spacing w:after="20"/>
      </w:pPr>
    </w:p>
    <w:p>
      <w:pPr>
        <w:spacing w:before="20" w:after="120"/>
      </w:pPr>
      <w:r>
        <w:rPr>
          <w:rFonts w:ascii="Calibri" w:hAnsi="Calibri"/>
          <w:i/>
          <w:color w:val="5E6B76"/>
          <w:sz w:val="17"/>
        </w:rPr>
        <w:t>The final composition is exact; the five-release cap is global per primary credited artist.</w:t>
      </w:r>
    </w:p>
    <w:p>
      <w:pPr>
        <w:pStyle w:val="Heading2"/>
      </w:pPr>
      <w:r>
        <w:t>MusicBrainz hydration and mapping</w:t>
      </w:r>
    </w:p>
    <w:tbl>
      <w:tblPr>
        <w:tblStyle w:val="TableGrid"/>
        <w:tblW w:type="dxa" w:w="9360"/>
        <w:jc w:val="left"/>
        <w:tblLayout w:type="fixed"/>
        <w:tblLook w:firstColumn="1" w:firstRow="1" w:lastColumn="0" w:lastRow="0" w:noHBand="0" w:noVBand="1" w:val="04A0"/>
        <w:tblInd w:type="dxa" w:w="120"/>
      </w:tblPr>
      <w:tblGrid>
        <w:gridCol w:w="1950"/>
        <w:gridCol w:w="7410"/>
      </w:tblGrid>
      <w:tr>
        <w:trPr>
          <w:tblHeader w:val="true"/>
          <w:cantSplit/>
        </w:trPr>
        <w:tc>
          <w:tcPr>
            <w:tcW w:type="dxa" w:w="195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Field</w:t>
            </w:r>
          </w:p>
        </w:tc>
        <w:tc>
          <w:tcPr>
            <w:tcW w:type="dxa" w:w="741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Normalization rule</w:t>
            </w:r>
          </w:p>
        </w:tc>
      </w:tr>
      <w:tr>
        <w:trPr>
          <w:cantSplit/>
        </w:trPr>
        <w:tc>
          <w:tcPr>
            <w:tcW w:type="dxa" w:w="1950"/>
            <w:vAlign w:val="top"/>
            <w:tcMar>
              <w:top w:w="80" w:type="dxa"/>
              <w:bottom w:w="80" w:type="dxa"/>
              <w:start w:w="120" w:type="dxa"/>
              <w:end w:w="120" w:type="dxa"/>
            </w:tcMar>
          </w:tcPr>
          <w:p>
            <w:pPr>
              <w:spacing w:after="0" w:line="264" w:lineRule="auto"/>
            </w:pPr>
            <w:r>
              <w:rPr>
                <w:rFonts w:ascii="Calibri" w:hAnsi="Calibri"/>
                <w:b/>
                <w:color w:val="1F4D78"/>
                <w:sz w:val="18"/>
              </w:rPr>
              <w:t>Artist display</w:t>
            </w:r>
          </w:p>
        </w:tc>
        <w:tc>
          <w:tcPr>
            <w:tcW w:type="dxa" w:w="7410"/>
            <w:vAlign w:val="top"/>
            <w:tcMar>
              <w:top w:w="80" w:type="dxa"/>
              <w:bottom w:w="80" w:type="dxa"/>
              <w:start w:w="120" w:type="dxa"/>
              <w:end w:w="120" w:type="dxa"/>
            </w:tcMar>
          </w:tcPr>
          <w:p>
            <w:pPr>
              <w:spacing w:after="0" w:line="264" w:lineRule="auto"/>
            </w:pPr>
            <w:r>
              <w:rPr>
                <w:rFonts w:ascii="Calibri" w:hAnsi="Calibri"/>
                <w:color w:val="24313D"/>
                <w:sz w:val="18"/>
              </w:rPr>
              <w:t>Compose credited names with MusicBrainz join phrases; preserve individual credit MBIDs.</w:t>
            </w:r>
          </w:p>
        </w:tc>
      </w:tr>
      <w:tr>
        <w:trPr>
          <w:cantSplit/>
        </w:trPr>
        <w:tc>
          <w:tcPr>
            <w:tcW w:type="dxa" w:w="195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Release type</w:t>
            </w:r>
          </w:p>
        </w:tc>
        <w:tc>
          <w:tcPr>
            <w:tcW w:type="dxa" w:w="741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soundtrack → mixtape/street → live → remix → compilation; then Album, EP, Single; otherwise other.</w:t>
            </w:r>
          </w:p>
        </w:tc>
      </w:tr>
      <w:tr>
        <w:trPr>
          <w:cantSplit/>
        </w:trPr>
        <w:tc>
          <w:tcPr>
            <w:tcW w:type="dxa" w:w="1950"/>
            <w:vAlign w:val="top"/>
            <w:tcMar>
              <w:top w:w="80" w:type="dxa"/>
              <w:bottom w:w="80" w:type="dxa"/>
              <w:start w:w="120" w:type="dxa"/>
              <w:end w:w="120" w:type="dxa"/>
            </w:tcMar>
          </w:tcPr>
          <w:p>
            <w:pPr>
              <w:spacing w:after="0" w:line="264" w:lineRule="auto"/>
            </w:pPr>
            <w:r>
              <w:rPr>
                <w:rFonts w:ascii="Calibri" w:hAnsi="Calibri"/>
                <w:b/>
                <w:color w:val="1F4D78"/>
                <w:sz w:val="18"/>
              </w:rPr>
              <w:t>Release date</w:t>
            </w:r>
          </w:p>
        </w:tc>
        <w:tc>
          <w:tcPr>
            <w:tcW w:type="dxa" w:w="7410"/>
            <w:vAlign w:val="top"/>
            <w:tcMar>
              <w:top w:w="80" w:type="dxa"/>
              <w:bottom w:w="80" w:type="dxa"/>
              <w:start w:w="120" w:type="dxa"/>
              <w:end w:w="120" w:type="dxa"/>
            </w:tcMar>
          </w:tcPr>
          <w:p>
            <w:pPr>
              <w:spacing w:after="0" w:line="264" w:lineRule="auto"/>
            </w:pPr>
            <w:r>
              <w:rPr>
                <w:rFonts w:ascii="Calibri" w:hAnsi="Calibri"/>
                <w:color w:val="24313D"/>
                <w:sz w:val="18"/>
              </w:rPr>
              <w:t>Accept only YYYY, YYYY-MM, or YYYY-MM-DD. Unknown stays empty with releaseYear: null.</w:t>
            </w:r>
          </w:p>
        </w:tc>
      </w:tr>
      <w:tr>
        <w:trPr>
          <w:cantSplit/>
        </w:trPr>
        <w:tc>
          <w:tcPr>
            <w:tcW w:type="dxa" w:w="195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Cover</w:t>
            </w:r>
          </w:p>
        </w:tc>
        <w:tc>
          <w:tcPr>
            <w:tcW w:type="dxa" w:w="741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Create a 500px CAA URL only when both a valid representative release MBID and image ID exist.</w:t>
            </w:r>
          </w:p>
        </w:tc>
      </w:tr>
      <w:tr>
        <w:trPr>
          <w:cantSplit/>
        </w:trPr>
        <w:tc>
          <w:tcPr>
            <w:tcW w:type="dxa" w:w="1950"/>
            <w:vAlign w:val="top"/>
            <w:tcMar>
              <w:top w:w="80" w:type="dxa"/>
              <w:bottom w:w="80" w:type="dxa"/>
              <w:start w:w="120" w:type="dxa"/>
              <w:end w:w="120" w:type="dxa"/>
            </w:tcMar>
          </w:tcPr>
          <w:p>
            <w:pPr>
              <w:spacing w:after="0" w:line="264" w:lineRule="auto"/>
            </w:pPr>
            <w:r>
              <w:rPr>
                <w:rFonts w:ascii="Calibri" w:hAnsi="Calibri"/>
                <w:b/>
                <w:color w:val="1F4D78"/>
                <w:sz w:val="18"/>
              </w:rPr>
              <w:t>Ranking signals</w:t>
            </w:r>
          </w:p>
        </w:tc>
        <w:tc>
          <w:tcPr>
            <w:tcW w:type="dxa" w:w="7410"/>
            <w:vAlign w:val="top"/>
            <w:tcMar>
              <w:top w:w="80" w:type="dxa"/>
              <w:bottom w:w="80" w:type="dxa"/>
              <w:start w:w="120" w:type="dxa"/>
              <w:end w:w="120" w:type="dxa"/>
            </w:tcMar>
          </w:tcPr>
          <w:p>
            <w:pPr>
              <w:spacing w:after="0" w:line="264" w:lineRule="auto"/>
            </w:pPr>
            <w:r>
              <w:rPr>
                <w:rFonts w:ascii="Calibri" w:hAnsi="Calibri"/>
                <w:color w:val="24313D"/>
                <w:sz w:val="18"/>
              </w:rPr>
              <w:t>Keep every observed range, rank, and listen count for a release group, including cross-range duplicates.</w:t>
            </w:r>
          </w:p>
        </w:tc>
      </w:tr>
    </w:tbl>
    <w:p>
      <w:pPr>
        <w:spacing w:after="20"/>
      </w:pPr>
    </w:p>
    <w:p>
      <w:pPr>
        <w:pStyle w:val="Heading2"/>
      </w:pPr>
      <w:r>
        <w:t>Provider etiquette and resumability</w:t>
      </w:r>
    </w:p>
    <w:p>
      <w:pPr>
        <w:pStyle w:val="ListBullet"/>
        <w:numPr>
          <w:ilvl w:val="0"/>
          <w:numId w:val="10"/>
        </w:numPr>
      </w:pPr>
      <w:r>
        <w:rPr>
          <w:b/>
        </w:rPr>
        <w:t>User agent.</w:t>
      </w:r>
      <w:r>
        <w:t xml:space="preserve"> A meaningful Rescened identity is sent to MusicBrainz.</w:t>
      </w:r>
    </w:p>
    <w:p>
      <w:pPr>
        <w:pStyle w:val="ListBullet"/>
        <w:numPr>
          <w:ilvl w:val="0"/>
          <w:numId w:val="10"/>
        </w:numPr>
      </w:pPr>
      <w:r>
        <w:rPr>
          <w:b/>
        </w:rPr>
        <w:t>Rate gate.</w:t>
      </w:r>
      <w:r>
        <w:t xml:space="preserve"> MusicBrainz requests are serialized at roughly 1.1 seconds apart.</w:t>
      </w:r>
    </w:p>
    <w:p>
      <w:pPr>
        <w:pStyle w:val="ListBullet"/>
        <w:numPr>
          <w:ilvl w:val="0"/>
          <w:numId w:val="10"/>
        </w:numPr>
      </w:pPr>
      <w:r>
        <w:rPr>
          <w:b/>
        </w:rPr>
        <w:t>Recovery.</w:t>
      </w:r>
      <w:r>
        <w:t xml:space="preserve"> Successful responses are cached, fetches resume from cache, and cache timestamps must be strict ISO values.</w:t>
      </w:r>
    </w:p>
    <w:p>
      <w:pPr>
        <w:pStyle w:val="ListBullet"/>
        <w:numPr>
          <w:ilvl w:val="0"/>
          <w:numId w:val="10"/>
        </w:numPr>
      </w:pPr>
      <w:r>
        <w:rPr>
          <w:b/>
        </w:rPr>
        <w:t>Retries.</w:t>
      </w:r>
      <w:r>
        <w:t xml:space="preserve"> Requests use timeouts, three bounded retry attempts, exponential fallback, and full Retry-After handling.</w:t>
      </w:r>
    </w:p>
    <w:p>
      <w:pPr>
        <w:pStyle w:val="ListBullet"/>
        <w:numPr>
          <w:ilvl w:val="0"/>
          <w:numId w:val="10"/>
        </w:numPr>
      </w:pPr>
      <w:r>
        <w:rPr>
          <w:b/>
        </w:rPr>
        <w:t>Publication.</w:t>
      </w:r>
      <w:r>
        <w:t xml:space="preserve"> Dataset, checksum, and report are staged as one bundle; failed publication restores the previous bundle.</w:t>
      </w:r>
    </w:p>
    <w:p>
      <w:pPr>
        <w:pStyle w:val="Heading1"/>
        <w:pBdr>
          <w:bottom w:val="single" w:sz="6" w:space="4" w:color="D7E0E8"/>
        </w:pBdr>
      </w:pPr>
      <w:r>
        <w:t>4. Dataset contract and validation</w:t>
      </w:r>
    </w:p>
    <w:p>
      <w:r>
        <w:t>The checked-in draft-07 schema is the trust boundary between remote source data and the database. Version 1.0.0 uses additionalProperties: false at every object level and bounds MBIDs, URLs, strings, counts, ranks, arrays, dates, and enums. A two-album sample demonstrates the accepted shape using official CC0 core metadata.</w:t>
      </w:r>
    </w:p>
    <w:p>
      <w:pPr>
        <w:pStyle w:val="Heading2"/>
      </w:pPr>
      <w:r>
        <w:t>Envelope and row responsibilities</w:t>
      </w:r>
    </w:p>
    <w:tbl>
      <w:tblPr>
        <w:tblStyle w:val="TableGrid"/>
        <w:tblW w:type="dxa" w:w="9360"/>
        <w:jc w:val="left"/>
        <w:tblLayout w:type="fixed"/>
        <w:tblLook w:firstColumn="1" w:firstRow="1" w:lastColumn="0" w:lastRow="0" w:noHBand="0" w:noVBand="1" w:val="04A0"/>
        <w:tblInd w:type="dxa" w:w="120"/>
      </w:tblPr>
      <w:tblGrid>
        <w:gridCol w:w="2262"/>
        <w:gridCol w:w="7098"/>
      </w:tblGrid>
      <w:tr>
        <w:trPr>
          <w:tblHeader w:val="true"/>
          <w:cantSplit/>
        </w:trPr>
        <w:tc>
          <w:tcPr>
            <w:tcW w:type="dxa" w:w="226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Contract layer</w:t>
            </w:r>
          </w:p>
        </w:tc>
        <w:tc>
          <w:tcPr>
            <w:tcW w:type="dxa" w:w="7098"/>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Required information</w:t>
            </w:r>
          </w:p>
        </w:tc>
      </w:tr>
      <w:tr>
        <w:trPr>
          <w:cantSplit/>
        </w:trPr>
        <w:tc>
          <w:tcPr>
            <w:tcW w:type="dxa" w:w="2262"/>
            <w:vAlign w:val="top"/>
            <w:tcMar>
              <w:top w:w="80" w:type="dxa"/>
              <w:bottom w:w="80" w:type="dxa"/>
              <w:start w:w="120" w:type="dxa"/>
              <w:end w:w="120" w:type="dxa"/>
            </w:tcMar>
          </w:tcPr>
          <w:p>
            <w:pPr>
              <w:spacing w:after="0" w:line="264" w:lineRule="auto"/>
            </w:pPr>
            <w:r>
              <w:rPr>
                <w:rFonts w:ascii="Calibri" w:hAnsi="Calibri"/>
                <w:b/>
                <w:color w:val="1F4D78"/>
                <w:sz w:val="18"/>
              </w:rPr>
              <w:t>Envelope</w:t>
            </w:r>
          </w:p>
        </w:tc>
        <w:tc>
          <w:tcPr>
            <w:tcW w:type="dxa" w:w="7098"/>
            <w:vAlign w:val="top"/>
            <w:tcMar>
              <w:top w:w="80" w:type="dxa"/>
              <w:bottom w:w="80" w:type="dxa"/>
              <w:start w:w="120" w:type="dxa"/>
              <w:end w:w="120" w:type="dxa"/>
            </w:tcMar>
          </w:tcPr>
          <w:p>
            <w:pPr>
              <w:spacing w:after="0" w:line="264" w:lineRule="auto"/>
            </w:pPr>
            <w:r>
              <w:rPr>
                <w:rFonts w:ascii="Calibri" w:hAnsi="Calibri"/>
                <w:color w:val="24313D"/>
                <w:sz w:val="18"/>
              </w:rPr>
              <w:t>schemaVersion, datasetId, generatedAt, target count, selected ranges, quotas, candidate limits, source timestamps, licenses, albums.</w:t>
            </w:r>
          </w:p>
        </w:tc>
      </w:tr>
      <w:tr>
        <w:trPr>
          <w:cantSplit/>
        </w:trPr>
        <w:tc>
          <w:tcPr>
            <w:tcW w:type="dxa" w:w="2262"/>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Album identity</w:t>
            </w:r>
          </w:p>
        </w:tc>
        <w:tc>
          <w:tcPr>
            <w:tcW w:type="dxa" w:w="7098"/>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release-group MBID plus optional representative-release MBID; no local UUID or catalogSource.</w:t>
            </w:r>
          </w:p>
        </w:tc>
      </w:tr>
      <w:tr>
        <w:trPr>
          <w:cantSplit/>
        </w:trPr>
        <w:tc>
          <w:tcPr>
            <w:tcW w:type="dxa" w:w="2262"/>
            <w:vAlign w:val="top"/>
            <w:tcMar>
              <w:top w:w="80" w:type="dxa"/>
              <w:bottom w:w="80" w:type="dxa"/>
              <w:start w:w="120" w:type="dxa"/>
              <w:end w:w="120" w:type="dxa"/>
            </w:tcMar>
          </w:tcPr>
          <w:p>
            <w:pPr>
              <w:spacing w:after="0" w:line="264" w:lineRule="auto"/>
            </w:pPr>
            <w:r>
              <w:rPr>
                <w:rFonts w:ascii="Calibri" w:hAnsi="Calibri"/>
                <w:b/>
                <w:color w:val="1F4D78"/>
                <w:sz w:val="18"/>
              </w:rPr>
              <w:t>Selection</w:t>
            </w:r>
          </w:p>
        </w:tc>
        <w:tc>
          <w:tcPr>
            <w:tcW w:type="dxa" w:w="7098"/>
            <w:vAlign w:val="top"/>
            <w:tcMar>
              <w:top w:w="80" w:type="dxa"/>
              <w:bottom w:w="80" w:type="dxa"/>
              <w:start w:w="120" w:type="dxa"/>
              <w:end w:w="120" w:type="dxa"/>
            </w:tcMar>
          </w:tcPr>
          <w:p>
            <w:pPr>
              <w:spacing w:after="0" w:line="264" w:lineRule="auto"/>
            </w:pPr>
            <w:r>
              <w:rPr>
                <w:rFonts w:ascii="Calibri" w:hAnsi="Calibri"/>
                <w:color w:val="24313D"/>
                <w:sz w:val="18"/>
              </w:rPr>
              <w:t>selectedRange and one or more ListenBrainz signals containing range, rank, and listenCount.</w:t>
            </w:r>
          </w:p>
        </w:tc>
      </w:tr>
      <w:tr>
        <w:trPr>
          <w:cantSplit/>
        </w:trPr>
        <w:tc>
          <w:tcPr>
            <w:tcW w:type="dxa" w:w="2262"/>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Normalized metadata</w:t>
            </w:r>
          </w:p>
        </w:tc>
        <w:tc>
          <w:tcPr>
            <w:tcW w:type="dxa" w:w="7098"/>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title, artistDisplayName, artistCredits, Rescened releaseType, strict date tuple, optional CAA cover.</w:t>
            </w:r>
          </w:p>
        </w:tc>
      </w:tr>
      <w:tr>
        <w:trPr>
          <w:cantSplit/>
        </w:trPr>
        <w:tc>
          <w:tcPr>
            <w:tcW w:type="dxa" w:w="2262"/>
            <w:vAlign w:val="top"/>
            <w:tcMar>
              <w:top w:w="80" w:type="dxa"/>
              <w:bottom w:w="80" w:type="dxa"/>
              <w:start w:w="120" w:type="dxa"/>
              <w:end w:w="120" w:type="dxa"/>
            </w:tcMar>
          </w:tcPr>
          <w:p>
            <w:pPr>
              <w:spacing w:after="0" w:line="264" w:lineRule="auto"/>
            </w:pPr>
            <w:r>
              <w:rPr>
                <w:rFonts w:ascii="Calibri" w:hAnsi="Calibri"/>
                <w:b/>
                <w:color w:val="1F4D78"/>
                <w:sz w:val="18"/>
              </w:rPr>
              <w:t>Source lineage</w:t>
            </w:r>
          </w:p>
        </w:tc>
        <w:tc>
          <w:tcPr>
            <w:tcW w:type="dxa" w:w="7098"/>
            <w:vAlign w:val="top"/>
            <w:tcMar>
              <w:top w:w="80" w:type="dxa"/>
              <w:bottom w:w="80" w:type="dxa"/>
              <w:start w:w="120" w:type="dxa"/>
              <w:end w:w="120" w:type="dxa"/>
            </w:tcMar>
          </w:tcPr>
          <w:p>
            <w:pPr>
              <w:spacing w:after="0" w:line="264" w:lineRule="auto"/>
            </w:pPr>
            <w:r>
              <w:rPr>
                <w:rFonts w:ascii="Calibri" w:hAnsi="Calibri"/>
                <w:color w:val="24313D"/>
                <w:sz w:val="18"/>
              </w:rPr>
              <w:t>ListenBrainz and MusicBrainz fetch timestamps; envelope licenses used to generate fieldProvenance.</w:t>
            </w:r>
          </w:p>
        </w:tc>
      </w:tr>
    </w:tbl>
    <w:p>
      <w:pPr>
        <w:spacing w:after="20"/>
      </w:pPr>
    </w:p>
    <w:p>
      <w:pPr>
        <w:pStyle w:val="Heading2"/>
      </w:pPr>
      <w:r>
        <w:t>Fatal errors versus row quarantine</w:t>
      </w:r>
    </w:p>
    <w:p>
      <w:pPr>
        <w:spacing w:before="120" w:after="180" w:line="288" w:lineRule="auto"/>
        <w:ind w:left="190" w:right="120"/>
        <w:shd w:fill="FFF3D6" w:val="clear"/>
        <w:pBdr>
          <w:left w:val="single" w:sz="18" w:space="8" w:color="D99A22"/>
        </w:pBdr>
      </w:pPr>
      <w:r>
        <w:rPr>
          <w:b/>
          <w:color w:val="1F4D78"/>
          <w:sz w:val="18"/>
        </w:rPr>
        <w:t xml:space="preserve">FATAL / ZERO WRITES  </w:t>
      </w:r>
      <w:r>
        <w:rPr>
          <w:color w:val="24313D"/>
          <w:sz w:val="21"/>
        </w:rPr>
        <w:t>Malformed JSON, a file over 25 MiB, an invalid envelope, unsupported schema version, impossible quota metadata, or zero valid albums stops the run before any database write.</w:t>
      </w:r>
    </w:p>
    <w:p>
      <w:pPr>
        <w:spacing w:before="120" w:after="180" w:line="288" w:lineRule="auto"/>
        <w:ind w:left="190" w:right="120"/>
        <w:shd w:fill="E8EEF5" w:val="clear"/>
        <w:pBdr>
          <w:left w:val="single" w:sz="18" w:space="8" w:color="2E74B5"/>
        </w:pBdr>
      </w:pPr>
      <w:r>
        <w:rPr>
          <w:b/>
          <w:color w:val="1F4D78"/>
          <w:sz w:val="18"/>
        </w:rPr>
        <w:t xml:space="preserve">QUARANTINE / CONTINUE  </w:t>
      </w:r>
      <w:r>
        <w:rPr>
          <w:color w:val="24313D"/>
          <w:sz w:val="21"/>
        </w:rPr>
        <w:t>Invalid album rows, duplicate source keys, range overflow, ranking errors, artist-cap violations, failed hydration, inconsistent dates or CAA references, and existing manual/community conflicts are recorded and excluded.</w:t>
      </w:r>
    </w:p>
    <w:p>
      <w:r>
        <w:t>Each quarantine record carries the source row index, source MBID when available, a stable error code, JSON pointer, message, and detailed issues. Invalid rows do not consume a range quota, so a later valid candidate can still fill the dataset during fetch selection.</w:t>
      </w:r>
    </w:p>
    <w:p>
      <w:pPr>
        <w:pStyle w:val="Heading2"/>
      </w:pPr>
      <w:r>
        <w:t>Importer-owned fields</w:t>
      </w:r>
    </w:p>
    <w:p>
      <w:r>
        <w:t>The dataset is never trusted to provide local identity or persistence policy. The importer generates the UUID v4 albumId, catalogSource: import, provider-neutral external references, and fieldProvenance. Tracks and labels are created as empty defaults; adding source versions of those fields requires a schema-version change.</w:t>
      </w:r>
    </w:p>
    <w:p>
      <w:pPr>
        <w:pStyle w:val="Heading1"/>
        <w:pBdr>
          <w:bottom w:val="single" w:sz="6" w:space="4" w:color="D7E0E8"/>
        </w:pBdr>
      </w:pPr>
      <w:r>
        <w:t>5. Import and persistence semantics</w:t>
      </w:r>
    </w:p>
    <w:p>
      <w:pPr>
        <w:pStyle w:val="Heading2"/>
      </w:pPr>
      <w:r>
        <w:t>Dry-run first</w:t>
      </w:r>
    </w:p>
    <w:p>
      <w:r>
        <w:t>The import command defaults to dry-run. Database mutation occurs only when --apply is explicit. Unknown, repeated, aliased, or conflicting command-line arguments fail immediately, and input/report paths are checked so a report cannot overwrite the source dataset or another report.</w:t>
      </w:r>
    </w:p>
    <w:tbl>
      <w:tblPr>
        <w:tblStyle w:val="TableGrid"/>
        <w:tblW w:type="dxa" w:w="9360"/>
        <w:jc w:val="left"/>
        <w:tblLayout w:type="fixed"/>
        <w:tblLook w:firstColumn="1" w:firstRow="1" w:lastColumn="0" w:lastRow="0" w:noHBand="0" w:noVBand="1" w:val="04A0"/>
        <w:tblInd w:type="dxa" w:w="120"/>
      </w:tblPr>
      <w:tblGrid>
        <w:gridCol w:w="2184"/>
        <w:gridCol w:w="2184"/>
        <w:gridCol w:w="4992"/>
      </w:tblGrid>
      <w:tr>
        <w:trPr>
          <w:tblHeader w:val="true"/>
          <w:cantSplit/>
        </w:trPr>
        <w:tc>
          <w:tcPr>
            <w:tcW w:type="dxa" w:w="2184"/>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Mode</w:t>
            </w:r>
          </w:p>
        </w:tc>
        <w:tc>
          <w:tcPr>
            <w:tcW w:type="dxa" w:w="2184"/>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Database effect</w:t>
            </w:r>
          </w:p>
        </w:tc>
        <w:tc>
          <w:tcPr>
            <w:tcW w:type="dxa" w:w="499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Primary use</w:t>
            </w:r>
          </w:p>
        </w:tc>
      </w:tr>
      <w:tr>
        <w:trPr>
          <w:cantSplit/>
        </w:trPr>
        <w:tc>
          <w:tcPr>
            <w:tcW w:type="dxa" w:w="2184"/>
            <w:vAlign w:val="top"/>
            <w:tcMar>
              <w:top w:w="80" w:type="dxa"/>
              <w:bottom w:w="80" w:type="dxa"/>
              <w:start w:w="120" w:type="dxa"/>
              <w:end w:w="120" w:type="dxa"/>
            </w:tcMar>
          </w:tcPr>
          <w:p>
            <w:pPr>
              <w:spacing w:after="0" w:line="264" w:lineRule="auto"/>
            </w:pPr>
            <w:r>
              <w:rPr>
                <w:rFonts w:ascii="Calibri" w:hAnsi="Calibri"/>
                <w:b/>
                <w:color w:val="1F4D78"/>
                <w:sz w:val="18"/>
              </w:rPr>
              <w:t>default / --dry-run</w:t>
            </w:r>
          </w:p>
        </w:tc>
        <w:tc>
          <w:tcPr>
            <w:tcW w:type="dxa" w:w="2184"/>
            <w:vAlign w:val="top"/>
            <w:tcMar>
              <w:top w:w="80" w:type="dxa"/>
              <w:bottom w:w="80" w:type="dxa"/>
              <w:start w:w="120" w:type="dxa"/>
              <w:end w:w="120" w:type="dxa"/>
            </w:tcMar>
          </w:tcPr>
          <w:p>
            <w:pPr>
              <w:spacing w:after="0" w:line="264" w:lineRule="auto"/>
            </w:pPr>
            <w:r>
              <w:rPr>
                <w:rFonts w:ascii="Calibri" w:hAnsi="Calibri"/>
                <w:color w:val="24313D"/>
                <w:sz w:val="18"/>
              </w:rPr>
              <w:t>No writes</w:t>
            </w:r>
          </w:p>
        </w:tc>
        <w:tc>
          <w:tcPr>
            <w:tcW w:type="dxa" w:w="4992"/>
            <w:vAlign w:val="top"/>
            <w:tcMar>
              <w:top w:w="80" w:type="dxa"/>
              <w:bottom w:w="80" w:type="dxa"/>
              <w:start w:w="120" w:type="dxa"/>
              <w:end w:w="120" w:type="dxa"/>
            </w:tcMar>
          </w:tcPr>
          <w:p>
            <w:pPr>
              <w:spacing w:after="0" w:line="264" w:lineRule="auto"/>
            </w:pPr>
            <w:r>
              <w:rPr>
                <w:rFonts w:ascii="Calibri" w:hAnsi="Calibri"/>
                <w:color w:val="24313D"/>
                <w:sz w:val="18"/>
              </w:rPr>
              <w:t>Inspect inserts, refreshes, unchanged rows, conflicts, and quarantine output.</w:t>
            </w:r>
          </w:p>
        </w:tc>
      </w:tr>
      <w:tr>
        <w:trPr>
          <w:cantSplit/>
        </w:trPr>
        <w:tc>
          <w:tcPr>
            <w:tcW w:type="dxa" w:w="2184"/>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--apply</w:t>
            </w:r>
          </w:p>
        </w:tc>
        <w:tc>
          <w:tcPr>
            <w:tcW w:type="dxa" w:w="2184"/>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One transactional batch</w:t>
            </w:r>
          </w:p>
        </w:tc>
        <w:tc>
          <w:tcPr>
            <w:tcW w:type="dxa" w:w="499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Persist the exact accepted plan after environment and report paths are confirmed.</w:t>
            </w:r>
          </w:p>
        </w:tc>
      </w:tr>
    </w:tbl>
    <w:p>
      <w:pPr>
        <w:spacing w:after="20"/>
      </w:pPr>
    </w:p>
    <w:p>
      <w:pPr>
        <w:pStyle w:val="Heading2"/>
      </w:pPr>
      <w:r>
        <w:t>Matching, insert, and refresh</w:t>
      </w:r>
    </w:p>
    <w:p>
      <w:pPr>
        <w:pStyle w:val="ListBullet"/>
        <w:numPr>
          <w:ilvl w:val="0"/>
          <w:numId w:val="10"/>
        </w:numPr>
      </w:pPr>
      <w:r>
        <w:rPr>
          <w:b/>
        </w:rPr>
        <w:t>Match.</w:t>
      </w:r>
      <w:r>
        <w:t xml:space="preserve"> Find catalog rows case-insensitively by the MusicBrainz release-group external reference; preflight representative-release references as well.</w:t>
      </w:r>
    </w:p>
    <w:p>
      <w:pPr>
        <w:pStyle w:val="ListBullet"/>
        <w:numPr>
          <w:ilvl w:val="0"/>
          <w:numId w:val="10"/>
        </w:numPr>
      </w:pPr>
      <w:r>
        <w:rPr>
          <w:b/>
        </w:rPr>
        <w:t>Insert.</w:t>
      </w:r>
      <w:r>
        <w:t xml:space="preserve"> Generate a UUID v4, set catalogSource to import, create MB references and provenance, and initialize tracks/label empty.</w:t>
      </w:r>
    </w:p>
    <w:p>
      <w:pPr>
        <w:pStyle w:val="ListBullet"/>
        <w:numPr>
          <w:ilvl w:val="0"/>
          <w:numId w:val="10"/>
        </w:numPr>
      </w:pPr>
      <w:r>
        <w:rPr>
          <w:b/>
        </w:rPr>
        <w:t>Refresh.</w:t>
      </w:r>
      <w:r>
        <w:t xml:space="preserve"> Keep the existing albumId while applying current importer-owned metadata to an existing imported row.</w:t>
      </w:r>
    </w:p>
    <w:p>
      <w:pPr>
        <w:pStyle w:val="ListBullet"/>
        <w:numPr>
          <w:ilvl w:val="0"/>
          <w:numId w:val="10"/>
        </w:numPr>
      </w:pPr>
      <w:r>
        <w:rPr>
          <w:b/>
        </w:rPr>
        <w:t>Protect.</w:t>
      </w:r>
      <w:r>
        <w:t xml:space="preserve"> Quarantine collisions with manual/community catalog records instead of converting or overwriting them.</w:t>
      </w:r>
    </w:p>
    <w:p>
      <w:pPr>
        <w:pStyle w:val="Heading2"/>
      </w:pPr>
      <w:r>
        <w:t>Refresh preservation matrix</w:t>
      </w:r>
    </w:p>
    <w:tbl>
      <w:tblPr>
        <w:tblStyle w:val="TableGrid"/>
        <w:tblW w:type="dxa" w:w="9360"/>
        <w:jc w:val="left"/>
        <w:tblLayout w:type="fixed"/>
        <w:tblLook w:firstColumn="1" w:firstRow="1" w:lastColumn="0" w:lastRow="0" w:noHBand="0" w:noVBand="1" w:val="04A0"/>
        <w:tblInd w:type="dxa" w:w="120"/>
      </w:tblPr>
      <w:tblGrid>
        <w:gridCol w:w="3120"/>
        <w:gridCol w:w="6240"/>
      </w:tblGrid>
      <w:tr>
        <w:trPr>
          <w:tblHeader w:val="true"/>
          <w:cantSplit/>
        </w:trPr>
        <w:tc>
          <w:tcPr>
            <w:tcW w:type="dxa" w:w="312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Existing data</w:t>
            </w:r>
          </w:p>
        </w:tc>
        <w:tc>
          <w:tcPr>
            <w:tcW w:type="dxa" w:w="624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Refresh behavior</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albumId</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Always preserved.</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tracks and label</w:t>
            </w:r>
          </w:p>
        </w:tc>
        <w:tc>
          <w:tcPr>
            <w:tcW w:type="dxa" w:w="624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Always preserved; absent from schema v1.</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Non-MusicBrainz references</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Preserved.</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Manual/community-owned fields</w:t>
            </w:r>
          </w:p>
        </w:tc>
        <w:tc>
          <w:tcPr>
            <w:tcW w:type="dxa" w:w="624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Preserved according to fieldProvenance; coupled date fields stay coherent as a tuple.</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Cover</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Keep an existing cover when incoming artwork is absent; refresh importer-owned CAA artwork when replacement exists.</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Representative release</w:t>
            </w:r>
          </w:p>
        </w:tc>
        <w:tc>
          <w:tcPr>
            <w:tcW w:type="dxa" w:w="624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Preserve the supporting release reference when an existing CAA cover is retained.</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Albums missing from later seed</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Never deleted.</w:t>
            </w:r>
          </w:p>
        </w:tc>
      </w:tr>
    </w:tbl>
    <w:p>
      <w:pPr>
        <w:spacing w:after="20"/>
      </w:pPr>
    </w:p>
    <w:p>
      <w:pPr>
        <w:pStyle w:val="Heading2"/>
      </w:pPr>
      <w:r>
        <w:t>Final validation and transaction boundary</w:t>
      </w:r>
    </w:p>
    <w:p>
      <w:r>
        <w:t>Before writes, the importer builds the final merged documents and reruns semantic date/reference checks plus Mongoose validation. Accepted inserts and updates execute as one ordered bulk operation inside a Mongo transaction. Refresh filters include updatedAt for optimistic concurrency; a concurrent edit or any write failure rolls back the accepted batch.</w:t>
      </w:r>
    </w:p>
    <w:p>
      <w:pPr>
        <w:pStyle w:val="Heading1"/>
        <w:pBdr>
          <w:bottom w:val="single" w:sz="6" w:space="4" w:color="D7E0E8"/>
        </w:pBdr>
      </w:pPr>
      <w:r>
        <w:t>6. Reporting, exit codes, and failure meaning</w:t>
      </w:r>
    </w:p>
    <w:p>
      <w:r>
        <w:t>Reports are part of the operational contract, not incidental logging. Fetch, validation, import, and quarantine artifacts are written atomically. Import reports distinguish inserted, refreshed, unchanged, quarantined, and conflicted records so a dry-run can be compared with an apply run.</w:t>
      </w:r>
    </w:p>
    <w:p>
      <w:pPr>
        <w:pStyle w:val="Heading2"/>
      </w:pPr>
      <w:r>
        <w:t>Exit codes</w:t>
      </w:r>
    </w:p>
    <w:tbl>
      <w:tblPr>
        <w:tblStyle w:val="TableGrid"/>
        <w:tblW w:type="dxa" w:w="9360"/>
        <w:jc w:val="left"/>
        <w:tblLayout w:type="fixed"/>
        <w:tblLook w:firstColumn="1" w:firstRow="1" w:lastColumn="0" w:lastRow="0" w:noHBand="0" w:noVBand="1" w:val="04A0"/>
        <w:tblInd w:type="dxa" w:w="120"/>
      </w:tblPr>
      <w:tblGrid>
        <w:gridCol w:w="1092"/>
        <w:gridCol w:w="4056"/>
        <w:gridCol w:w="4212"/>
      </w:tblGrid>
      <w:tr>
        <w:trPr>
          <w:tblHeader w:val="true"/>
          <w:cantSplit/>
        </w:trPr>
        <w:tc>
          <w:tcPr>
            <w:tcW w:type="dxa" w:w="109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Code</w:t>
            </w:r>
          </w:p>
        </w:tc>
        <w:tc>
          <w:tcPr>
            <w:tcW w:type="dxa" w:w="4056"/>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Meaning</w:t>
            </w:r>
          </w:p>
        </w:tc>
        <w:tc>
          <w:tcPr>
            <w:tcW w:type="dxa" w:w="421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Database state</w:t>
            </w:r>
          </w:p>
        </w:tc>
      </w:tr>
      <w:tr>
        <w:trPr>
          <w:cantSplit/>
        </w:trPr>
        <w:tc>
          <w:tcPr>
            <w:tcW w:type="dxa" w:w="1092"/>
            <w:vAlign w:val="top"/>
            <w:tcMar>
              <w:top w:w="80" w:type="dxa"/>
              <w:bottom w:w="80" w:type="dxa"/>
              <w:start w:w="120" w:type="dxa"/>
              <w:end w:w="120" w:type="dxa"/>
            </w:tcMar>
          </w:tcPr>
          <w:p>
            <w:pPr>
              <w:spacing w:after="0" w:line="264" w:lineRule="auto"/>
            </w:pPr>
            <w:r>
              <w:rPr>
                <w:rFonts w:ascii="Calibri" w:hAnsi="Calibri"/>
                <w:b/>
                <w:color w:val="1F4D78"/>
                <w:sz w:val="18"/>
              </w:rPr>
              <w:t>0</w:t>
            </w:r>
          </w:p>
        </w:tc>
        <w:tc>
          <w:tcPr>
            <w:tcW w:type="dxa" w:w="4056"/>
            <w:vAlign w:val="top"/>
            <w:tcMar>
              <w:top w:w="80" w:type="dxa"/>
              <w:bottom w:w="80" w:type="dxa"/>
              <w:start w:w="120" w:type="dxa"/>
              <w:end w:w="120" w:type="dxa"/>
            </w:tcMar>
          </w:tcPr>
          <w:p>
            <w:pPr>
              <w:spacing w:after="0" w:line="264" w:lineRule="auto"/>
            </w:pPr>
            <w:r>
              <w:rPr>
                <w:rFonts w:ascii="Calibri" w:hAnsi="Calibri"/>
                <w:color w:val="24313D"/>
                <w:sz w:val="18"/>
              </w:rPr>
              <w:t>Clean completed run</w:t>
            </w:r>
          </w:p>
        </w:tc>
        <w:tc>
          <w:tcPr>
            <w:tcW w:type="dxa" w:w="4212"/>
            <w:vAlign w:val="top"/>
            <w:tcMar>
              <w:top w:w="80" w:type="dxa"/>
              <w:bottom w:w="80" w:type="dxa"/>
              <w:start w:w="120" w:type="dxa"/>
              <w:end w:w="120" w:type="dxa"/>
            </w:tcMar>
          </w:tcPr>
          <w:p>
            <w:pPr>
              <w:spacing w:after="0" w:line="264" w:lineRule="auto"/>
            </w:pPr>
            <w:r>
              <w:rPr>
                <w:rFonts w:ascii="Calibri" w:hAnsi="Calibri"/>
                <w:color w:val="24313D"/>
                <w:sz w:val="18"/>
              </w:rPr>
              <w:t>Dry-run wrote nothing; apply committed all accepted operations.</w:t>
            </w:r>
          </w:p>
        </w:tc>
      </w:tr>
      <w:tr>
        <w:trPr>
          <w:cantSplit/>
        </w:trPr>
        <w:tc>
          <w:tcPr>
            <w:tcW w:type="dxa" w:w="1092"/>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2</w:t>
            </w:r>
          </w:p>
        </w:tc>
        <w:tc>
          <w:tcPr>
            <w:tcW w:type="dxa" w:w="4056"/>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Completed with quarantine/conflict entries</w:t>
            </w:r>
          </w:p>
        </w:tc>
        <w:tc>
          <w:tcPr>
            <w:tcW w:type="dxa" w:w="421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Only accepted operations committed when apply was requested.</w:t>
            </w:r>
          </w:p>
        </w:tc>
      </w:tr>
      <w:tr>
        <w:trPr>
          <w:cantSplit/>
        </w:trPr>
        <w:tc>
          <w:tcPr>
            <w:tcW w:type="dxa" w:w="1092"/>
            <w:vAlign w:val="top"/>
            <w:tcMar>
              <w:top w:w="80" w:type="dxa"/>
              <w:bottom w:w="80" w:type="dxa"/>
              <w:start w:w="120" w:type="dxa"/>
              <w:end w:w="120" w:type="dxa"/>
            </w:tcMar>
          </w:tcPr>
          <w:p>
            <w:pPr>
              <w:spacing w:after="0" w:line="264" w:lineRule="auto"/>
            </w:pPr>
            <w:r>
              <w:rPr>
                <w:rFonts w:ascii="Calibri" w:hAnsi="Calibri"/>
                <w:b/>
                <w:color w:val="1F4D78"/>
                <w:sz w:val="18"/>
              </w:rPr>
              <w:t>1</w:t>
            </w:r>
          </w:p>
        </w:tc>
        <w:tc>
          <w:tcPr>
            <w:tcW w:type="dxa" w:w="4056"/>
            <w:vAlign w:val="top"/>
            <w:tcMar>
              <w:top w:w="80" w:type="dxa"/>
              <w:bottom w:w="80" w:type="dxa"/>
              <w:start w:w="120" w:type="dxa"/>
              <w:end w:w="120" w:type="dxa"/>
            </w:tcMar>
          </w:tcPr>
          <w:p>
            <w:pPr>
              <w:spacing w:after="0" w:line="264" w:lineRule="auto"/>
            </w:pPr>
            <w:r>
              <w:rPr>
                <w:rFonts w:ascii="Calibri" w:hAnsi="Calibri"/>
                <w:color w:val="24313D"/>
                <w:sz w:val="18"/>
              </w:rPr>
              <w:t>Fatal validation, failed/rolled-back transaction, or exceptional committed-state artifact failure</w:t>
            </w:r>
          </w:p>
        </w:tc>
        <w:tc>
          <w:tcPr>
            <w:tcW w:type="dxa" w:w="4212"/>
            <w:vAlign w:val="top"/>
            <w:tcMar>
              <w:top w:w="80" w:type="dxa"/>
              <w:bottom w:w="80" w:type="dxa"/>
              <w:start w:w="120" w:type="dxa"/>
              <w:end w:w="120" w:type="dxa"/>
            </w:tcMar>
          </w:tcPr>
          <w:p>
            <w:pPr>
              <w:spacing w:after="0" w:line="264" w:lineRule="auto"/>
            </w:pPr>
            <w:r>
              <w:rPr>
                <w:rFonts w:ascii="Calibri" w:hAnsi="Calibri"/>
                <w:color w:val="24313D"/>
                <w:sz w:val="18"/>
              </w:rPr>
              <w:t>Inspect the report status; committed-state report failures are explicitly distinguished from rollback.</w:t>
            </w:r>
          </w:p>
        </w:tc>
      </w:tr>
    </w:tbl>
    <w:p>
      <w:pPr>
        <w:spacing w:after="20"/>
      </w:pPr>
    </w:p>
    <w:p>
      <w:pPr>
        <w:pStyle w:val="Heading2"/>
      </w:pPr>
      <w:r>
        <w:t>Why the distinction matters</w:t>
      </w:r>
    </w:p>
    <w:p>
      <w:r>
        <w:t>Report destinations are preflighted and staged before apply. If database work fails, Mongo rolls back and the error retains the known plan and quarantine state. If the database commits but final report publication fails, the CLI reports that committed state explicitly instead of falsely describing the run as rolled back. This prevents an unsafe blind retry.</w:t>
      </w:r>
    </w:p>
    <w:p>
      <w:pPr>
        <w:pStyle w:val="Heading2"/>
      </w:pPr>
      <w:r>
        <w:t>Conflict classes caught before writes</w:t>
      </w:r>
    </w:p>
    <w:p>
      <w:pPr>
        <w:pStyle w:val="ListBullet"/>
        <w:numPr>
          <w:ilvl w:val="0"/>
          <w:numId w:val="10"/>
        </w:numPr>
      </w:pPr>
      <w:r>
        <w:t>Duplicate release-group identities in the input dataset.</w:t>
      </w:r>
    </w:p>
    <w:p>
      <w:pPr>
        <w:pStyle w:val="ListBullet"/>
        <w:numPr>
          <w:ilvl w:val="0"/>
          <w:numId w:val="10"/>
        </w:numPr>
      </w:pPr>
      <w:r>
        <w:t>Duplicate or already-owned representative-release references.</w:t>
      </w:r>
    </w:p>
    <w:p>
      <w:pPr>
        <w:pStyle w:val="ListBullet"/>
        <w:numPr>
          <w:ilvl w:val="0"/>
          <w:numId w:val="10"/>
        </w:numPr>
      </w:pPr>
      <w:r>
        <w:t>Existing manual/community catalog records with matching MusicBrainz identity, including uppercase MBIDs.</w:t>
      </w:r>
    </w:p>
    <w:p>
      <w:pPr>
        <w:pStyle w:val="ListBullet"/>
        <w:numPr>
          <w:ilvl w:val="0"/>
          <w:numId w:val="10"/>
        </w:numPr>
      </w:pPr>
      <w:r>
        <w:t>Final merged documents that fail schema-adjacent semantics or Mongoose validation.</w:t>
      </w:r>
    </w:p>
    <w:p>
      <w:pPr>
        <w:pStyle w:val="ListBullet"/>
        <w:numPr>
          <w:ilvl w:val="0"/>
          <w:numId w:val="10"/>
        </w:numPr>
      </w:pPr>
      <w:r>
        <w:t>Records changed after preflight, detected by optimistic concurrency at apply time.</w:t>
      </w:r>
    </w:p>
    <w:p>
      <w:pPr>
        <w:spacing w:before="120" w:after="180" w:line="288" w:lineRule="auto"/>
        <w:ind w:left="190" w:right="120"/>
        <w:shd w:fill="FFF3D6" w:val="clear"/>
        <w:pBdr>
          <w:left w:val="single" w:sz="18" w:space="8" w:color="D99A22"/>
        </w:pBdr>
      </w:pPr>
      <w:r>
        <w:rPr>
          <w:b/>
          <w:color w:val="1F4D78"/>
          <w:sz w:val="18"/>
        </w:rPr>
        <w:t xml:space="preserve">DATABASE REQUIREMENT  </w:t>
      </w:r>
      <w:r>
        <w:rPr>
          <w:color w:val="24313D"/>
          <w:sz w:val="21"/>
        </w:rPr>
        <w:t>Apply mode needs transaction support: MongoDB Atlas, a replica set, or a sharded deployment. A standalone MongoDB server cannot execute the transactional write path.</w:t>
      </w:r>
    </w:p>
    <w:p>
      <w:pPr>
        <w:pStyle w:val="Heading1"/>
        <w:pBdr>
          <w:bottom w:val="single" w:sz="6" w:space="4" w:color="D7E0E8"/>
        </w:pBdr>
      </w:pPr>
      <w:r>
        <w:t>7. Delivered artifacts and observed seed results</w:t>
      </w:r>
    </w:p>
    <w:p>
      <w:pPr>
        <w:pStyle w:val="Heading2"/>
      </w:pPr>
      <w:r>
        <w:t>Repository artifacts</w:t>
      </w:r>
    </w:p>
    <w:tbl>
      <w:tblPr>
        <w:tblStyle w:val="TableGrid"/>
        <w:tblW w:type="dxa" w:w="9360"/>
        <w:jc w:val="left"/>
        <w:tblLayout w:type="fixed"/>
        <w:tblLook w:firstColumn="1" w:firstRow="1" w:lastColumn="0" w:lastRow="0" w:noHBand="0" w:noVBand="1" w:val="04A0"/>
        <w:tblInd w:type="dxa" w:w="120"/>
      </w:tblPr>
      <w:tblGrid>
        <w:gridCol w:w="4290"/>
        <w:gridCol w:w="5070"/>
      </w:tblGrid>
      <w:tr>
        <w:trPr>
          <w:tblHeader w:val="true"/>
          <w:cantSplit/>
        </w:trPr>
        <w:tc>
          <w:tcPr>
            <w:tcW w:type="dxa" w:w="429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Artifact</w:t>
            </w:r>
          </w:p>
        </w:tc>
        <w:tc>
          <w:tcPr>
            <w:tcW w:type="dxa" w:w="507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Purpose</w:t>
            </w:r>
          </w:p>
        </w:tc>
      </w:tr>
      <w:tr>
        <w:trPr>
          <w:cantSplit/>
        </w:trPr>
        <w:tc>
          <w:tcPr>
            <w:tcW w:type="dxa" w:w="4290"/>
            <w:vAlign w:val="top"/>
            <w:tcMar>
              <w:top w:w="80" w:type="dxa"/>
              <w:bottom w:w="80" w:type="dxa"/>
              <w:start w:w="120" w:type="dxa"/>
              <w:end w:w="120" w:type="dxa"/>
            </w:tcMar>
          </w:tcPr>
          <w:p>
            <w:pPr>
              <w:spacing w:after="0" w:line="264" w:lineRule="auto"/>
            </w:pPr>
            <w:r>
              <w:rPr>
                <w:rFonts w:ascii="Calibri" w:hAnsi="Calibri"/>
                <w:b/>
                <w:color w:val="1F4D78"/>
                <w:sz w:val="18"/>
              </w:rPr>
              <w:t>data/catalog-import/catalog-import.schema.json</w:t>
            </w:r>
          </w:p>
        </w:tc>
        <w:tc>
          <w:tcPr>
            <w:tcW w:type="dxa" w:w="5070"/>
            <w:vAlign w:val="top"/>
            <w:tcMar>
              <w:top w:w="80" w:type="dxa"/>
              <w:bottom w:w="80" w:type="dxa"/>
              <w:start w:w="120" w:type="dxa"/>
              <w:end w:w="120" w:type="dxa"/>
            </w:tcMar>
          </w:tcPr>
          <w:p>
            <w:pPr>
              <w:spacing w:after="0" w:line="264" w:lineRule="auto"/>
            </w:pPr>
            <w:r>
              <w:rPr>
                <w:rFonts w:ascii="Calibri" w:hAnsi="Calibri"/>
                <w:color w:val="24313D"/>
                <w:sz w:val="18"/>
              </w:rPr>
              <w:t>Draft-07 contract for dataset version 1.0.0.</w:t>
            </w:r>
          </w:p>
        </w:tc>
      </w:tr>
      <w:tr>
        <w:trPr>
          <w:cantSplit/>
        </w:trPr>
        <w:tc>
          <w:tcPr>
            <w:tcW w:type="dxa" w:w="429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data/catalog-import/catalog-import.sample.json</w:t>
            </w:r>
          </w:p>
        </w:tc>
        <w:tc>
          <w:tcPr>
            <w:tcW w:type="dxa" w:w="507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Two valid albums demonstrating the accepted shape.</w:t>
            </w:r>
          </w:p>
        </w:tc>
      </w:tr>
      <w:tr>
        <w:trPr>
          <w:cantSplit/>
        </w:trPr>
        <w:tc>
          <w:tcPr>
            <w:tcW w:type="dxa" w:w="4290"/>
            <w:vAlign w:val="top"/>
            <w:tcMar>
              <w:top w:w="80" w:type="dxa"/>
              <w:bottom w:w="80" w:type="dxa"/>
              <w:start w:w="120" w:type="dxa"/>
              <w:end w:w="120" w:type="dxa"/>
            </w:tcMar>
          </w:tcPr>
          <w:p>
            <w:pPr>
              <w:spacing w:after="0" w:line="264" w:lineRule="auto"/>
            </w:pPr>
            <w:r>
              <w:rPr>
                <w:rFonts w:ascii="Calibri" w:hAnsi="Calibri"/>
                <w:b/>
                <w:color w:val="1F4D78"/>
                <w:sz w:val="18"/>
              </w:rPr>
              <w:t>data/catalog-import/seeds/listenbrainz-2026-08-14.json</w:t>
            </w:r>
          </w:p>
        </w:tc>
        <w:tc>
          <w:tcPr>
            <w:tcW w:type="dxa" w:w="5070"/>
            <w:vAlign w:val="top"/>
            <w:tcMar>
              <w:top w:w="80" w:type="dxa"/>
              <w:bottom w:w="80" w:type="dxa"/>
              <w:start w:w="120" w:type="dxa"/>
              <w:end w:w="120" w:type="dxa"/>
            </w:tcMar>
          </w:tcPr>
          <w:p>
            <w:pPr>
              <w:spacing w:after="0" w:line="264" w:lineRule="auto"/>
            </w:pPr>
            <w:r>
              <w:rPr>
                <w:rFonts w:ascii="Calibri" w:hAnsi="Calibri"/>
                <w:color w:val="24313D"/>
                <w:sz w:val="18"/>
              </w:rPr>
              <w:t>Dated 500-album seed used for rollout.</w:t>
            </w:r>
          </w:p>
        </w:tc>
      </w:tr>
      <w:tr>
        <w:trPr>
          <w:cantSplit/>
        </w:trPr>
        <w:tc>
          <w:tcPr>
            <w:tcW w:type="dxa" w:w="429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…listenbrainz-2026-08-14.json.sha256</w:t>
            </w:r>
          </w:p>
        </w:tc>
        <w:tc>
          <w:tcPr>
            <w:tcW w:type="dxa" w:w="507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Exact-file integrity check.</w:t>
            </w:r>
          </w:p>
        </w:tc>
      </w:tr>
      <w:tr>
        <w:trPr>
          <w:cantSplit/>
        </w:trPr>
        <w:tc>
          <w:tcPr>
            <w:tcW w:type="dxa" w:w="4290"/>
            <w:vAlign w:val="top"/>
            <w:tcMar>
              <w:top w:w="80" w:type="dxa"/>
              <w:bottom w:w="80" w:type="dxa"/>
              <w:start w:w="120" w:type="dxa"/>
              <w:end w:w="120" w:type="dxa"/>
            </w:tcMar>
          </w:tcPr>
          <w:p>
            <w:pPr>
              <w:spacing w:after="0" w:line="264" w:lineRule="auto"/>
            </w:pPr>
            <w:r>
              <w:rPr>
                <w:rFonts w:ascii="Calibri" w:hAnsi="Calibri"/>
                <w:b/>
                <w:color w:val="1F4D78"/>
                <w:sz w:val="18"/>
              </w:rPr>
              <w:t>…listenbrainz-2026-08-14.json.fetch-report.json</w:t>
            </w:r>
          </w:p>
        </w:tc>
        <w:tc>
          <w:tcPr>
            <w:tcW w:type="dxa" w:w="5070"/>
            <w:vAlign w:val="top"/>
            <w:tcMar>
              <w:top w:w="80" w:type="dxa"/>
              <w:bottom w:w="80" w:type="dxa"/>
              <w:start w:w="120" w:type="dxa"/>
              <w:end w:w="120" w:type="dxa"/>
            </w:tcMar>
          </w:tcPr>
          <w:p>
            <w:pPr>
              <w:spacing w:after="0" w:line="264" w:lineRule="auto"/>
            </w:pPr>
            <w:r>
              <w:rPr>
                <w:rFonts w:ascii="Calibri" w:hAnsi="Calibri"/>
                <w:color w:val="24313D"/>
                <w:sz w:val="18"/>
              </w:rPr>
              <w:t>Ranking, hydration, rejection, cache, and selection counts.</w:t>
            </w:r>
          </w:p>
        </w:tc>
      </w:tr>
      <w:tr>
        <w:trPr>
          <w:cantSplit/>
        </w:trPr>
        <w:tc>
          <w:tcPr>
            <w:tcW w:type="dxa" w:w="429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…validation-report.json</w:t>
            </w:r>
          </w:p>
        </w:tc>
        <w:tc>
          <w:tcPr>
            <w:tcW w:type="dxa" w:w="507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Strict validation result for the seed.</w:t>
            </w:r>
          </w:p>
        </w:tc>
      </w:tr>
      <w:tr>
        <w:trPr>
          <w:cantSplit/>
        </w:trPr>
        <w:tc>
          <w:tcPr>
            <w:tcW w:type="dxa" w:w="4290"/>
            <w:vAlign w:val="top"/>
            <w:tcMar>
              <w:top w:w="80" w:type="dxa"/>
              <w:bottom w:w="80" w:type="dxa"/>
              <w:start w:w="120" w:type="dxa"/>
              <w:end w:w="120" w:type="dxa"/>
            </w:tcMar>
          </w:tcPr>
          <w:p>
            <w:pPr>
              <w:spacing w:after="0" w:line="264" w:lineRule="auto"/>
            </w:pPr>
            <w:r>
              <w:rPr>
                <w:rFonts w:ascii="Calibri" w:hAnsi="Calibri"/>
                <w:b/>
                <w:color w:val="1F4D78"/>
                <w:sz w:val="18"/>
              </w:rPr>
              <w:t>…import-report.json / …quarantine-report.json</w:t>
            </w:r>
          </w:p>
        </w:tc>
        <w:tc>
          <w:tcPr>
            <w:tcW w:type="dxa" w:w="5070"/>
            <w:vAlign w:val="top"/>
            <w:tcMar>
              <w:top w:w="80" w:type="dxa"/>
              <w:bottom w:w="80" w:type="dxa"/>
              <w:start w:w="120" w:type="dxa"/>
              <w:end w:w="120" w:type="dxa"/>
            </w:tcMar>
          </w:tcPr>
          <w:p>
            <w:pPr>
              <w:spacing w:after="0" w:line="264" w:lineRule="auto"/>
            </w:pPr>
            <w:r>
              <w:rPr>
                <w:rFonts w:ascii="Calibri" w:hAnsi="Calibri"/>
                <w:color w:val="24313D"/>
                <w:sz w:val="18"/>
              </w:rPr>
              <w:t>Dry-run/apply classification and excluded-row evidence.</w:t>
            </w:r>
          </w:p>
        </w:tc>
      </w:tr>
      <w:tr>
        <w:trPr>
          <w:cantSplit/>
        </w:trPr>
        <w:tc>
          <w:tcPr>
            <w:tcW w:type="dxa" w:w="429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tests/fixtures/catalogImport/</w:t>
            </w:r>
          </w:p>
        </w:tc>
        <w:tc>
          <w:tcPr>
            <w:tcW w:type="dxa" w:w="507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Captured official provider responses; no artwork files.</w:t>
            </w:r>
          </w:p>
        </w:tc>
      </w:tr>
      <w:tr>
        <w:trPr>
          <w:cantSplit/>
        </w:trPr>
        <w:tc>
          <w:tcPr>
            <w:tcW w:type="dxa" w:w="4290"/>
            <w:vAlign w:val="top"/>
            <w:tcMar>
              <w:top w:w="80" w:type="dxa"/>
              <w:bottom w:w="80" w:type="dxa"/>
              <w:start w:w="120" w:type="dxa"/>
              <w:end w:w="120" w:type="dxa"/>
            </w:tcMar>
          </w:tcPr>
          <w:p>
            <w:pPr>
              <w:spacing w:after="0" w:line="264" w:lineRule="auto"/>
            </w:pPr>
            <w:r>
              <w:rPr>
                <w:rFonts w:ascii="Calibri" w:hAnsi="Calibri"/>
                <w:b/>
                <w:color w:val="1F4D78"/>
                <w:sz w:val="18"/>
              </w:rPr>
              <w:t>docs/CATALOG_IMPORT.md</w:t>
            </w:r>
          </w:p>
        </w:tc>
        <w:tc>
          <w:tcPr>
            <w:tcW w:type="dxa" w:w="5070"/>
            <w:vAlign w:val="top"/>
            <w:tcMar>
              <w:top w:w="80" w:type="dxa"/>
              <w:bottom w:w="80" w:type="dxa"/>
              <w:start w:w="120" w:type="dxa"/>
              <w:end w:w="120" w:type="dxa"/>
            </w:tcMar>
          </w:tcPr>
          <w:p>
            <w:pPr>
              <w:spacing w:after="0" w:line="264" w:lineRule="auto"/>
            </w:pPr>
            <w:r>
              <w:rPr>
                <w:rFonts w:ascii="Calibri" w:hAnsi="Calibri"/>
                <w:color w:val="24313D"/>
                <w:sz w:val="18"/>
              </w:rPr>
              <w:t>Command, mapping, licensing, refresh, and rollout reference.</w:t>
            </w:r>
          </w:p>
        </w:tc>
      </w:tr>
    </w:tbl>
    <w:p>
      <w:pPr>
        <w:spacing w:after="20"/>
      </w:pPr>
    </w:p>
    <w:p>
      <w:pPr>
        <w:pStyle w:val="Heading2"/>
      </w:pPr>
      <w:r>
        <w:t>Validated seed profile</w:t>
      </w:r>
    </w:p>
    <w:tbl>
      <w:tblPr>
        <w:tblStyle w:val="TableGrid"/>
        <w:tblW w:type="dxa" w:w="9360"/>
        <w:jc w:val="left"/>
        <w:tblLayout w:type="fixed"/>
        <w:tblLook w:firstColumn="1" w:firstRow="1" w:lastColumn="0" w:lastRow="0" w:noHBand="0" w:noVBand="1" w:val="04A0"/>
        <w:tblInd w:type="dxa" w:w="120"/>
      </w:tblPr>
      <w:tblGrid>
        <w:gridCol w:w="2808"/>
        <w:gridCol w:w="6552"/>
      </w:tblGrid>
      <w:tr>
        <w:trPr>
          <w:tblHeader w:val="true"/>
          <w:cantSplit/>
        </w:trPr>
        <w:tc>
          <w:tcPr>
            <w:tcW w:type="dxa" w:w="2808"/>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Metric</w:t>
            </w:r>
          </w:p>
        </w:tc>
        <w:tc>
          <w:tcPr>
            <w:tcW w:type="dxa" w:w="655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Observed result</w:t>
            </w:r>
          </w:p>
        </w:tc>
      </w:tr>
      <w:tr>
        <w:trPr>
          <w:cantSplit/>
        </w:trPr>
        <w:tc>
          <w:tcPr>
            <w:tcW w:type="dxa" w:w="2808"/>
            <w:vAlign w:val="top"/>
            <w:tcMar>
              <w:top w:w="80" w:type="dxa"/>
              <w:bottom w:w="80" w:type="dxa"/>
              <w:start w:w="120" w:type="dxa"/>
              <w:end w:w="120" w:type="dxa"/>
            </w:tcMar>
          </w:tcPr>
          <w:p>
            <w:pPr>
              <w:spacing w:after="0" w:line="264" w:lineRule="auto"/>
            </w:pPr>
            <w:r>
              <w:rPr>
                <w:rFonts w:ascii="Calibri" w:hAnsi="Calibri"/>
                <w:b/>
                <w:color w:val="1F4D78"/>
                <w:sz w:val="18"/>
              </w:rPr>
              <w:t>Final albums</w:t>
            </w:r>
          </w:p>
        </w:tc>
        <w:tc>
          <w:tcPr>
            <w:tcW w:type="dxa" w:w="6552"/>
            <w:vAlign w:val="top"/>
            <w:tcMar>
              <w:top w:w="80" w:type="dxa"/>
              <w:bottom w:w="80" w:type="dxa"/>
              <w:start w:w="120" w:type="dxa"/>
              <w:end w:w="120" w:type="dxa"/>
            </w:tcMar>
          </w:tcPr>
          <w:p>
            <w:pPr>
              <w:spacing w:after="0" w:line="264" w:lineRule="auto"/>
            </w:pPr>
            <w:r>
              <w:rPr>
                <w:rFonts w:ascii="Calibri" w:hAnsi="Calibri"/>
                <w:color w:val="24313D"/>
                <w:sz w:val="18"/>
              </w:rPr>
              <w:t>500 valid; 0 quarantined</w:t>
            </w:r>
          </w:p>
        </w:tc>
      </w:tr>
      <w:tr>
        <w:trPr>
          <w:cantSplit/>
        </w:trPr>
        <w:tc>
          <w:tcPr>
            <w:tcW w:type="dxa" w:w="2808"/>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Range composition</w:t>
            </w:r>
          </w:p>
        </w:tc>
        <w:tc>
          <w:tcPr>
            <w:tcW w:type="dxa" w:w="655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300 all_time · 150 year · 50 month</w:t>
            </w:r>
          </w:p>
        </w:tc>
      </w:tr>
      <w:tr>
        <w:trPr>
          <w:cantSplit/>
        </w:trPr>
        <w:tc>
          <w:tcPr>
            <w:tcW w:type="dxa" w:w="2808"/>
            <w:vAlign w:val="top"/>
            <w:tcMar>
              <w:top w:w="80" w:type="dxa"/>
              <w:bottom w:w="80" w:type="dxa"/>
              <w:start w:w="120" w:type="dxa"/>
              <w:end w:w="120" w:type="dxa"/>
            </w:tcMar>
          </w:tcPr>
          <w:p>
            <w:pPr>
              <w:spacing w:after="0" w:line="264" w:lineRule="auto"/>
            </w:pPr>
            <w:r>
              <w:rPr>
                <w:rFonts w:ascii="Calibri" w:hAnsi="Calibri"/>
                <w:b/>
                <w:color w:val="1F4D78"/>
                <w:sz w:val="18"/>
              </w:rPr>
              <w:t>Identity</w:t>
            </w:r>
          </w:p>
        </w:tc>
        <w:tc>
          <w:tcPr>
            <w:tcW w:type="dxa" w:w="6552"/>
            <w:vAlign w:val="top"/>
            <w:tcMar>
              <w:top w:w="80" w:type="dxa"/>
              <w:bottom w:w="80" w:type="dxa"/>
              <w:start w:w="120" w:type="dxa"/>
              <w:end w:w="120" w:type="dxa"/>
            </w:tcMar>
          </w:tcPr>
          <w:p>
            <w:pPr>
              <w:spacing w:after="0" w:line="264" w:lineRule="auto"/>
            </w:pPr>
            <w:r>
              <w:rPr>
                <w:rFonts w:ascii="Calibri" w:hAnsi="Calibri"/>
                <w:color w:val="24313D"/>
                <w:sz w:val="18"/>
              </w:rPr>
              <w:t>500 unique release-group MBIDs</w:t>
            </w:r>
          </w:p>
        </w:tc>
      </w:tr>
      <w:tr>
        <w:trPr>
          <w:cantSplit/>
        </w:trPr>
        <w:tc>
          <w:tcPr>
            <w:tcW w:type="dxa" w:w="2808"/>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Artist diversity</w:t>
            </w:r>
          </w:p>
        </w:tc>
        <w:tc>
          <w:tcPr>
            <w:tcW w:type="dxa" w:w="655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281 primary artists; maximum 5 releases each</w:t>
            </w:r>
          </w:p>
        </w:tc>
      </w:tr>
      <w:tr>
        <w:trPr>
          <w:cantSplit/>
        </w:trPr>
        <w:tc>
          <w:tcPr>
            <w:tcW w:type="dxa" w:w="2808"/>
            <w:vAlign w:val="top"/>
            <w:tcMar>
              <w:top w:w="80" w:type="dxa"/>
              <w:bottom w:w="80" w:type="dxa"/>
              <w:start w:w="120" w:type="dxa"/>
              <w:end w:w="120" w:type="dxa"/>
            </w:tcMar>
          </w:tcPr>
          <w:p>
            <w:pPr>
              <w:spacing w:after="0" w:line="264" w:lineRule="auto"/>
            </w:pPr>
            <w:r>
              <w:rPr>
                <w:rFonts w:ascii="Calibri" w:hAnsi="Calibri"/>
                <w:b/>
                <w:color w:val="1F4D78"/>
                <w:sz w:val="18"/>
              </w:rPr>
              <w:t>Artwork</w:t>
            </w:r>
          </w:p>
        </w:tc>
        <w:tc>
          <w:tcPr>
            <w:tcW w:type="dxa" w:w="6552"/>
            <w:vAlign w:val="top"/>
            <w:tcMar>
              <w:top w:w="80" w:type="dxa"/>
              <w:bottom w:w="80" w:type="dxa"/>
              <w:start w:w="120" w:type="dxa"/>
              <w:end w:w="120" w:type="dxa"/>
            </w:tcMar>
          </w:tcPr>
          <w:p>
            <w:pPr>
              <w:spacing w:after="0" w:line="264" w:lineRule="auto"/>
            </w:pPr>
            <w:r>
              <w:rPr>
                <w:rFonts w:ascii="Calibri" w:hAnsi="Calibri"/>
                <w:color w:val="24313D"/>
                <w:sz w:val="18"/>
              </w:rPr>
              <w:t>499 CAA cover references; 1 album without artwork</w:t>
            </w:r>
          </w:p>
        </w:tc>
      </w:tr>
      <w:tr>
        <w:trPr>
          <w:cantSplit/>
        </w:trPr>
        <w:tc>
          <w:tcPr>
            <w:tcW w:type="dxa" w:w="2808"/>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Release types</w:t>
            </w:r>
          </w:p>
        </w:tc>
        <w:tc>
          <w:tcPr>
            <w:tcW w:type="dxa" w:w="655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441 album · 26 single · 15 soundtrack · 9 EP · 6 mixtape · 2 remix · 1 compilation</w:t>
            </w:r>
          </w:p>
        </w:tc>
      </w:tr>
      <w:tr>
        <w:trPr>
          <w:cantSplit/>
        </w:trPr>
        <w:tc>
          <w:tcPr>
            <w:tcW w:type="dxa" w:w="2808"/>
            <w:vAlign w:val="top"/>
            <w:tcMar>
              <w:top w:w="80" w:type="dxa"/>
              <w:bottom w:w="80" w:type="dxa"/>
              <w:start w:w="120" w:type="dxa"/>
              <w:end w:w="120" w:type="dxa"/>
            </w:tcMar>
          </w:tcPr>
          <w:p>
            <w:pPr>
              <w:spacing w:after="0" w:line="264" w:lineRule="auto"/>
            </w:pPr>
            <w:r>
              <w:rPr>
                <w:rFonts w:ascii="Calibri" w:hAnsi="Calibri"/>
                <w:b/>
                <w:color w:val="1F4D78"/>
                <w:sz w:val="18"/>
              </w:rPr>
              <w:t>Date precision</w:t>
            </w:r>
          </w:p>
        </w:tc>
        <w:tc>
          <w:tcPr>
            <w:tcW w:type="dxa" w:w="6552"/>
            <w:vAlign w:val="top"/>
            <w:tcMar>
              <w:top w:w="80" w:type="dxa"/>
              <w:bottom w:w="80" w:type="dxa"/>
              <w:start w:w="120" w:type="dxa"/>
              <w:end w:w="120" w:type="dxa"/>
            </w:tcMar>
          </w:tcPr>
          <w:p>
            <w:pPr>
              <w:spacing w:after="0" w:line="264" w:lineRule="auto"/>
            </w:pPr>
            <w:r>
              <w:rPr>
                <w:rFonts w:ascii="Calibri" w:hAnsi="Calibri"/>
                <w:color w:val="24313D"/>
                <w:sz w:val="18"/>
              </w:rPr>
              <w:t>492 day · 5 month · 3 year</w:t>
            </w:r>
          </w:p>
        </w:tc>
      </w:tr>
      <w:tr>
        <w:trPr>
          <w:cantSplit/>
        </w:trPr>
        <w:tc>
          <w:tcPr>
            <w:tcW w:type="dxa" w:w="2808"/>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SHA-256</w:t>
            </w:r>
          </w:p>
        </w:tc>
        <w:tc>
          <w:tcPr>
            <w:tcW w:type="dxa" w:w="655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06185487d1e6e7180d0973fde018a91e9f67105e297c3a8b517e7e298635fc21</w:t>
            </w:r>
          </w:p>
        </w:tc>
      </w:tr>
    </w:tbl>
    <w:p>
      <w:pPr>
        <w:spacing w:after="20"/>
      </w:pPr>
    </w:p>
    <w:p>
      <w:pPr>
        <w:spacing w:before="20" w:after="120"/>
      </w:pPr>
      <w:r>
        <w:rPr>
          <w:rFonts w:ascii="Calibri" w:hAnsi="Calibri"/>
          <w:i/>
          <w:color w:val="5E6B76"/>
          <w:sz w:val="17"/>
        </w:rPr>
        <w:t>Counts above are taken from the checked-in seed and its validation/fetch reports.</w:t>
      </w:r>
    </w:p>
    <w:p>
      <w:pPr>
        <w:pStyle w:val="Heading2"/>
      </w:pPr>
      <w:r>
        <w:t>Fetch funnel</w:t>
      </w:r>
    </w:p>
    <w:tbl>
      <w:tblPr>
        <w:tblStyle w:val="TableGrid"/>
        <w:tblW w:type="dxa" w:w="9360"/>
        <w:jc w:val="left"/>
        <w:tblLayout w:type="fixed"/>
        <w:tblLook w:firstColumn="1" w:firstRow="1" w:lastColumn="0" w:lastRow="0" w:noHBand="0" w:noVBand="1" w:val="04A0"/>
        <w:tblInd w:type="dxa" w:w="120"/>
      </w:tblPr>
      <w:tblGrid>
        <w:gridCol w:w="3120"/>
        <w:gridCol w:w="1248"/>
        <w:gridCol w:w="4992"/>
      </w:tblGrid>
      <w:tr>
        <w:trPr>
          <w:tblHeader w:val="true"/>
          <w:cantSplit/>
        </w:trPr>
        <w:tc>
          <w:tcPr>
            <w:tcW w:type="dxa" w:w="312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Stage</w:t>
            </w:r>
          </w:p>
        </w:tc>
        <w:tc>
          <w:tcPr>
            <w:tcW w:type="dxa" w:w="1248"/>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Count</w:t>
            </w:r>
          </w:p>
        </w:tc>
        <w:tc>
          <w:tcPr>
            <w:tcW w:type="dxa" w:w="4992"/>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Interpretation</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Ranking rows fetched</w:t>
            </w:r>
          </w:p>
        </w:tc>
        <w:tc>
          <w:tcPr>
            <w:tcW w:type="dxa" w:w="1248"/>
            <w:vAlign w:val="top"/>
            <w:tcMar>
              <w:top w:w="80" w:type="dxa"/>
              <w:bottom w:w="80" w:type="dxa"/>
              <w:start w:w="120" w:type="dxa"/>
              <w:end w:w="120" w:type="dxa"/>
            </w:tcMar>
          </w:tcPr>
          <w:p>
            <w:pPr>
              <w:spacing w:after="0" w:line="264" w:lineRule="auto"/>
            </w:pPr>
            <w:r>
              <w:rPr>
                <w:rFonts w:ascii="Calibri" w:hAnsi="Calibri"/>
                <w:color w:val="24313D"/>
                <w:sz w:val="18"/>
              </w:rPr>
              <w:t>3,000</w:t>
            </w:r>
          </w:p>
        </w:tc>
        <w:tc>
          <w:tcPr>
            <w:tcW w:type="dxa" w:w="4992"/>
            <w:vAlign w:val="top"/>
            <w:tcMar>
              <w:top w:w="80" w:type="dxa"/>
              <w:bottom w:w="80" w:type="dxa"/>
              <w:start w:w="120" w:type="dxa"/>
              <w:end w:w="120" w:type="dxa"/>
            </w:tcMar>
          </w:tcPr>
          <w:p>
            <w:pPr>
              <w:spacing w:after="0" w:line="264" w:lineRule="auto"/>
            </w:pPr>
            <w:r>
              <w:rPr>
                <w:rFonts w:ascii="Calibri" w:hAnsi="Calibri"/>
                <w:color w:val="24313D"/>
                <w:sz w:val="18"/>
              </w:rPr>
              <w:t>1,000 from each selected range</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Valid ranking rows</w:t>
            </w:r>
          </w:p>
        </w:tc>
        <w:tc>
          <w:tcPr>
            <w:tcW w:type="dxa" w:w="1248"/>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2,899</w:t>
            </w:r>
          </w:p>
        </w:tc>
        <w:tc>
          <w:tcPr>
            <w:tcW w:type="dxa" w:w="499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101 invalid MBID rows rejected</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Unique candidate MBIDs</w:t>
            </w:r>
          </w:p>
        </w:tc>
        <w:tc>
          <w:tcPr>
            <w:tcW w:type="dxa" w:w="1248"/>
            <w:vAlign w:val="top"/>
            <w:tcMar>
              <w:top w:w="80" w:type="dxa"/>
              <w:bottom w:w="80" w:type="dxa"/>
              <w:start w:w="120" w:type="dxa"/>
              <w:end w:w="120" w:type="dxa"/>
            </w:tcMar>
          </w:tcPr>
          <w:p>
            <w:pPr>
              <w:spacing w:after="0" w:line="264" w:lineRule="auto"/>
            </w:pPr>
            <w:r>
              <w:rPr>
                <w:rFonts w:ascii="Calibri" w:hAnsi="Calibri"/>
                <w:color w:val="24313D"/>
                <w:sz w:val="18"/>
              </w:rPr>
              <w:t>1,444</w:t>
            </w:r>
          </w:p>
        </w:tc>
        <w:tc>
          <w:tcPr>
            <w:tcW w:type="dxa" w:w="4992"/>
            <w:vAlign w:val="top"/>
            <w:tcMar>
              <w:top w:w="80" w:type="dxa"/>
              <w:bottom w:w="80" w:type="dxa"/>
              <w:start w:w="120" w:type="dxa"/>
              <w:end w:w="120" w:type="dxa"/>
            </w:tcMar>
          </w:tcPr>
          <w:p>
            <w:pPr>
              <w:spacing w:after="0" w:line="264" w:lineRule="auto"/>
            </w:pPr>
            <w:r>
              <w:rPr>
                <w:rFonts w:ascii="Calibri" w:hAnsi="Calibri"/>
                <w:color w:val="24313D"/>
                <w:sz w:val="18"/>
              </w:rPr>
              <w:t>1,455 duplicate observations consolidated as signals</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Hydrated candidates</w:t>
            </w:r>
          </w:p>
        </w:tc>
        <w:tc>
          <w:tcPr>
            <w:tcW w:type="dxa" w:w="1248"/>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548</w:t>
            </w:r>
          </w:p>
        </w:tc>
        <w:tc>
          <w:tcPr>
            <w:tcW w:type="dxa" w:w="499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Enough valid metadata to fill quotas after caps</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Rejected candidates</w:t>
            </w:r>
          </w:p>
        </w:tc>
        <w:tc>
          <w:tcPr>
            <w:tcW w:type="dxa" w:w="1248"/>
            <w:vAlign w:val="top"/>
            <w:tcMar>
              <w:top w:w="80" w:type="dxa"/>
              <w:bottom w:w="80" w:type="dxa"/>
              <w:start w:w="120" w:type="dxa"/>
              <w:end w:w="120" w:type="dxa"/>
            </w:tcMar>
          </w:tcPr>
          <w:p>
            <w:pPr>
              <w:spacing w:after="0" w:line="264" w:lineRule="auto"/>
            </w:pPr>
            <w:r>
              <w:rPr>
                <w:rFonts w:ascii="Calibri" w:hAnsi="Calibri"/>
                <w:color w:val="24313D"/>
                <w:sz w:val="18"/>
              </w:rPr>
              <w:t>149</w:t>
            </w:r>
          </w:p>
        </w:tc>
        <w:tc>
          <w:tcPr>
            <w:tcW w:type="dxa" w:w="4992"/>
            <w:vAlign w:val="top"/>
            <w:tcMar>
              <w:top w:w="80" w:type="dxa"/>
              <w:bottom w:w="80" w:type="dxa"/>
              <w:start w:w="120" w:type="dxa"/>
              <w:end w:w="120" w:type="dxa"/>
            </w:tcMar>
          </w:tcPr>
          <w:p>
            <w:pPr>
              <w:spacing w:after="0" w:line="264" w:lineRule="auto"/>
            </w:pPr>
            <w:r>
              <w:rPr>
                <w:rFonts w:ascii="Calibri" w:hAnsi="Calibri"/>
                <w:color w:val="24313D"/>
                <w:sz w:val="18"/>
              </w:rPr>
              <w:t>101 invalid MBIDs + 48 artist-cap rejections</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Selected albums</w:t>
            </w:r>
          </w:p>
        </w:tc>
        <w:tc>
          <w:tcPr>
            <w:tcW w:type="dxa" w:w="1248"/>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500</w:t>
            </w:r>
          </w:p>
        </w:tc>
        <w:tc>
          <w:tcPr>
            <w:tcW w:type="dxa" w:w="4992"/>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Exact target; final dataset validation had zero row rejections</w:t>
            </w:r>
          </w:p>
        </w:tc>
      </w:tr>
    </w:tbl>
    <w:p>
      <w:pPr>
        <w:spacing w:after="20"/>
      </w:pPr>
    </w:p>
    <w:p>
      <w:pPr>
        <w:pStyle w:val="Heading1"/>
        <w:pBdr>
          <w:bottom w:val="single" w:sz="6" w:space="4" w:color="D7E0E8"/>
        </w:pBdr>
      </w:pPr>
      <w:r>
        <w:t>8. Verification coverage and rollout evidence</w:t>
      </w:r>
    </w:p>
    <w:p>
      <w:pPr>
        <w:pStyle w:val="Heading2"/>
      </w:pPr>
      <w:r>
        <w:t>Automated coverage</w:t>
      </w:r>
    </w:p>
    <w:p>
      <w:pPr>
        <w:pStyle w:val="ListBullet"/>
        <w:numPr>
          <w:ilvl w:val="0"/>
          <w:numId w:val="10"/>
        </w:numPr>
      </w:pPr>
      <w:r>
        <w:rPr>
          <w:b/>
        </w:rPr>
        <w:t>Selection.</w:t>
      </w:r>
      <w:r>
        <w:t xml:space="preserve"> Cross-range deduplication, signal preservation, quota backfill, exact composition, and the global artist cap.</w:t>
      </w:r>
    </w:p>
    <w:p>
      <w:pPr>
        <w:pStyle w:val="ListBullet"/>
        <w:numPr>
          <w:ilvl w:val="0"/>
          <w:numId w:val="10"/>
        </w:numPr>
      </w:pPr>
      <w:r>
        <w:rPr>
          <w:b/>
        </w:rPr>
        <w:t>Mapping.</w:t>
      </w:r>
      <w:r>
        <w:t xml:space="preserve"> Join phrases, type precedence, partial/leap-year dates, CAA URL construction, and strict unknown-field rejection.</w:t>
      </w:r>
    </w:p>
    <w:p>
      <w:pPr>
        <w:pStyle w:val="ListBullet"/>
        <w:numPr>
          <w:ilvl w:val="0"/>
          <w:numId w:val="10"/>
        </w:numPr>
      </w:pPr>
      <w:r>
        <w:rPr>
          <w:b/>
        </w:rPr>
        <w:t>Networking.</w:t>
      </w:r>
      <w:r>
        <w:t xml:space="preserve"> Rate gating, timeout/retry behavior, full Retry-After handling, cache/resume behavior, and atomic artifact rollback.</w:t>
      </w:r>
    </w:p>
    <w:p>
      <w:pPr>
        <w:pStyle w:val="ListBullet"/>
        <w:numPr>
          <w:ilvl w:val="0"/>
          <w:numId w:val="10"/>
        </w:numPr>
      </w:pPr>
      <w:r>
        <w:rPr>
          <w:b/>
        </w:rPr>
        <w:t>Validation.</w:t>
      </w:r>
      <w:r>
        <w:t xml:space="preserve"> Fatal envelopes, mixed valid/invalid datasets, semantic mismatches, and proof that malformed rows never reach model writes.</w:t>
      </w:r>
    </w:p>
    <w:p>
      <w:pPr>
        <w:pStyle w:val="ListBullet"/>
        <w:numPr>
          <w:ilvl w:val="0"/>
          <w:numId w:val="10"/>
        </w:numPr>
      </w:pPr>
      <w:r>
        <w:rPr>
          <w:b/>
        </w:rPr>
        <w:t>Persistence.</w:t>
      </w:r>
      <w:r>
        <w:t xml:space="preserve"> Inserts, refreshes, idempotent reruns, UUID preservation, manual/community protection, reference uniqueness, concurrency, and rollback.</w:t>
      </w:r>
    </w:p>
    <w:p>
      <w:pPr>
        <w:pStyle w:val="ListBullet"/>
        <w:numPr>
          <w:ilvl w:val="0"/>
          <w:numId w:val="10"/>
        </w:numPr>
      </w:pPr>
      <w:r>
        <w:rPr>
          <w:b/>
        </w:rPr>
        <w:t>Provider fixtures.</w:t>
      </w:r>
      <w:r>
        <w:t xml:space="preserve"> Captured official ListenBrainz and MusicBrainz responses exercise the production mapping path without default network access.</w:t>
      </w:r>
    </w:p>
    <w:p>
      <w:pPr>
        <w:pStyle w:val="Heading2"/>
      </w:pPr>
      <w:r>
        <w:t>Verification snapshot</w:t>
      </w:r>
    </w:p>
    <w:tbl>
      <w:tblPr>
        <w:tblStyle w:val="TableGrid"/>
        <w:tblW w:type="dxa" w:w="9360"/>
        <w:jc w:val="left"/>
        <w:tblLayout w:type="fixed"/>
        <w:tblLook w:firstColumn="1" w:firstRow="1" w:lastColumn="0" w:lastRow="0" w:noHBand="0" w:noVBand="1" w:val="04A0"/>
        <w:tblInd w:type="dxa" w:w="120"/>
      </w:tblPr>
      <w:tblGrid>
        <w:gridCol w:w="3120"/>
        <w:gridCol w:w="6240"/>
      </w:tblGrid>
      <w:tr>
        <w:trPr>
          <w:tblHeader w:val="true"/>
          <w:cantSplit/>
        </w:trPr>
        <w:tc>
          <w:tcPr>
            <w:tcW w:type="dxa" w:w="312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Check</w:t>
            </w:r>
          </w:p>
        </w:tc>
        <w:tc>
          <w:tcPr>
            <w:tcW w:type="dxa" w:w="6240"/>
            <w:vAlign w:val="center"/>
            <w:shd w:fill="E8EEF5" w:val="clear"/>
            <w:tcMar>
              <w:top w:w="80" w:type="dxa"/>
              <w:bottom w:w="80" w:type="dxa"/>
              <w:start w:w="120" w:type="dxa"/>
              <w:end w:w="120" w:type="dxa"/>
            </w:tcMar>
          </w:tcPr>
          <w:p>
            <w:pPr>
              <w:spacing w:after="0" w:line="240" w:lineRule="auto"/>
            </w:pPr>
            <w:r>
              <w:rPr>
                <w:rFonts w:ascii="Calibri" w:hAnsi="Calibri"/>
                <w:b/>
                <w:color w:val="1F4D78"/>
                <w:sz w:val="19"/>
              </w:rPr>
              <w:t>Phase 2.5 handoff result</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Normal test suite</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93 total · 83 passed · 10 expected skips · 0 failures at Phase 2.5 completion</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Replica-set integrations</w:t>
            </w:r>
          </w:p>
        </w:tc>
        <w:tc>
          <w:tcPr>
            <w:tcW w:type="dxa" w:w="624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9/9 passed for transactional and rollback behaviors</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Provider-neutral guard</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Passed; no Spotify dependencies returned to catalog/import paths</w:t>
            </w:r>
          </w:p>
        </w:tc>
      </w:tr>
      <w:tr>
        <w:trPr>
          <w:cantSplit/>
        </w:trPr>
        <w:tc>
          <w:tcPr>
            <w:tcW w:type="dxa" w:w="3120"/>
            <w:shd w:fill="FAFBFC" w:val="clear"/>
            <w:vAlign w:val="top"/>
            <w:tcMar>
              <w:top w:w="80" w:type="dxa"/>
              <w:bottom w:w="80" w:type="dxa"/>
              <w:start w:w="120" w:type="dxa"/>
              <w:end w:w="120" w:type="dxa"/>
            </w:tcMar>
          </w:tcPr>
          <w:p>
            <w:pPr>
              <w:spacing w:after="0" w:line="264" w:lineRule="auto"/>
            </w:pPr>
            <w:r>
              <w:rPr>
                <w:rFonts w:ascii="Calibri" w:hAnsi="Calibri"/>
                <w:b/>
                <w:color w:val="1F4D78"/>
                <w:sz w:val="18"/>
              </w:rPr>
              <w:t>Full seed validation</w:t>
            </w:r>
          </w:p>
        </w:tc>
        <w:tc>
          <w:tcPr>
            <w:tcW w:type="dxa" w:w="6240"/>
            <w:shd w:fill="FAFBFC" w:val="clear"/>
            <w:vAlign w:val="top"/>
            <w:tcMar>
              <w:top w:w="80" w:type="dxa"/>
              <w:bottom w:w="80" w:type="dxa"/>
              <w:start w:w="120" w:type="dxa"/>
              <w:end w:w="120" w:type="dxa"/>
            </w:tcMar>
          </w:tcPr>
          <w:p>
            <w:pPr>
              <w:spacing w:after="0" w:line="264" w:lineRule="auto"/>
            </w:pPr>
            <w:r>
              <w:rPr>
                <w:rFonts w:ascii="Calibri" w:hAnsi="Calibri"/>
                <w:color w:val="24313D"/>
                <w:sz w:val="18"/>
              </w:rPr>
              <w:t>500 valid · 0 quarantined</w:t>
            </w:r>
          </w:p>
        </w:tc>
      </w:tr>
      <w:tr>
        <w:trPr>
          <w:cantSplit/>
        </w:trPr>
        <w:tc>
          <w:tcPr>
            <w:tcW w:type="dxa" w:w="3120"/>
            <w:vAlign w:val="top"/>
            <w:tcMar>
              <w:top w:w="80" w:type="dxa"/>
              <w:bottom w:w="80" w:type="dxa"/>
              <w:start w:w="120" w:type="dxa"/>
              <w:end w:w="120" w:type="dxa"/>
            </w:tcMar>
          </w:tcPr>
          <w:p>
            <w:pPr>
              <w:spacing w:after="0" w:line="264" w:lineRule="auto"/>
            </w:pPr>
            <w:r>
              <w:rPr>
                <w:rFonts w:ascii="Calibri" w:hAnsi="Calibri"/>
                <w:b/>
                <w:color w:val="1F4D78"/>
                <w:sz w:val="18"/>
              </w:rPr>
              <w:t>Live provider test</w:t>
            </w:r>
          </w:p>
        </w:tc>
        <w:tc>
          <w:tcPr>
            <w:tcW w:type="dxa" w:w="6240"/>
            <w:vAlign w:val="top"/>
            <w:tcMar>
              <w:top w:w="80" w:type="dxa"/>
              <w:bottom w:w="80" w:type="dxa"/>
              <w:start w:w="120" w:type="dxa"/>
              <w:end w:w="120" w:type="dxa"/>
            </w:tcMar>
          </w:tcPr>
          <w:p>
            <w:pPr>
              <w:spacing w:after="0" w:line="264" w:lineRule="auto"/>
            </w:pPr>
            <w:r>
              <w:rPr>
                <w:rFonts w:ascii="Calibri" w:hAnsi="Calibri"/>
                <w:color w:val="24313D"/>
                <w:sz w:val="18"/>
              </w:rPr>
              <w:t>Available only when RUN_LIVE_CATALOG_FETCH=true; skipped by default</w:t>
            </w:r>
          </w:p>
        </w:tc>
      </w:tr>
    </w:tbl>
    <w:p>
      <w:pPr>
        <w:spacing w:after="20"/>
      </w:pPr>
    </w:p>
    <w:p>
      <w:r>
        <w:t>The later Phase 3 commit added one frontend test, so the current repository reports 94 total and 84 passed. That increase belongs to Phase 3 rather than the Phase 2.5 importer scope.</w:t>
      </w:r>
    </w:p>
    <w:p>
      <w:pPr>
        <w:pStyle w:val="Heading2"/>
      </w:pPr>
      <w:r>
        <w:t>Tracked apply evidence</w:t>
      </w:r>
    </w:p>
    <w:p>
      <w:pPr>
        <w:spacing w:before="120" w:after="180" w:line="288" w:lineRule="auto"/>
        <w:ind w:left="190" w:right="120"/>
        <w:shd w:fill="EAF4EC" w:val="clear"/>
        <w:pBdr>
          <w:left w:val="single" w:sz="18" w:space="8" w:color="4E8C5A"/>
        </w:pBdr>
      </w:pPr>
      <w:r>
        <w:rPr>
          <w:b/>
          <w:color w:val="1F4D78"/>
          <w:sz w:val="18"/>
        </w:rPr>
        <w:t xml:space="preserve">RECORDED RESULT  </w:t>
      </w:r>
      <w:r>
        <w:rPr>
          <w:color w:val="24313D"/>
          <w:sz w:val="21"/>
        </w:rPr>
        <w:t>The checked-in full-seed apply report shows 498 inserted and 2 refreshed, with 0 unchanged, quarantined, or conflicted. The report does not record which database environment was targeted, so it is evidence of a successful apply—not proof that the currently configured database contains those rows.</w:t>
      </w:r>
    </w:p>
    <w:p>
      <w:pPr>
        <w:pStyle w:val="Heading1"/>
        <w:pBdr>
          <w:bottom w:val="single" w:sz="6" w:space="4" w:color="D7E0E8"/>
        </w:pBdr>
      </w:pPr>
      <w:r>
        <w:t>9. Operating the pipeline</w:t>
      </w:r>
    </w:p>
    <w:p>
      <w:pPr>
        <w:pStyle w:val="Heading2"/>
      </w:pPr>
      <w:r>
        <w:t>Commands</w:t>
      </w:r>
    </w:p>
    <w:p>
      <w:r>
        <w:t>Fetch a new seed and its checksum/report bundle:</w:t>
      </w:r>
    </w:p>
    <w:p>
      <w:pPr>
        <w:spacing w:before="40" w:after="60" w:line="240" w:lineRule="auto"/>
        <w:ind w:left="180" w:right="120"/>
        <w:shd w:fill="F4F7FA" w:val="clear"/>
      </w:pPr>
      <w:r>
        <w:rPr>
          <w:rFonts w:ascii="Courier New" w:hAnsi="Courier New"/>
          <w:color w:val="1F4D78"/>
          <w:sz w:val="18"/>
        </w:rPr>
        <w:t>npm run catalog:fetch -- --output &lt;seed.json&gt;</w:t>
      </w:r>
    </w:p>
    <w:p>
      <w:r>
        <w:t>Validate a dataset without connecting to MongoDB:</w:t>
      </w:r>
    </w:p>
    <w:p>
      <w:pPr>
        <w:spacing w:before="40" w:after="60" w:line="240" w:lineRule="auto"/>
        <w:ind w:left="180" w:right="120"/>
        <w:shd w:fill="F4F7FA" w:val="clear"/>
      </w:pPr>
      <w:r>
        <w:rPr>
          <w:rFonts w:ascii="Courier New" w:hAnsi="Courier New"/>
          <w:color w:val="1F4D78"/>
          <w:sz w:val="18"/>
        </w:rPr>
        <w:t>npm run catalog:validate -- --input &lt;seed.json&gt;</w:t>
      </w:r>
    </w:p>
    <w:p>
      <w:r>
        <w:t>Build and report the database plan without writing:</w:t>
      </w:r>
    </w:p>
    <w:p>
      <w:pPr>
        <w:spacing w:before="40" w:after="60" w:line="240" w:lineRule="auto"/>
        <w:ind w:left="180" w:right="120"/>
        <w:shd w:fill="F4F7FA" w:val="clear"/>
      </w:pPr>
      <w:r>
        <w:rPr>
          <w:rFonts w:ascii="Courier New" w:hAnsi="Courier New"/>
          <w:color w:val="1F4D78"/>
          <w:sz w:val="18"/>
        </w:rPr>
        <w:t>npm run catalog:import -- --input &lt;seed.json&gt; --dry-run</w:t>
      </w:r>
    </w:p>
    <w:p>
      <w:r>
        <w:t>Apply the accepted plan explicitly:</w:t>
      </w:r>
    </w:p>
    <w:p>
      <w:pPr>
        <w:spacing w:before="40" w:after="60" w:line="240" w:lineRule="auto"/>
        <w:ind w:left="180" w:right="120"/>
        <w:shd w:fill="F4F7FA" w:val="clear"/>
      </w:pPr>
      <w:r>
        <w:rPr>
          <w:rFonts w:ascii="Courier New" w:hAnsi="Courier New"/>
          <w:color w:val="1F4D78"/>
          <w:sz w:val="18"/>
        </w:rPr>
        <w:t>npm run catalog:import -- --input &lt;seed.json&gt; --apply</w:t>
      </w:r>
    </w:p>
    <w:p>
      <w:r>
        <w:t>Run the catalog guard or the opt-in live provider check:</w:t>
      </w:r>
    </w:p>
    <w:p>
      <w:pPr>
        <w:spacing w:before="40" w:after="60" w:line="240" w:lineRule="auto"/>
        <w:ind w:left="180" w:right="120"/>
        <w:shd w:fill="F4F7FA" w:val="clear"/>
      </w:pPr>
      <w:r>
        <w:rPr>
          <w:rFonts w:ascii="Courier New" w:hAnsi="Courier New"/>
          <w:color w:val="1F4D78"/>
          <w:sz w:val="18"/>
        </w:rPr>
        <w:t>npm run check:catalog-contract</w:t>
      </w:r>
    </w:p>
    <w:p>
      <w:pPr>
        <w:spacing w:before="40" w:after="60" w:line="240" w:lineRule="auto"/>
        <w:ind w:left="180" w:right="120"/>
        <w:shd w:fill="F4F7FA" w:val="clear"/>
      </w:pPr>
      <w:r>
        <w:rPr>
          <w:rFonts w:ascii="Courier New" w:hAnsi="Courier New"/>
          <w:color w:val="1F4D78"/>
          <w:sz w:val="18"/>
        </w:rPr>
        <w:t>RUN_LIVE_CATALOG_FETCH=true npm run test:catalog-live</w:t>
      </w:r>
    </w:p>
    <w:p>
      <w:pPr>
        <w:pStyle w:val="Heading2"/>
      </w:pPr>
      <w:r>
        <w:t>Safe application sequence</w:t>
      </w:r>
    </w:p>
    <w:p>
      <w:pPr>
        <w:pStyle w:val="ListNumber"/>
        <w:numPr>
          <w:ilvl w:val="0"/>
          <w:numId w:val="11"/>
        </w:numPr>
      </w:pPr>
      <w:r>
        <w:rPr>
          <w:b/>
        </w:rPr>
        <w:t xml:space="preserve">Confirm the environment. </w:t>
      </w:r>
      <w:r>
        <w:t>Verify MONGO_URI points to the intended transaction-capable database and take an appropriate backup/snapshot.</w:t>
      </w:r>
    </w:p>
    <w:p>
      <w:pPr>
        <w:pStyle w:val="ListNumber"/>
        <w:numPr>
          <w:ilvl w:val="0"/>
          <w:numId w:val="11"/>
        </w:numPr>
      </w:pPr>
      <w:r>
        <w:rPr>
          <w:b/>
        </w:rPr>
        <w:t xml:space="preserve">Verify the artifact. </w:t>
      </w:r>
      <w:r>
        <w:t>Check the seed against its committed SHA-256 sidecar; use the identical file throughout rollout.</w:t>
      </w:r>
    </w:p>
    <w:p>
      <w:pPr>
        <w:pStyle w:val="ListNumber"/>
        <w:numPr>
          <w:ilvl w:val="0"/>
          <w:numId w:val="11"/>
        </w:numPr>
      </w:pPr>
      <w:r>
        <w:rPr>
          <w:b/>
        </w:rPr>
        <w:t xml:space="preserve">Validate offline. </w:t>
      </w:r>
      <w:r>
        <w:t>Run catalog:validate and resolve any fatal error before opening a database connection.</w:t>
      </w:r>
    </w:p>
    <w:p>
      <w:pPr>
        <w:pStyle w:val="ListNumber"/>
        <w:numPr>
          <w:ilvl w:val="0"/>
          <w:numId w:val="11"/>
        </w:numPr>
      </w:pPr>
      <w:r>
        <w:rPr>
          <w:b/>
        </w:rPr>
        <w:t xml:space="preserve">Dry-run. </w:t>
      </w:r>
      <w:r>
        <w:t>Review inserted/refreshed/unchanged/conflicted counts and every quarantine entry.</w:t>
      </w:r>
    </w:p>
    <w:p>
      <w:pPr>
        <w:pStyle w:val="ListNumber"/>
        <w:numPr>
          <w:ilvl w:val="0"/>
          <w:numId w:val="11"/>
        </w:numPr>
      </w:pPr>
      <w:r>
        <w:rPr>
          <w:b/>
        </w:rPr>
        <w:t xml:space="preserve">Apply explicitly. </w:t>
      </w:r>
      <w:r>
        <w:t>Use --apply only after the environment and plan match expectations.</w:t>
      </w:r>
    </w:p>
    <w:p>
      <w:pPr>
        <w:pStyle w:val="ListNumber"/>
        <w:numPr>
          <w:ilvl w:val="0"/>
          <w:numId w:val="11"/>
        </w:numPr>
      </w:pPr>
      <w:r>
        <w:rPr>
          <w:b/>
        </w:rPr>
        <w:t xml:space="preserve">Smoke-test. </w:t>
      </w:r>
      <w:r>
        <w:t>Exercise catalog search/detail plus the Phase 3 submission, approval, profile, and board flows against the populated catalog.</w:t>
      </w:r>
    </w:p>
    <w:p>
      <w:pPr>
        <w:pStyle w:val="ListNumber"/>
        <w:numPr>
          <w:ilvl w:val="0"/>
          <w:numId w:val="11"/>
        </w:numPr>
      </w:pPr>
      <w:r>
        <w:rPr>
          <w:b/>
        </w:rPr>
        <w:t xml:space="preserve">Retain evidence. </w:t>
      </w:r>
      <w:r>
        <w:t>Keep the exact seed, checksum, import report, and quarantine report together for the deployment record.</w:t>
      </w:r>
    </w:p>
    <w:p>
      <w:pPr>
        <w:pStyle w:val="Heading2"/>
      </w:pPr>
      <w:r>
        <w:t>Sample versus full seed</w:t>
      </w:r>
    </w:p>
    <w:p>
      <w:r>
        <w:t>Use data/catalog-import/catalog-import.sample.json for a small two-album validation or development import. Use the dated seed for the full catalog rollout. Re-running an identical file is idempotent: matching imported records are classified as unchanged unless source-owned metadata has changed.</w:t>
      </w:r>
    </w:p>
    <w:p>
      <w:pPr>
        <w:pStyle w:val="Heading1"/>
        <w:pBdr>
          <w:bottom w:val="single" w:sz="6" w:space="4" w:color="D7E0E8"/>
        </w:pBdr>
      </w:pPr>
      <w:r>
        <w:t>10. Handoff, caveats, and next steps</w:t>
      </w:r>
    </w:p>
    <w:p>
      <w:pPr>
        <w:pStyle w:val="Heading2"/>
      </w:pPr>
      <w:r>
        <w:t>What Phase 3 inherited</w:t>
      </w:r>
    </w:p>
    <w:p>
      <w:r>
        <w:t>Phase 3 could assume that album search and selection had a provider-neutral catalog behind them. It then added the authenticated contributor and moderator interface—submission forms, moderation queue, notifications, profile history, and board workflows—without making the UI responsible for sourcing or normalizing catalog metadata.</w:t>
      </w:r>
    </w:p>
    <w:p>
      <w:pPr>
        <w:pStyle w:val="Heading2"/>
      </w:pPr>
      <w:r>
        <w:t>Known handoff caveats</w:t>
      </w:r>
    </w:p>
    <w:p>
      <w:pPr>
        <w:pStyle w:val="ListBullet"/>
        <w:numPr>
          <w:ilvl w:val="0"/>
          <w:numId w:val="10"/>
        </w:numPr>
      </w:pPr>
      <w:r>
        <w:rPr>
          <w:b/>
        </w:rPr>
        <w:t>Database provenance.</w:t>
      </w:r>
      <w:r>
        <w:t xml:space="preserve"> The tracked full-seed apply report omits the target environment. Confirm MONGO_URI and run a fresh dry-run before any repeat apply.</w:t>
      </w:r>
    </w:p>
    <w:p>
      <w:pPr>
        <w:pStyle w:val="ListBullet"/>
        <w:numPr>
          <w:ilvl w:val="0"/>
          <w:numId w:val="10"/>
        </w:numPr>
      </w:pPr>
      <w:r>
        <w:rPr>
          <w:b/>
        </w:rPr>
        <w:t>Malformed sample sidecar.</w:t>
      </w:r>
      <w:r>
        <w:t xml:space="preserve"> data/catalog-import/catalog-import.sample.quarantine-report.json currently begins with an accidentally pasted shell command and should not be treated as valid JSON until repaired. The sample dataset itself is valid.</w:t>
      </w:r>
    </w:p>
    <w:p>
      <w:pPr>
        <w:pStyle w:val="ListBullet"/>
        <w:numPr>
          <w:ilvl w:val="0"/>
          <w:numId w:val="10"/>
        </w:numPr>
      </w:pPr>
      <w:r>
        <w:rPr>
          <w:b/>
        </w:rPr>
        <w:t>Artwork rights.</w:t>
      </w:r>
      <w:r>
        <w:t xml:space="preserve"> ListenBrainz and MusicBrainz core data are recorded as CC0-1.0, but Cover Art Archive rights vary by image. Linking a URL does not clear copyright or reuse restrictions.</w:t>
      </w:r>
    </w:p>
    <w:p>
      <w:pPr>
        <w:pStyle w:val="ListBullet"/>
        <w:numPr>
          <w:ilvl w:val="0"/>
          <w:numId w:val="10"/>
        </w:numPr>
      </w:pPr>
      <w:r>
        <w:rPr>
          <w:b/>
        </w:rPr>
        <w:t>No automatic freshness.</w:t>
      </w:r>
      <w:r>
        <w:t xml:space="preserve"> The checked-in seed is a point-in-time artifact. A future recurring sync would need an explicitly designed lifecycle and operational policy.</w:t>
      </w:r>
    </w:p>
    <w:p>
      <w:pPr>
        <w:pStyle w:val="Heading2"/>
      </w:pPr>
      <w:r>
        <w:t>Before the next catalog apply</w:t>
      </w:r>
    </w:p>
    <w:p>
      <w:pPr>
        <w:pStyle w:val="ListBullet"/>
        <w:numPr>
          <w:ilvl w:val="0"/>
          <w:numId w:val="10"/>
        </w:numPr>
      </w:pPr>
      <w:r>
        <w:t>Repair or remove the malformed sample quarantine sidecar so every checked-in example report is parseable.</w:t>
      </w:r>
    </w:p>
    <w:p>
      <w:pPr>
        <w:pStyle w:val="ListBullet"/>
        <w:numPr>
          <w:ilvl w:val="0"/>
          <w:numId w:val="10"/>
        </w:numPr>
      </w:pPr>
      <w:r>
        <w:t>Confirm the target database, transaction support, indexes, and current AlbumCatalog contents.</w:t>
      </w:r>
    </w:p>
    <w:p>
      <w:pPr>
        <w:pStyle w:val="ListBullet"/>
        <w:numPr>
          <w:ilvl w:val="0"/>
          <w:numId w:val="10"/>
        </w:numPr>
      </w:pPr>
      <w:r>
        <w:t>Run validation and dry-run against the exact checksummed seed intended for the environment.</w:t>
      </w:r>
    </w:p>
    <w:p>
      <w:pPr>
        <w:pStyle w:val="ListBullet"/>
        <w:numPr>
          <w:ilvl w:val="0"/>
          <w:numId w:val="10"/>
        </w:numPr>
      </w:pPr>
      <w:r>
        <w:t>Review conflicts/quarantine, then run catalog/search/detail and Phase 3 social smoke tests after apply.</w:t>
      </w:r>
    </w:p>
    <w:p>
      <w:pPr>
        <w:pStyle w:val="ListBullet"/>
        <w:numPr>
          <w:ilvl w:val="0"/>
          <w:numId w:val="10"/>
        </w:numPr>
      </w:pPr>
      <w:r>
        <w:t>Record the deployment environment with the retained reports so later maintainers know where the seed landed.</w:t>
      </w:r>
    </w:p>
    <w:p>
      <w:pPr>
        <w:pStyle w:val="Heading2"/>
      </w:pPr>
      <w:r>
        <w:t>Source basis</w:t>
      </w:r>
    </w:p>
    <w:p>
      <w:r>
        <w:t>This retrospective was reconstructed from commit 556aee1, the current importer implementation, docs/CATALOG_IMPORT.md, data/catalog-import artifacts, package scripts, automated tests, and PC_HANDOFF.md. The preceding Phase 2 moderation backend is represented by b3c27d8; the subsequent Phase 3 UI is dc66e27.</w:t>
      </w:r>
    </w:p>
    <w:p>
      <w:pPr>
        <w:spacing w:before="120" w:after="180" w:line="288" w:lineRule="auto"/>
        <w:ind w:left="190" w:right="120"/>
        <w:shd w:fill="E8EEF5" w:val="clear"/>
        <w:pBdr>
          <w:left w:val="single" w:sz="18" w:space="8" w:color="2E74B5"/>
        </w:pBdr>
      </w:pPr>
      <w:r>
        <w:rPr>
          <w:b/>
          <w:color w:val="1F4D78"/>
          <w:sz w:val="18"/>
        </w:rPr>
        <w:t xml:space="preserve">BOTTOM LINE  </w:t>
      </w:r>
      <w:r>
        <w:rPr>
          <w:color w:val="24313D"/>
          <w:sz w:val="21"/>
        </w:rPr>
        <w:t>Phase 2.5 did not add another user-facing feature. It made the upcoming features credible by giving Rescened a reproducible real-data catalog, a strict trust boundary, and an import path that protects both database integrity and future community-owned edits.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Bdr>
        <w:top w:val="single" w:sz="4" w:space="4" w:color="D7E0E8"/>
      </w:pBdr>
    </w:pPr>
    <w:r>
      <w:rPr>
        <w:rFonts w:ascii="Calibri" w:hAnsi="Calibri"/>
        <w:color w:val="5E6B76"/>
        <w:sz w:val="16"/>
      </w:rPr>
      <w:t>Internal engineering reference</w:t>
    </w:r>
    <w:r>
      <w:rPr>
        <w:rFonts w:ascii="Calibri" w:hAnsi="Calibri"/>
        <w:color w:val="5E6B76"/>
        <w:sz w:val="16"/>
      </w:rPr>
      <w:tab/>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Bdr>
        <w:top w:val="single" w:sz="4" w:space="4" w:color="D7E0E8"/>
      </w:pBdr>
    </w:pPr>
    <w:r>
      <w:rPr>
        <w:rFonts w:ascii="Calibri" w:hAnsi="Calibri"/>
        <w:color w:val="5E6B76"/>
        <w:sz w:val="16"/>
      </w:rPr>
      <w:t>Internal engineering reference</w:t>
    </w:r>
    <w:r>
      <w:rPr>
        <w:rFonts w:ascii="Calibri" w:hAnsi="Calibri"/>
        <w:color w:val="5E6B76"/>
        <w:sz w:val="16"/>
      </w:rPr>
      <w:tab/>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jc w:val="left"/>
      <w:pBdr>
        <w:bottom w:val="single" w:sz="5" w:space="4" w:color="D7E0E8"/>
      </w:pBdr>
    </w:pPr>
    <w:r>
      <w:rPr>
        <w:rFonts w:ascii="Calibri" w:hAnsi="Calibri"/>
        <w:b/>
        <w:color w:val="2E74B5"/>
        <w:sz w:val="17"/>
      </w:rPr>
      <w:t>RESCENED  /  PHASE 2.5</w:t>
    </w:r>
    <w:r>
      <w:rPr>
        <w:rFonts w:ascii="Calibri" w:hAnsi="Calibri"/>
        <w:color w:val="5E6B76"/>
        <w:sz w:val="17"/>
      </w:rPr>
      <w:tab/>
      <w:t>IMPLEMENTATION RETROSPECTIVE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jc w:val="left"/>
      <w:pBdr>
        <w:bottom w:val="single" w:sz="5" w:space="4" w:color="D7E0E8"/>
      </w:pBdr>
    </w:pPr>
    <w:r>
      <w:rPr>
        <w:rFonts w:ascii="Calibri" w:hAnsi="Calibri"/>
        <w:b/>
        <w:color w:val="2E74B5"/>
        <w:sz w:val="17"/>
      </w:rPr>
      <w:t>RESCENED  /  PHASE 2.5</w:t>
    </w:r>
    <w:r>
      <w:rPr>
        <w:rFonts w:ascii="Calibri" w:hAnsi="Calibri"/>
        <w:color w:val="5E6B76"/>
        <w:sz w:val="17"/>
      </w:rPr>
      <w:tab/>
      <w:t>IMPLEMENTATION RETROSPECTIVE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abstractNum w:abstractNumId="11">
    <w:multiLevelType w:val="singleLevel"/>
    <w:lvl w:ilvl="0">
      <w:start w:val="1"/>
      <w:numFmt w:val="decimal"/>
      <w:lvlText w:val="%1."/>
      <w:lvlJc w:val="left"/>
      <w:pPr>
        <w:tabs>
          <w:tab w:val="num" w:pos="540"/>
        </w:tabs>
        <w:ind w:left="540" w:hanging="271"/>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jc w:val="left"/>
    </w:pPr>
    <w:rPr>
      <w:rFonts w:ascii="Calibri" w:hAnsi="Calibri"/>
      <w:color w:val="243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Calibri" w:hAnsi="Calibri"/>
      <w:b/>
      <w:color w:val="1F4D7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ascii="Calibri" w:hAnsi="Calibri"/>
      <w:i/>
      <w:iCs/>
      <w:color w:val="5E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4313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4313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2.5 Catalog Bootstrap — Implementation Retrospective</dc:title>
  <dc:subject>Rescened ListenBrainz and MusicBrainz catalog importer</dc:subject>
  <dc:creator>Rescened</dc:creator>
  <cp:keywords>Rescened, Phase 2.5, ListenBrainz, MusicBrainz, AlbumCatalog, importer</cp:keywords>
  <dc:description>generated by python-docx</dc:description>
  <cp:lastModifiedBy/>
  <cp:revision>1</cp:revision>
  <dcterms:created xsi:type="dcterms:W3CDTF">2013-12-23T23:15:00Z</dcterms:created>
  <dcterms:modified xsi:type="dcterms:W3CDTF">2013-12-23T23:15:00Z</dcterms:modified>
  <cp:category/>
</cp:coreProperties>
</file>