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2.png" ContentType="image/png"/>
  <Override PartName="/word/media/rId54.png" ContentType="image/png"/>
  <Override PartName="/word/media/rId59.png" ContentType="image/png"/>
  <Override PartName="/word/media/rId48.png" ContentType="image/png"/>
  <Override PartName="/word/media/rId65.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d95accb193b2caa61b5eca1fe7ff097a509dc1c"/>
    <w:p>
      <w:pPr>
        <w:pStyle w:val="Heading1"/>
      </w:pPr>
      <w:r>
        <w:t xml:space="preserve">Differentiable Technoeconomic Analysis of Single-Stage Nd/Dy Separation by Solvent Extraction: Gradient-Based Sensitivity Analysis and Uncertainty Quantification</w:t>
      </w:r>
    </w:p>
    <w:p>
      <w:pPr>
        <w:pStyle w:val="FirstParagraph"/>
      </w:pPr>
      <w:r>
        <w:rPr>
          <w:b/>
          <w:bCs/>
        </w:rPr>
        <w:t xml:space="preserve">Authors:</w:t>
      </w:r>
      <w:r>
        <w:t xml:space="preserve"> </w:t>
      </w:r>
      <w:r>
        <w:t xml:space="preserve">[To be determined]</w:t>
      </w:r>
    </w:p>
    <w:p>
      <w:pPr>
        <w:pStyle w:val="BodyText"/>
      </w:pPr>
      <w:r>
        <w:rPr>
          <w:b/>
          <w:bCs/>
        </w:rPr>
        <w:t xml:space="preserve">Target Journal:</w:t>
      </w:r>
      <w:r>
        <w:t xml:space="preserve"> </w:t>
      </w:r>
      <w:r>
        <w:t xml:space="preserve">Industrial &amp; Engineering Chemistry Research</w:t>
      </w:r>
    </w:p>
    <w:p>
      <w:r>
        <w:pict>
          <v:rect style="width:0;height:1.5pt" o:hralign="center" o:hrstd="t" o:hr="t"/>
        </w:pict>
      </w:r>
    </w:p>
    <w:bookmarkStart w:id="9" w:name="abstract"/>
    <w:p>
      <w:pPr>
        <w:pStyle w:val="Heading2"/>
      </w:pPr>
      <w:r>
        <w:t xml:space="preserve">Abstract</w:t>
      </w:r>
    </w:p>
    <w:p>
      <w:pPr>
        <w:pStyle w:val="FirstParagraph"/>
      </w:pPr>
      <w:r>
        <w:t xml:space="preserve">Rare earth elements neodymium (Nd) and dysprosium (Dy) are critical materials for permanent magnets in electric vehicles and wind turbines, yet their separation remains challenging due to similar chemical properties. This work presents a fully differentiable framework for analyzing single-stage liquid-liquid extraction of Nd/Dy using di-(2-ethylhexyl) phosphoric acid (D2EHPA). Built on the JAX automatic differentiation library, the framework enables: (1) exact gradient computation for sensitivity analysis, (2) gradient-based optimization of operating conditions, (3) multi-objective Pareto analysis of the purity-recovery trade-off, and (4) analytical uncertainty propagation from distribution coefficient measurements to product purity predictions. At base case conditions (pH = 3.0, O/A = 1.0, T = 298 K, 0.5 M D2EHPA), the model predicts D_Nd = 2.4, D_Dy = 42.7, yielding a separation factor of 17.8, Dy purity of 58.1% in the extract, and Dy recovery of 92.8%. Single-objective optimization to maximize purity subject to ≥80% recovery achieves 78.8% Dy purity. Sensitivity analysis reveals that pH and extractant concentration have the largest impact on purity (∂Purity/∂pH = -0.155). Uncertainty propagation shows that ±15% measurement error in distribution coefficients yields ±1.1% uncertainty in predicted purity. This differentiable framework provides a foundation for rapid design space exploration, uncertainty quantification, and optimization of rare earth separation processes.</w:t>
      </w:r>
    </w:p>
    <w:p>
      <w:r>
        <w:pict>
          <v:rect style="width:0;height:1.5pt" o:hralign="center" o:hrstd="t" o:hr="t"/>
        </w:pict>
      </w:r>
    </w:p>
    <w:bookmarkEnd w:id="9"/>
    <w:bookmarkStart w:id="25" w:name="introduction"/>
    <w:p>
      <w:pPr>
        <w:pStyle w:val="Heading2"/>
      </w:pPr>
      <w:r>
        <w:t xml:space="preserve">1. Introduction</w:t>
      </w:r>
    </w:p>
    <w:bookmarkStart w:id="14" w:name="motivation-and-context"/>
    <w:p>
      <w:pPr>
        <w:pStyle w:val="Heading3"/>
      </w:pPr>
      <w:r>
        <w:t xml:space="preserve">1.1 Motivation and Context</w:t>
      </w:r>
    </w:p>
    <w:p>
      <w:pPr>
        <w:pStyle w:val="FirstParagraph"/>
      </w:pPr>
      <w:r>
        <w:t xml:space="preserve">The transition to clean energy technologies has dramatically increased demand for rare earth elements (REEs), particularly neodymium and dysprosium, which are essential components of NdFeB permanent magnets used in electric vehicle motors and wind turbine generators.</w:t>
      </w:r>
      <w:r>
        <w:rPr>
          <w:rStyle w:val="FootnoteReference"/>
        </w:rPr>
        <w:footnoteReference w:id="10"/>
      </w:r>
      <w:r>
        <w:t xml:space="preserve"> </w:t>
      </w:r>
      <w:r>
        <w:t xml:space="preserve">Global demand for these elements is projected to grow substantially, creating pressure on separation and purification capacity.</w:t>
      </w:r>
      <w:r>
        <w:rPr>
          <w:rStyle w:val="FootnoteReference"/>
        </w:rPr>
        <w:footnoteReference w:id="11"/>
      </w:r>
    </w:p>
    <w:p>
      <w:pPr>
        <w:pStyle w:val="BodyText"/>
      </w:pPr>
      <w:r>
        <w:t xml:space="preserve">The separation of adjacent lanthanides such as Nd and Dy is inherently challenging because these elements share similar ionic radii and chemical properties. Industrial separation relies predominantly on liquid-liquid extraction (solvent extraction) using organophosphorus extractants, particularly di-(2-ethylhexyl) phosphoric acid (D2EHPA).</w:t>
      </w:r>
      <w:r>
        <w:rPr>
          <w:rStyle w:val="FootnoteReference"/>
        </w:rPr>
        <w:footnoteReference w:id="12"/>
      </w:r>
      <w:r>
        <w:t xml:space="preserve"> </w:t>
      </w:r>
      <w:r>
        <w:t xml:space="preserve">The process requires multi-stage countercurrent cascades with hundreds of mixer-settler stages to achieve high-purity products, representing significant capital and operating costs.</w:t>
      </w:r>
      <w:r>
        <w:rPr>
          <w:rStyle w:val="FootnoteReference"/>
        </w:rPr>
        <w:footnoteReference w:id="13"/>
      </w:r>
    </w:p>
    <w:bookmarkEnd w:id="14"/>
    <w:bookmarkStart w:id="21" w:name="literature-background"/>
    <w:p>
      <w:pPr>
        <w:pStyle w:val="Heading3"/>
      </w:pPr>
      <w:r>
        <w:t xml:space="preserve">1.2 Literature Background</w:t>
      </w:r>
    </w:p>
    <w:p>
      <w:pPr>
        <w:pStyle w:val="FirstParagraph"/>
      </w:pPr>
      <w:r>
        <w:t xml:space="preserve">The extraction of rare earths by D2EHPA proceeds via a cation exchange mechanism:</w:t>
      </w:r>
    </w:p>
    <w:p>
      <w:pPr>
        <w:pStyle w:val="BodyText"/>
      </w:pPr>
      <m:oMathPara>
        <m:oMathParaPr>
          <m:jc m:val="center"/>
        </m:oMathParaPr>
        <m:oMath>
          <m:sSubSup>
            <m:e>
              <m:r>
                <m:rPr>
                  <m:nor/>
                  <m:sty m:val="p"/>
                </m:rPr>
                <m:t>REE</m:t>
              </m:r>
            </m:e>
            <m:sub>
              <m:r>
                <m:t>a</m:t>
              </m:r>
              <m:r>
                <m:t>q</m:t>
              </m:r>
            </m:sub>
            <m:sup>
              <m:r>
                <m:t>3</m:t>
              </m:r>
              <m:r>
                <m:rPr>
                  <m:sty m:val="p"/>
                </m:rPr>
                <m:t>+</m:t>
              </m:r>
            </m:sup>
          </m:sSubSup>
          <m:r>
            <m:rPr>
              <m:sty m:val="p"/>
            </m:rPr>
            <m:t>+</m:t>
          </m:r>
          <m:r>
            <m:t>3</m:t>
          </m:r>
          <m:r>
            <m:rPr>
              <m:sty m:val="p"/>
            </m:rPr>
            <m:t>(</m:t>
          </m:r>
          <m:r>
            <m:rPr>
              <m:nor/>
              <m:sty m:val="p"/>
            </m:rPr>
            <m:t>HA</m:t>
          </m:r>
          <m:sSub>
            <m:e>
              <m:r>
                <m:rPr>
                  <m:sty m:val="p"/>
                </m:rPr>
                <m:t>)</m:t>
              </m:r>
            </m:e>
            <m:sub>
              <m:r>
                <m:t>2</m:t>
              </m:r>
              <m:r>
                <m:rPr>
                  <m:sty m:val="p"/>
                </m:rPr>
                <m:t>,</m:t>
              </m:r>
              <m:r>
                <m:t>o</m:t>
              </m:r>
              <m:r>
                <m:t>r</m:t>
              </m:r>
              <m:r>
                <m:t>g</m:t>
              </m:r>
            </m:sub>
          </m:sSub>
          <m:r>
            <m:rPr>
              <m:sty m:val="p"/>
            </m:rPr>
            <m:t>⇌</m:t>
          </m:r>
          <m:r>
            <m:rPr>
              <m:nor/>
              <m:sty m:val="p"/>
            </m:rPr>
            <m:t>REE</m:t>
          </m:r>
          <m:r>
            <m:rPr>
              <m:sty m:val="p"/>
            </m:rPr>
            <m:t>(</m:t>
          </m:r>
          <m:sSub>
            <m:e>
              <m:r>
                <m:rPr>
                  <m:nor/>
                  <m:sty m:val="p"/>
                </m:rPr>
                <m:t>HA</m:t>
              </m:r>
            </m:e>
            <m:sub>
              <m:r>
                <m:t>2</m:t>
              </m:r>
            </m:sub>
          </m:sSub>
          <m:sSub>
            <m:e>
              <m:r>
                <m:rPr>
                  <m:sty m:val="p"/>
                </m:rPr>
                <m:t>)</m:t>
              </m:r>
            </m:e>
            <m:sub>
              <m:r>
                <m:t>3</m:t>
              </m:r>
              <m:r>
                <m:rPr>
                  <m:sty m:val="p"/>
                </m:rPr>
                <m:t>,</m:t>
              </m:r>
              <m:r>
                <m:t>o</m:t>
              </m:r>
              <m:r>
                <m:t>r</m:t>
              </m:r>
              <m:r>
                <m:t>g</m:t>
              </m:r>
            </m:sub>
          </m:sSub>
          <m:r>
            <m:rPr>
              <m:sty m:val="p"/>
            </m:rPr>
            <m:t>+</m:t>
          </m:r>
          <m:r>
            <m:t>3</m:t>
          </m:r>
          <m:sSubSup>
            <m:e>
              <m:r>
                <m:rPr>
                  <m:nor/>
                  <m:sty m:val="p"/>
                </m:rPr>
                <m:t>H</m:t>
              </m:r>
            </m:e>
            <m:sub>
              <m:r>
                <m:t>a</m:t>
              </m:r>
              <m:r>
                <m:t>q</m:t>
              </m:r>
            </m:sub>
            <m:sup>
              <m:r>
                <m:rPr>
                  <m:sty m:val="p"/>
                </m:rPr>
                <m:t>+</m:t>
              </m:r>
            </m:sup>
          </m:sSubSup>
        </m:oMath>
      </m:oMathPara>
    </w:p>
    <w:p>
      <w:pPr>
        <w:pStyle w:val="FirstParagraph"/>
      </w:pPr>
      <w:r>
        <w:t xml:space="preserve">where HA represents D2EHPA. This reaction is highly pH-dependent: increasing pH shifts the equilibrium toward extraction by removing H⁺ ions from solution. Distribution coefficients (D) for individual REEs follow the relationship:</w:t>
      </w:r>
      <w:r>
        <w:rPr>
          <w:rStyle w:val="FootnoteReference"/>
        </w:rPr>
        <w:footnoteReference w:id="15"/>
      </w:r>
    </w:p>
    <w:p>
      <w:pPr>
        <w:pStyle w:val="BodyText"/>
      </w:pPr>
      <m:oMathPara>
        <m:oMathParaPr>
          <m:jc m:val="center"/>
        </m:oMathParaPr>
        <m:oMath>
          <m:sSub>
            <m:e>
              <m:r>
                <m:rPr>
                  <m:sty m:val="p"/>
                </m:rPr>
                <m:t>log</m:t>
              </m:r>
            </m:e>
            <m:sub>
              <m:r>
                <m:t>10</m:t>
              </m:r>
            </m:sub>
          </m:sSub>
          <m:r>
            <m:rPr>
              <m:sty m:val="p"/>
            </m:rPr>
            <m:t>(</m:t>
          </m:r>
          <m:r>
            <m:t>D</m:t>
          </m:r>
          <m:r>
            <m:rPr>
              <m:sty m:val="p"/>
            </m:rPr>
            <m:t>)</m:t>
          </m:r>
          <m:r>
            <m:rPr>
              <m:sty m:val="p"/>
            </m:rPr>
            <m:t>=</m:t>
          </m:r>
          <m:r>
            <m:t>a</m:t>
          </m:r>
          <m:r>
            <m:rPr>
              <m:sty m:val="p"/>
            </m:rPr>
            <m:t>+</m:t>
          </m:r>
          <m:r>
            <m:t>b</m:t>
          </m:r>
          <m:r>
            <m:rPr>
              <m:sty m:val="p"/>
            </m:rPr>
            <m:t>⋅</m:t>
          </m:r>
          <m:r>
            <m:rPr>
              <m:nor/>
              <m:sty m:val="p"/>
            </m:rPr>
            <m:t>pH</m:t>
          </m:r>
          <m:r>
            <m:rPr>
              <m:sty m:val="p"/>
            </m:rPr>
            <m:t>+</m:t>
          </m:r>
          <m:r>
            <m:t>c</m:t>
          </m:r>
          <m:r>
            <m:rPr>
              <m:sty m:val="p"/>
            </m:rPr>
            <m:t>⋅</m:t>
          </m:r>
          <m:sSup>
            <m:e>
              <m:r>
                <m:rPr>
                  <m:nor/>
                  <m:sty m:val="p"/>
                </m:rPr>
                <m:t>pH</m:t>
              </m:r>
            </m:e>
            <m:sup>
              <m:r>
                <m:t>2</m:t>
              </m:r>
            </m:sup>
          </m:sSup>
        </m:oMath>
      </m:oMathPara>
    </w:p>
    <w:p>
      <w:pPr>
        <w:pStyle w:val="FirstParagraph"/>
      </w:pPr>
      <w:r>
        <w:t xml:space="preserve">where parameters</w:t>
      </w:r>
      <w:r>
        <w:t xml:space="preserve"> </w:t>
      </w:r>
      <w:r>
        <w:rPr>
          <w:i/>
          <w:iCs/>
        </w:rPr>
        <w:t xml:space="preserve">a</w:t>
      </w:r>
      <w:r>
        <w:t xml:space="preserve">,</w:t>
      </w:r>
      <w:r>
        <w:t xml:space="preserve"> </w:t>
      </w:r>
      <w:r>
        <w:rPr>
          <w:i/>
          <w:iCs/>
        </w:rPr>
        <w:t xml:space="preserve">b</w:t>
      </w:r>
      <w:r>
        <w:t xml:space="preserve">, and</w:t>
      </w:r>
      <w:r>
        <w:t xml:space="preserve"> </w:t>
      </w:r>
      <w:r>
        <w:rPr>
          <w:i/>
          <w:iCs/>
        </w:rPr>
        <w:t xml:space="preserve">c</w:t>
      </w:r>
      <w:r>
        <w:t xml:space="preserve"> </w:t>
      </w:r>
      <w:r>
        <w:t xml:space="preserve">are specific to each element and depend on temperature and extractant concentration.</w:t>
      </w:r>
    </w:p>
    <w:p>
      <w:pPr>
        <w:pStyle w:val="BodyText"/>
      </w:pPr>
      <w:r>
        <w:t xml:space="preserve">Prior studies have extensively characterized D2EHPA extraction of REEs.</w:t>
      </w:r>
      <w:r>
        <w:rPr>
          <w:rStyle w:val="FootnoteReference"/>
        </w:rPr>
        <w:footnoteReference w:id="16"/>
      </w:r>
      <w:r>
        <w:t xml:space="preserve">,</w:t>
      </w:r>
      <w:r>
        <w:rPr>
          <w:rStyle w:val="FootnoteReference"/>
        </w:rPr>
        <w:footnoteReference w:id="17"/>
      </w:r>
      <w:r>
        <w:t xml:space="preserve"> </w:t>
      </w:r>
      <w:r>
        <w:t xml:space="preserve">Separation factors between adjacent lanthanides typically range from 2-20 depending on conditions. Various optimization approaches have been applied to REE separation, including response surface methodology (RSM), trial-and-error experimentation, and process simulation with McCabe-Thiele analysis.</w:t>
      </w:r>
      <w:r>
        <w:rPr>
          <w:rStyle w:val="FootnoteReference"/>
        </w:rPr>
        <w:footnoteReference w:id="18"/>
      </w:r>
      <w:r>
        <w:t xml:space="preserve"> </w:t>
      </w:r>
      <w:r>
        <w:t xml:space="preserve">Machine learning approaches have also been explored for predicting distribution coefficients.</w:t>
      </w:r>
      <w:r>
        <w:rPr>
          <w:rStyle w:val="FootnoteReference"/>
        </w:rPr>
        <w:footnoteReference w:id="19"/>
      </w:r>
    </w:p>
    <w:p>
      <w:pPr>
        <w:pStyle w:val="BodyText"/>
      </w:pPr>
      <w:r>
        <w:t xml:space="preserve">Equation-oriented process modeling frameworks such as IDAES, built on Pyomo, provide sophisticated capabilities for process optimization using algebraic modeling and nonlinear programming solvers.</w:t>
      </w:r>
      <w:r>
        <w:rPr>
          <w:rStyle w:val="FootnoteReference"/>
        </w:rPr>
        <w:footnoteReference w:id="20"/>
      </w:r>
      <w:r>
        <w:t xml:space="preserve"> </w:t>
      </w:r>
      <w:r>
        <w:t xml:space="preserve">These tools compute gradients through symbolic differentiation for use within optimization algorithms. However, the gradients remain internal to the solver rather than being directly accessible for analysis.</w:t>
      </w:r>
    </w:p>
    <w:bookmarkEnd w:id="21"/>
    <w:bookmarkStart w:id="22" w:name="knowledge-gap"/>
    <w:p>
      <w:pPr>
        <w:pStyle w:val="Heading3"/>
      </w:pPr>
      <w:r>
        <w:t xml:space="preserve">1.3 Knowledge Gap</w:t>
      </w:r>
    </w:p>
    <w:p>
      <w:pPr>
        <w:pStyle w:val="FirstParagraph"/>
      </w:pPr>
      <w:r>
        <w:t xml:space="preserve">Despite these advances, a systematic approach that combines mechanistic modeling with automatic differentiation for REE separation is lacking. Such an approach would enable:</w:t>
      </w:r>
    </w:p>
    <w:p>
      <w:pPr>
        <w:pStyle w:val="Compact"/>
        <w:numPr>
          <w:ilvl w:val="0"/>
          <w:numId w:val="1001"/>
        </w:numPr>
      </w:pPr>
      <w:r>
        <w:t xml:space="preserve">Direct access to exact gradients for sensitivity analysis</w:t>
      </w:r>
    </w:p>
    <w:p>
      <w:pPr>
        <w:pStyle w:val="Compact"/>
        <w:numPr>
          <w:ilvl w:val="0"/>
          <w:numId w:val="1001"/>
        </w:numPr>
      </w:pPr>
      <w:r>
        <w:t xml:space="preserve">Efficient gradient-based optimization</w:t>
      </w:r>
    </w:p>
    <w:p>
      <w:pPr>
        <w:pStyle w:val="Compact"/>
        <w:numPr>
          <w:ilvl w:val="0"/>
          <w:numId w:val="1001"/>
        </w:numPr>
      </w:pPr>
      <w:r>
        <w:t xml:space="preserve">Analytical uncertainty propagation from measured parameters to predicted outcomes</w:t>
      </w:r>
    </w:p>
    <w:p>
      <w:pPr>
        <w:pStyle w:val="Compact"/>
        <w:numPr>
          <w:ilvl w:val="0"/>
          <w:numId w:val="1001"/>
        </w:numPr>
      </w:pPr>
      <w:r>
        <w:t xml:space="preserve">Seamless integration with machine learning workflows</w:t>
      </w:r>
    </w:p>
    <w:bookmarkEnd w:id="22"/>
    <w:bookmarkStart w:id="24" w:name="contribution"/>
    <w:p>
      <w:pPr>
        <w:pStyle w:val="Heading3"/>
      </w:pPr>
      <w:r>
        <w:t xml:space="preserve">1.4 Contribution</w:t>
      </w:r>
    </w:p>
    <w:p>
      <w:pPr>
        <w:pStyle w:val="FirstParagraph"/>
      </w:pPr>
      <w:r>
        <w:t xml:space="preserve">This work presents a fully differentiable single-stage liquid-liquid extraction model for Nd/Dy separation implemented using the JAX automatic differentiation library.</w:t>
      </w:r>
      <w:r>
        <w:rPr>
          <w:rStyle w:val="FootnoteReference"/>
        </w:rPr>
        <w:footnoteReference w:id="23"/>
      </w:r>
      <w:r>
        <w:t xml:space="preserve"> </w:t>
      </w:r>
      <w:r>
        <w:t xml:space="preserve">The specific contributions are:</w:t>
      </w:r>
    </w:p>
    <w:p>
      <w:pPr>
        <w:pStyle w:val="Compact"/>
        <w:numPr>
          <w:ilvl w:val="0"/>
          <w:numId w:val="1002"/>
        </w:numPr>
      </w:pPr>
      <w:r>
        <w:t xml:space="preserve">Development of a JAX-based differentiable LLE model with pH-dependent distribution coefficient correlations</w:t>
      </w:r>
    </w:p>
    <w:p>
      <w:pPr>
        <w:pStyle w:val="Compact"/>
        <w:numPr>
          <w:ilvl w:val="0"/>
          <w:numId w:val="1002"/>
        </w:numPr>
      </w:pPr>
      <w:r>
        <w:t xml:space="preserve">Demonstration of exact gradient-based sensitivity analysis ranking parameter importance</w:t>
      </w:r>
    </w:p>
    <w:p>
      <w:pPr>
        <w:pStyle w:val="Compact"/>
        <w:numPr>
          <w:ilvl w:val="0"/>
          <w:numId w:val="1002"/>
        </w:numPr>
      </w:pPr>
      <w:r>
        <w:t xml:space="preserve">Multi-objective Pareto optimization revealing the purity-recovery-cost trade-off</w:t>
      </w:r>
    </w:p>
    <w:p>
      <w:pPr>
        <w:pStyle w:val="Compact"/>
        <w:numPr>
          <w:ilvl w:val="0"/>
          <w:numId w:val="1002"/>
        </w:numPr>
      </w:pPr>
      <w:r>
        <w:t xml:space="preserve">Analytical uncertainty propagation quantifying how D coefficient measurement error affects purity predictions</w:t>
      </w:r>
    </w:p>
    <w:p>
      <w:pPr>
        <w:pStyle w:val="Compact"/>
        <w:numPr>
          <w:ilvl w:val="0"/>
          <w:numId w:val="1002"/>
        </w:numPr>
      </w:pPr>
      <w:r>
        <w:t xml:space="preserve">Integrated technoeconomic sensitivity connecting operating conditions to minimum selling price</w:t>
      </w:r>
    </w:p>
    <w:p>
      <w:r>
        <w:pict>
          <v:rect style="width:0;height:1.5pt" o:hralign="center" o:hrstd="t" o:hr="t"/>
        </w:pict>
      </w:r>
    </w:p>
    <w:bookmarkEnd w:id="24"/>
    <w:bookmarkEnd w:id="25"/>
    <w:bookmarkStart w:id="40" w:name="methods"/>
    <w:p>
      <w:pPr>
        <w:pStyle w:val="Heading2"/>
      </w:pPr>
      <w:r>
        <w:t xml:space="preserve">2. Methods</w:t>
      </w:r>
    </w:p>
    <w:bookmarkStart w:id="29" w:name="single-stage-equilibrium-model"/>
    <w:p>
      <w:pPr>
        <w:pStyle w:val="Heading3"/>
      </w:pPr>
      <w:r>
        <w:t xml:space="preserve">2.1 Single-Stage Equilibrium Model</w:t>
      </w:r>
    </w:p>
    <w:p>
      <w:pPr>
        <w:pStyle w:val="CaptionedFigure"/>
      </w:pPr>
      <w:r>
        <w:drawing>
          <wp:inline>
            <wp:extent cx="5334000" cy="3532671"/>
            <wp:effectExtent b="0" l="0" r="0" t="0"/>
            <wp:docPr descr="Figure 1: Schematic of single-stage mixer-settler with stream labels showing aqueous feed (Nd, Dy mixture), organic solvent (D2EHPA), raffinate (Nd-rich), and extract (Dy-rich)." title="" id="27" name="Picture"/>
            <a:graphic>
              <a:graphicData uri="http://schemas.openxmlformats.org/drawingml/2006/picture">
                <pic:pic>
                  <pic:nvPicPr>
                    <pic:cNvPr descr="figures/fig1_schematic.png" id="28" name="Picture"/>
                    <pic:cNvPicPr>
                      <a:picLocks noChangeArrowheads="1" noChangeAspect="1"/>
                    </pic:cNvPicPr>
                  </pic:nvPicPr>
                  <pic:blipFill>
                    <a:blip r:embed="rId26"/>
                    <a:stretch>
                      <a:fillRect/>
                    </a:stretch>
                  </pic:blipFill>
                  <pic:spPr bwMode="auto">
                    <a:xfrm>
                      <a:off x="0" y="0"/>
                      <a:ext cx="5334000" cy="3532671"/>
                    </a:xfrm>
                    <a:prstGeom prst="rect">
                      <a:avLst/>
                    </a:prstGeom>
                    <a:noFill/>
                    <a:ln w="9525">
                      <a:noFill/>
                      <a:headEnd/>
                      <a:tailEnd/>
                    </a:ln>
                  </pic:spPr>
                </pic:pic>
              </a:graphicData>
            </a:graphic>
          </wp:inline>
        </w:drawing>
      </w:r>
    </w:p>
    <w:p>
      <w:pPr>
        <w:pStyle w:val="ImageCaption"/>
      </w:pPr>
      <w:r>
        <w:t xml:space="preserve">Figure 1: Schematic of single-stage mixer-settler with stream labels showing aqueous feed (Nd, Dy mixture), organic solvent (D2EHPA), raffinate (Nd-rich), and extract (Dy-rich).</w:t>
      </w:r>
    </w:p>
    <w:p>
      <w:pPr>
        <w:pStyle w:val="BodyText"/>
      </w:pPr>
      <w:r>
        <w:t xml:space="preserve">The single-stage mixer-settler is modeled using equilibrium-based mass balances (Figure 1). For species</w:t>
      </w:r>
      <w:r>
        <w:t xml:space="preserve"> </w:t>
      </w:r>
      <w:r>
        <w:rPr>
          <w:i/>
          <w:iCs/>
        </w:rPr>
        <w:t xml:space="preserve">i</w:t>
      </w:r>
      <w:r>
        <w:t xml:space="preserve">:</w:t>
      </w:r>
    </w:p>
    <w:p>
      <w:pPr>
        <w:pStyle w:val="BodyText"/>
      </w:pPr>
      <m:oMathPara>
        <m:oMathParaPr>
          <m:jc m:val="center"/>
        </m:oMathParaPr>
        <m:oMath>
          <m:sSub>
            <m:e>
              <m:r>
                <m:t>F</m:t>
              </m:r>
            </m:e>
            <m:sub>
              <m:r>
                <m:t>i</m:t>
              </m:r>
              <m:r>
                <m:rPr>
                  <m:sty m:val="p"/>
                </m:rPr>
                <m:t>,</m:t>
              </m:r>
              <m:r>
                <m:t>a</m:t>
              </m:r>
              <m:r>
                <m:t>q</m:t>
              </m:r>
              <m:r>
                <m:rPr>
                  <m:sty m:val="p"/>
                </m:rPr>
                <m:t>,</m:t>
              </m:r>
              <m:r>
                <m:t>i</m:t>
              </m:r>
              <m:r>
                <m:t>n</m:t>
              </m:r>
            </m:sub>
          </m:sSub>
          <m:r>
            <m:rPr>
              <m:sty m:val="p"/>
            </m:rPr>
            <m:t>+</m:t>
          </m:r>
          <m:sSub>
            <m:e>
              <m:r>
                <m:t>F</m:t>
              </m:r>
            </m:e>
            <m:sub>
              <m:r>
                <m:t>i</m:t>
              </m:r>
              <m:r>
                <m:rPr>
                  <m:sty m:val="p"/>
                </m:rPr>
                <m:t>,</m:t>
              </m:r>
              <m:r>
                <m:t>o</m:t>
              </m:r>
              <m:r>
                <m:t>r</m:t>
              </m:r>
              <m:r>
                <m:t>g</m:t>
              </m:r>
              <m:r>
                <m:rPr>
                  <m:sty m:val="p"/>
                </m:rPr>
                <m:t>,</m:t>
              </m:r>
              <m:r>
                <m:t>i</m:t>
              </m:r>
              <m:r>
                <m:t>n</m:t>
              </m:r>
            </m:sub>
          </m:sSub>
          <m:r>
            <m:rPr>
              <m:sty m:val="p"/>
            </m:rPr>
            <m:t>=</m:t>
          </m:r>
          <m:sSub>
            <m:e>
              <m:r>
                <m:t>F</m:t>
              </m:r>
            </m:e>
            <m:sub>
              <m:r>
                <m:t>i</m:t>
              </m:r>
              <m:r>
                <m:rPr>
                  <m:sty m:val="p"/>
                </m:rPr>
                <m:t>,</m:t>
              </m:r>
              <m:r>
                <m:t>a</m:t>
              </m:r>
              <m:r>
                <m:t>q</m:t>
              </m:r>
              <m:r>
                <m:rPr>
                  <m:sty m:val="p"/>
                </m:rPr>
                <m:t>,</m:t>
              </m:r>
              <m:r>
                <m:t>o</m:t>
              </m:r>
              <m:r>
                <m:t>u</m:t>
              </m:r>
              <m:r>
                <m:t>t</m:t>
              </m:r>
            </m:sub>
          </m:sSub>
          <m:r>
            <m:rPr>
              <m:sty m:val="p"/>
            </m:rPr>
            <m:t>+</m:t>
          </m:r>
          <m:sSub>
            <m:e>
              <m:r>
                <m:t>F</m:t>
              </m:r>
            </m:e>
            <m:sub>
              <m:r>
                <m:t>i</m:t>
              </m:r>
              <m:r>
                <m:rPr>
                  <m:sty m:val="p"/>
                </m:rPr>
                <m:t>,</m:t>
              </m:r>
              <m:r>
                <m:t>o</m:t>
              </m:r>
              <m:r>
                <m:t>r</m:t>
              </m:r>
              <m:r>
                <m:t>g</m:t>
              </m:r>
              <m:r>
                <m:rPr>
                  <m:sty m:val="p"/>
                </m:rPr>
                <m:t>,</m:t>
              </m:r>
              <m:r>
                <m:t>o</m:t>
              </m:r>
              <m:r>
                <m:t>u</m:t>
              </m:r>
              <m:r>
                <m:t>t</m:t>
              </m:r>
            </m:sub>
          </m:sSub>
        </m:oMath>
      </m:oMathPara>
    </w:p>
    <w:p>
      <w:pPr>
        <w:pStyle w:val="FirstParagraph"/>
      </w:pPr>
      <w:r>
        <w:t xml:space="preserve">At equilibrium, the distribution coefficient relates organic and aqueous concentrations:</w:t>
      </w:r>
    </w:p>
    <w:p>
      <w:pPr>
        <w:pStyle w:val="BodyText"/>
      </w:pPr>
      <m:oMathPara>
        <m:oMathParaPr>
          <m:jc m:val="center"/>
        </m:oMathParaPr>
        <m:oMath>
          <m:sSub>
            <m:e>
              <m:r>
                <m:t>D</m:t>
              </m:r>
            </m:e>
            <m:sub>
              <m:r>
                <m:t>i</m:t>
              </m:r>
            </m:sub>
          </m:sSub>
          <m:r>
            <m:rPr>
              <m:sty m:val="p"/>
            </m:rPr>
            <m:t>=</m:t>
          </m:r>
          <m:f>
            <m:fPr>
              <m:type m:val="bar"/>
            </m:fPr>
            <m:num>
              <m:sSub>
                <m:e>
                  <m:r>
                    <m:t>C</m:t>
                  </m:r>
                </m:e>
                <m:sub>
                  <m:r>
                    <m:t>i</m:t>
                  </m:r>
                  <m:r>
                    <m:rPr>
                      <m:sty m:val="p"/>
                    </m:rPr>
                    <m:t>,</m:t>
                  </m:r>
                  <m:r>
                    <m:t>o</m:t>
                  </m:r>
                  <m:r>
                    <m:t>r</m:t>
                  </m:r>
                  <m:r>
                    <m:t>g</m:t>
                  </m:r>
                </m:sub>
              </m:sSub>
            </m:num>
            <m:den>
              <m:sSub>
                <m:e>
                  <m:r>
                    <m:t>C</m:t>
                  </m:r>
                </m:e>
                <m:sub>
                  <m:r>
                    <m:t>i</m:t>
                  </m:r>
                  <m:r>
                    <m:rPr>
                      <m:sty m:val="p"/>
                    </m:rPr>
                    <m:t>,</m:t>
                  </m:r>
                  <m:r>
                    <m:t>a</m:t>
                  </m:r>
                  <m:r>
                    <m:t>q</m:t>
                  </m:r>
                </m:sub>
              </m:sSub>
            </m:den>
          </m:f>
          <m:r>
            <m:rPr>
              <m:sty m:val="p"/>
            </m:rPr>
            <m:t>=</m:t>
          </m:r>
          <m:f>
            <m:fPr>
              <m:type m:val="bar"/>
            </m:fPr>
            <m:num>
              <m:sSub>
                <m:e>
                  <m:r>
                    <m:t>F</m:t>
                  </m:r>
                </m:e>
                <m:sub>
                  <m:r>
                    <m:t>i</m:t>
                  </m:r>
                  <m:r>
                    <m:rPr>
                      <m:sty m:val="p"/>
                    </m:rPr>
                    <m:t>,</m:t>
                  </m:r>
                  <m:r>
                    <m:t>o</m:t>
                  </m:r>
                  <m:r>
                    <m:t>r</m:t>
                  </m:r>
                  <m:r>
                    <m:t>g</m:t>
                  </m:r>
                  <m:r>
                    <m:rPr>
                      <m:sty m:val="p"/>
                    </m:rPr>
                    <m:t>,</m:t>
                  </m:r>
                  <m:r>
                    <m:t>o</m:t>
                  </m:r>
                  <m:r>
                    <m:t>u</m:t>
                  </m:r>
                  <m:r>
                    <m:t>t</m:t>
                  </m:r>
                </m:sub>
              </m:sSub>
              <m:r>
                <m:rPr>
                  <m:sty m:val="p"/>
                </m:rPr>
                <m:t>/</m:t>
              </m:r>
              <m:sSub>
                <m:e>
                  <m:r>
                    <m:t>F</m:t>
                  </m:r>
                </m:e>
                <m:sub>
                  <m:r>
                    <m:t>o</m:t>
                  </m:r>
                  <m:r>
                    <m:t>r</m:t>
                  </m:r>
                  <m:r>
                    <m:t>g</m:t>
                  </m:r>
                </m:sub>
              </m:sSub>
            </m:num>
            <m:den>
              <m:sSub>
                <m:e>
                  <m:r>
                    <m:t>F</m:t>
                  </m:r>
                </m:e>
                <m:sub>
                  <m:r>
                    <m:t>i</m:t>
                  </m:r>
                  <m:r>
                    <m:rPr>
                      <m:sty m:val="p"/>
                    </m:rPr>
                    <m:t>,</m:t>
                  </m:r>
                  <m:r>
                    <m:t>a</m:t>
                  </m:r>
                  <m:r>
                    <m:t>q</m:t>
                  </m:r>
                  <m:r>
                    <m:rPr>
                      <m:sty m:val="p"/>
                    </m:rPr>
                    <m:t>,</m:t>
                  </m:r>
                  <m:r>
                    <m:t>o</m:t>
                  </m:r>
                  <m:r>
                    <m:t>u</m:t>
                  </m:r>
                  <m:r>
                    <m:t>t</m:t>
                  </m:r>
                </m:sub>
              </m:sSub>
              <m:r>
                <m:rPr>
                  <m:sty m:val="p"/>
                </m:rPr>
                <m:t>/</m:t>
              </m:r>
              <m:sSub>
                <m:e>
                  <m:r>
                    <m:t>F</m:t>
                  </m:r>
                </m:e>
                <m:sub>
                  <m:r>
                    <m:t>a</m:t>
                  </m:r>
                  <m:r>
                    <m:t>q</m:t>
                  </m:r>
                </m:sub>
              </m:sSub>
            </m:den>
          </m:f>
        </m:oMath>
      </m:oMathPara>
    </w:p>
    <w:p>
      <w:pPr>
        <w:pStyle w:val="FirstParagraph"/>
      </w:pPr>
      <w:r>
        <w:t xml:space="preserve">Stage efficiency (η = 0.95) accounts for departure from equilibrium:</w:t>
      </w:r>
    </w:p>
    <w:p>
      <w:pPr>
        <w:pStyle w:val="BodyText"/>
      </w:pPr>
      <m:oMathPara>
        <m:oMathParaPr>
          <m:jc m:val="center"/>
        </m:oMathParaPr>
        <m:oMath>
          <m:sSub>
            <m:e>
              <m:r>
                <m:t>F</m:t>
              </m:r>
            </m:e>
            <m:sub>
              <m:r>
                <m:t>i</m:t>
              </m:r>
              <m:r>
                <m:rPr>
                  <m:sty m:val="p"/>
                </m:rPr>
                <m:t>,</m:t>
              </m:r>
              <m:r>
                <m:t>o</m:t>
              </m:r>
              <m:r>
                <m:t>r</m:t>
              </m:r>
              <m:r>
                <m:t>g</m:t>
              </m:r>
              <m:r>
                <m:rPr>
                  <m:sty m:val="p"/>
                </m:rPr>
                <m:t>,</m:t>
              </m:r>
              <m:r>
                <m:t>o</m:t>
              </m:r>
              <m:r>
                <m:t>u</m:t>
              </m:r>
              <m:r>
                <m:t>t</m:t>
              </m:r>
            </m:sub>
          </m:sSub>
          <m:r>
            <m:rPr>
              <m:sty m:val="p"/>
            </m:rPr>
            <m:t>=</m:t>
          </m:r>
          <m:sSub>
            <m:e>
              <m:r>
                <m:t>F</m:t>
              </m:r>
            </m:e>
            <m:sub>
              <m:r>
                <m:t>i</m:t>
              </m:r>
              <m:r>
                <m:rPr>
                  <m:sty m:val="p"/>
                </m:rPr>
                <m:t>,</m:t>
              </m:r>
              <m:r>
                <m:t>o</m:t>
              </m:r>
              <m:r>
                <m:t>r</m:t>
              </m:r>
              <m:r>
                <m:t>g</m:t>
              </m:r>
              <m:r>
                <m:rPr>
                  <m:sty m:val="p"/>
                </m:rPr>
                <m:t>,</m:t>
              </m:r>
              <m:r>
                <m:t>i</m:t>
              </m:r>
              <m:r>
                <m:t>n</m:t>
              </m:r>
            </m:sub>
          </m:sSub>
          <m:r>
            <m:rPr>
              <m:sty m:val="p"/>
            </m:rPr>
            <m:t>+</m:t>
          </m:r>
          <m:r>
            <m:t>η</m:t>
          </m:r>
          <m:r>
            <m:rPr>
              <m:sty m:val="p"/>
            </m:rPr>
            <m:t>(</m:t>
          </m:r>
          <m:sSub>
            <m:e>
              <m:r>
                <m:t>F</m:t>
              </m:r>
            </m:e>
            <m:sub>
              <m:r>
                <m:t>i</m:t>
              </m:r>
              <m:r>
                <m:rPr>
                  <m:sty m:val="p"/>
                </m:rPr>
                <m:t>,</m:t>
              </m:r>
              <m:r>
                <m:t>o</m:t>
              </m:r>
              <m:r>
                <m:t>r</m:t>
              </m:r>
              <m:r>
                <m:t>g</m:t>
              </m:r>
              <m:r>
                <m:rPr>
                  <m:sty m:val="p"/>
                </m:rPr>
                <m:t>,</m:t>
              </m:r>
              <m:r>
                <m:t>e</m:t>
              </m:r>
              <m:r>
                <m:t>q</m:t>
              </m:r>
            </m:sub>
          </m:sSub>
          <m:r>
            <m:rPr>
              <m:sty m:val="p"/>
            </m:rPr>
            <m:t>−</m:t>
          </m:r>
          <m:sSub>
            <m:e>
              <m:r>
                <m:t>F</m:t>
              </m:r>
            </m:e>
            <m:sub>
              <m:r>
                <m:t>i</m:t>
              </m:r>
              <m:r>
                <m:rPr>
                  <m:sty m:val="p"/>
                </m:rPr>
                <m:t>,</m:t>
              </m:r>
              <m:r>
                <m:t>o</m:t>
              </m:r>
              <m:r>
                <m:t>r</m:t>
              </m:r>
              <m:r>
                <m:t>g</m:t>
              </m:r>
              <m:r>
                <m:rPr>
                  <m:sty m:val="p"/>
                </m:rPr>
                <m:t>,</m:t>
              </m:r>
              <m:r>
                <m:t>i</m:t>
              </m:r>
              <m:r>
                <m:t>n</m:t>
              </m:r>
            </m:sub>
          </m:sSub>
          <m:r>
            <m:rPr>
              <m:sty m:val="p"/>
            </m:rPr>
            <m:t>)</m:t>
          </m:r>
        </m:oMath>
      </m:oMathPara>
    </w:p>
    <w:bookmarkEnd w:id="29"/>
    <w:bookmarkStart w:id="32" w:name="distribution-coefficient-correlations"/>
    <w:p>
      <w:pPr>
        <w:pStyle w:val="Heading3"/>
      </w:pPr>
      <w:r>
        <w:t xml:space="preserve">2.2 Distribution Coefficient Correlations</w:t>
      </w:r>
    </w:p>
    <w:p>
      <w:pPr>
        <w:pStyle w:val="FirstParagraph"/>
      </w:pPr>
      <w:r>
        <w:t xml:space="preserve">Distribution coefficients are calculated using correlations based on Gupta and Krishnamurthy:</w:t>
      </w:r>
      <w:r>
        <w:rPr>
          <w:rStyle w:val="FootnoteReference"/>
        </w:rPr>
        <w:footnoteReference w:id="30"/>
      </w:r>
    </w:p>
    <w:p>
      <w:pPr>
        <w:pStyle w:val="BodyText"/>
      </w:pPr>
      <m:oMathPara>
        <m:oMathParaPr>
          <m:jc m:val="center"/>
        </m:oMathParaPr>
        <m:oMath>
          <m:sSub>
            <m:e>
              <m:r>
                <m:rPr>
                  <m:sty m:val="p"/>
                </m:rPr>
                <m:t>log</m:t>
              </m:r>
            </m:e>
            <m:sub>
              <m:r>
                <m:t>10</m:t>
              </m:r>
            </m:sub>
          </m:sSub>
          <m:r>
            <m:rPr>
              <m:sty m:val="p"/>
            </m:rPr>
            <m:t>(</m:t>
          </m:r>
          <m:r>
            <m:t>D</m:t>
          </m:r>
          <m:r>
            <m:rPr>
              <m:sty m:val="p"/>
            </m:rPr>
            <m:t>)</m:t>
          </m:r>
          <m:r>
            <m:rPr>
              <m:sty m:val="p"/>
            </m:rPr>
            <m:t>=</m:t>
          </m:r>
          <m:r>
            <m:t>a</m:t>
          </m:r>
          <m:r>
            <m:rPr>
              <m:sty m:val="p"/>
            </m:rPr>
            <m:t>+</m:t>
          </m:r>
          <m:r>
            <m:t>b</m:t>
          </m:r>
          <m:r>
            <m:rPr>
              <m:sty m:val="p"/>
            </m:rPr>
            <m:t>⋅</m:t>
          </m:r>
          <m:r>
            <m:rPr>
              <m:nor/>
              <m:sty m:val="p"/>
            </m:rPr>
            <m:t>pH</m:t>
          </m:r>
          <m:r>
            <m:rPr>
              <m:sty m:val="p"/>
            </m:rPr>
            <m:t>+</m:t>
          </m:r>
          <m:r>
            <m:t>c</m:t>
          </m:r>
          <m:r>
            <m:rPr>
              <m:sty m:val="p"/>
            </m:rPr>
            <m:t>⋅</m:t>
          </m:r>
          <m:sSup>
            <m:e>
              <m:r>
                <m:rPr>
                  <m:nor/>
                  <m:sty m:val="p"/>
                </m:rPr>
                <m:t>pH</m:t>
              </m:r>
            </m:e>
            <m:sup>
              <m:r>
                <m:t>2</m:t>
              </m:r>
            </m:sup>
          </m:sSup>
          <m:r>
            <m:rPr>
              <m:sty m:val="p"/>
            </m:rPr>
            <m:t>+</m:t>
          </m:r>
          <m:f>
            <m:fPr>
              <m:type m:val="bar"/>
            </m:fPr>
            <m:num>
              <m:r>
                <m:rPr>
                  <m:sty m:val="p"/>
                </m:rPr>
                <m:t>Δ</m:t>
              </m:r>
              <m:r>
                <m:t>H</m:t>
              </m:r>
            </m:num>
            <m:den>
              <m:r>
                <m:t>R</m:t>
              </m:r>
              <m:r>
                <m:rPr>
                  <m:sty m:val="p"/>
                </m:rPr>
                <m:t>ln</m:t>
              </m:r>
              <m:r>
                <m:rPr>
                  <m:sty m:val="p"/>
                </m:rPr>
                <m:t>(</m:t>
              </m:r>
              <m:r>
                <m:t>10</m:t>
              </m:r>
              <m:r>
                <m:rPr>
                  <m:sty m:val="p"/>
                </m:rPr>
                <m:t>)</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r>
            <m:rPr>
              <m:sty m:val="p"/>
            </m:rPr>
            <m:t>+</m:t>
          </m:r>
          <m:r>
            <m:t>n</m:t>
          </m:r>
          <m:r>
            <m:rPr>
              <m:sty m:val="p"/>
            </m:rPr>
            <m:t>⋅</m:t>
          </m:r>
          <m:sSub>
            <m:e>
              <m:r>
                <m:rPr>
                  <m:sty m:val="p"/>
                </m:rPr>
                <m:t>log</m:t>
              </m:r>
            </m:e>
            <m:sub>
              <m:r>
                <m:t>10</m:t>
              </m:r>
            </m:sub>
          </m:sSub>
          <m:d>
            <m:dPr>
              <m:begChr m:val="("/>
              <m:sepChr m:val=""/>
              <m:endChr m:val=")"/>
              <m:grow/>
            </m:dPr>
            <m:e>
              <m:f>
                <m:fPr>
                  <m:type m:val="bar"/>
                </m:fPr>
                <m:num>
                  <m:r>
                    <m:rPr>
                      <m:sty m:val="p"/>
                    </m:rPr>
                    <m:t>[</m:t>
                  </m:r>
                  <m:r>
                    <m:rPr>
                      <m:nor/>
                      <m:sty m:val="p"/>
                    </m:rPr>
                    <m:t>HA</m:t>
                  </m:r>
                  <m:r>
                    <m:rPr>
                      <m:sty m:val="p"/>
                    </m:rPr>
                    <m:t>]</m:t>
                  </m:r>
                </m:num>
                <m:den>
                  <m:r>
                    <m:rPr>
                      <m:sty m:val="p"/>
                    </m:rPr>
                    <m:t>[</m:t>
                  </m:r>
                  <m:r>
                    <m:rPr>
                      <m:nor/>
                      <m:sty m:val="p"/>
                    </m:rPr>
                    <m:t>HA</m:t>
                  </m:r>
                  <m:sSub>
                    <m:e>
                      <m:r>
                        <m:rPr>
                          <m:sty m:val="p"/>
                        </m:rPr>
                        <m:t>]</m:t>
                      </m:r>
                    </m:e>
                    <m:sub>
                      <m:r>
                        <m:t>r</m:t>
                      </m:r>
                      <m:r>
                        <m:t>e</m:t>
                      </m:r>
                      <m:r>
                        <m:t>f</m:t>
                      </m:r>
                    </m:sub>
                  </m:sSub>
                </m:den>
              </m:f>
            </m:e>
          </m:d>
        </m:oMath>
      </m:oMathPara>
    </w:p>
    <w:p>
      <w:pPr>
        <w:pStyle w:val="FirstParagraph"/>
      </w:pPr>
      <w:r>
        <w:t xml:space="preserve">The correlation parameters used in this work are shown in</w:t>
      </w:r>
      <w:r>
        <w:t xml:space="preserve"> </w:t>
      </w:r>
      <w:r>
        <w:rPr>
          <w:b/>
          <w:bCs/>
        </w:rPr>
        <w:t xml:space="preserve">Table 1</w:t>
      </w:r>
      <w:r>
        <w:t xml:space="preserve">.</w:t>
      </w:r>
      <w:r>
        <w:rPr>
          <w:rStyle w:val="FootnoteReference"/>
        </w:rPr>
        <w:footnoteReference w:id="31"/>
      </w:r>
    </w:p>
    <w:p>
      <w:pPr>
        <w:pStyle w:val="BodyText"/>
      </w:pPr>
      <w:r>
        <w:rPr>
          <w:b/>
          <w:bCs/>
        </w:rPr>
        <w:t xml:space="preserve">Table 1: D2EHPA Distribution Coefficient Correlation Parameters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ΔH (K)</w:t>
            </w:r>
          </w:p>
        </w:tc>
        <w:tc>
          <w:tcPr/>
          <w:p>
            <w:pPr>
              <w:pStyle w:val="Compact"/>
            </w:pPr>
            <w:r>
              <w:t xml:space="preserve">Valid pH</w:t>
            </w:r>
          </w:p>
        </w:tc>
      </w:tr>
      <w:tr>
        <w:tc>
          <w:tcPr/>
          <w:p>
            <w:pPr>
              <w:pStyle w:val="Compact"/>
            </w:pPr>
            <w:r>
              <w:t xml:space="preserve">Nd</w:t>
            </w:r>
          </w:p>
        </w:tc>
        <w:tc>
          <w:tcPr/>
          <w:p>
            <w:pPr>
              <w:pStyle w:val="Compact"/>
            </w:pPr>
            <w:r>
              <w:t xml:space="preserve">-2.50</w:t>
            </w:r>
          </w:p>
        </w:tc>
        <w:tc>
          <w:tcPr/>
          <w:p>
            <w:pPr>
              <w:pStyle w:val="Compact"/>
            </w:pPr>
            <w:r>
              <w:t xml:space="preserve">0.90</w:t>
            </w:r>
          </w:p>
        </w:tc>
        <w:tc>
          <w:tcPr/>
          <w:p>
            <w:pPr>
              <w:pStyle w:val="Compact"/>
            </w:pPr>
            <w:r>
              <w:t xml:space="preserve">0.02</w:t>
            </w:r>
          </w:p>
        </w:tc>
        <w:tc>
          <w:tcPr/>
          <w:p>
            <w:pPr>
              <w:pStyle w:val="Compact"/>
            </w:pPr>
            <w:r>
              <w:t xml:space="preserve">-1800</w:t>
            </w:r>
          </w:p>
        </w:tc>
        <w:tc>
          <w:tcPr/>
          <w:p>
            <w:pPr>
              <w:pStyle w:val="Compact"/>
            </w:pPr>
            <w:r>
              <w:t xml:space="preserve">1-5</w:t>
            </w:r>
          </w:p>
        </w:tc>
      </w:tr>
      <w:tr>
        <w:tc>
          <w:tcPr/>
          <w:p>
            <w:pPr>
              <w:pStyle w:val="Compact"/>
            </w:pPr>
            <w:r>
              <w:t xml:space="preserve">Dy</w:t>
            </w:r>
          </w:p>
        </w:tc>
        <w:tc>
          <w:tcPr/>
          <w:p>
            <w:pPr>
              <w:pStyle w:val="Compact"/>
            </w:pPr>
            <w:r>
              <w:t xml:space="preserve">-1.40</w:t>
            </w:r>
          </w:p>
        </w:tc>
        <w:tc>
          <w:tcPr/>
          <w:p>
            <w:pPr>
              <w:pStyle w:val="Compact"/>
            </w:pPr>
            <w:r>
              <w:t xml:space="preserve">0.95</w:t>
            </w:r>
          </w:p>
        </w:tc>
        <w:tc>
          <w:tcPr/>
          <w:p>
            <w:pPr>
              <w:pStyle w:val="Compact"/>
            </w:pPr>
            <w:r>
              <w:t xml:space="preserve">0.02</w:t>
            </w:r>
          </w:p>
        </w:tc>
        <w:tc>
          <w:tcPr/>
          <w:p>
            <w:pPr>
              <w:pStyle w:val="Compact"/>
            </w:pPr>
            <w:r>
              <w:t xml:space="preserve">-2400</w:t>
            </w:r>
          </w:p>
        </w:tc>
        <w:tc>
          <w:tcPr/>
          <w:p>
            <w:pPr>
              <w:pStyle w:val="Compact"/>
            </w:pPr>
            <w:r>
              <w:t xml:space="preserve">1-5</w:t>
            </w:r>
          </w:p>
        </w:tc>
      </w:tr>
    </w:tbl>
    <w:p>
      <w:pPr>
        <w:pStyle w:val="BodyText"/>
      </w:pPr>
      <w:r>
        <w:rPr>
          <w:i/>
          <w:iCs/>
        </w:rPr>
        <w:t xml:space="preserve">Reference conditions: T = 298.15 K, [D2EHPA] = 0.5 M, kerosene diluent</w:t>
      </w:r>
    </w:p>
    <w:bookmarkEnd w:id="32"/>
    <w:bookmarkStart w:id="33" w:name="performance-metrics"/>
    <w:p>
      <w:pPr>
        <w:pStyle w:val="Heading3"/>
      </w:pPr>
      <w:r>
        <w:t xml:space="preserve">2.3 Performance Metrics</w:t>
      </w:r>
    </w:p>
    <w:p>
      <w:pPr>
        <w:pStyle w:val="FirstParagraph"/>
      </w:pPr>
      <w:r>
        <w:rPr>
          <w:b/>
          <w:bCs/>
        </w:rPr>
        <w:t xml:space="preserve">Purity:</w:t>
      </w:r>
      <w:r>
        <w:t xml:space="preserve"> </w:t>
      </w:r>
      <w:r>
        <w:t xml:space="preserve">Mole fraction of target element in product stream:</w:t>
      </w:r>
    </w:p>
    <w:p>
      <w:pPr>
        <w:pStyle w:val="BodyText"/>
      </w:pPr>
      <m:oMathPara>
        <m:oMathParaPr>
          <m:jc m:val="center"/>
        </m:oMathParaPr>
        <m:oMath>
          <m:sSub>
            <m:e>
              <m:r>
                <m:rPr>
                  <m:nor/>
                  <m:sty m:val="p"/>
                </m:rPr>
                <m:t>Purity</m:t>
              </m:r>
            </m:e>
            <m:sub>
              <m:r>
                <m:t>D</m:t>
              </m:r>
              <m:r>
                <m:t>y</m:t>
              </m:r>
              <m:r>
                <m:rPr>
                  <m:sty m:val="p"/>
                </m:rPr>
                <m:t>,</m:t>
              </m:r>
              <m:r>
                <m:t>o</m:t>
              </m:r>
              <m:r>
                <m:t>r</m:t>
              </m:r>
              <m:r>
                <m:t>g</m:t>
              </m:r>
            </m:sub>
          </m:sSub>
          <m:r>
            <m:rPr>
              <m:sty m:val="p"/>
            </m:rPr>
            <m:t>=</m:t>
          </m:r>
          <m:f>
            <m:fPr>
              <m:type m:val="bar"/>
            </m:fPr>
            <m:num>
              <m:sSub>
                <m:e>
                  <m:r>
                    <m:t>F</m:t>
                  </m:r>
                </m:e>
                <m:sub>
                  <m:r>
                    <m:t>D</m:t>
                  </m:r>
                  <m:r>
                    <m:t>y</m:t>
                  </m:r>
                  <m:r>
                    <m:rPr>
                      <m:sty m:val="p"/>
                    </m:rPr>
                    <m:t>,</m:t>
                  </m:r>
                  <m:r>
                    <m:t>o</m:t>
                  </m:r>
                  <m:r>
                    <m:t>r</m:t>
                  </m:r>
                  <m:r>
                    <m:t>g</m:t>
                  </m:r>
                </m:sub>
              </m:sSub>
            </m:num>
            <m:den>
              <m:sSub>
                <m:e>
                  <m:r>
                    <m:t>F</m:t>
                  </m:r>
                </m:e>
                <m:sub>
                  <m:r>
                    <m:t>N</m:t>
                  </m:r>
                  <m:r>
                    <m:t>d</m:t>
                  </m:r>
                  <m:r>
                    <m:rPr>
                      <m:sty m:val="p"/>
                    </m:rPr>
                    <m:t>,</m:t>
                  </m:r>
                  <m:r>
                    <m:t>o</m:t>
                  </m:r>
                  <m:r>
                    <m:t>r</m:t>
                  </m:r>
                  <m:r>
                    <m:t>g</m:t>
                  </m:r>
                </m:sub>
              </m:sSub>
              <m:r>
                <m:rPr>
                  <m:sty m:val="p"/>
                </m:rPr>
                <m:t>+</m:t>
              </m:r>
              <m:sSub>
                <m:e>
                  <m:r>
                    <m:t>F</m:t>
                  </m:r>
                </m:e>
                <m:sub>
                  <m:r>
                    <m:t>D</m:t>
                  </m:r>
                  <m:r>
                    <m:t>y</m:t>
                  </m:r>
                  <m:r>
                    <m:rPr>
                      <m:sty m:val="p"/>
                    </m:rPr>
                    <m:t>,</m:t>
                  </m:r>
                  <m:r>
                    <m:t>o</m:t>
                  </m:r>
                  <m:r>
                    <m:t>r</m:t>
                  </m:r>
                  <m:r>
                    <m:t>g</m:t>
                  </m:r>
                </m:sub>
              </m:sSub>
            </m:den>
          </m:f>
        </m:oMath>
      </m:oMathPara>
    </w:p>
    <w:p>
      <w:pPr>
        <w:pStyle w:val="FirstParagraph"/>
      </w:pPr>
      <w:r>
        <w:rPr>
          <w:b/>
          <w:bCs/>
        </w:rPr>
        <w:t xml:space="preserve">Recovery:</w:t>
      </w:r>
      <w:r>
        <w:t xml:space="preserve"> </w:t>
      </w:r>
      <w:r>
        <w:t xml:space="preserve">Fraction of feed element reporting to product:</w:t>
      </w:r>
    </w:p>
    <w:p>
      <w:pPr>
        <w:pStyle w:val="BodyText"/>
      </w:pPr>
      <m:oMathPara>
        <m:oMathParaPr>
          <m:jc m:val="center"/>
        </m:oMathParaPr>
        <m:oMath>
          <m:sSub>
            <m:e>
              <m:r>
                <m:rPr>
                  <m:nor/>
                  <m:sty m:val="p"/>
                </m:rPr>
                <m:t>Recovery</m:t>
              </m:r>
            </m:e>
            <m:sub>
              <m:r>
                <m:t>D</m:t>
              </m:r>
              <m:r>
                <m:t>y</m:t>
              </m:r>
            </m:sub>
          </m:sSub>
          <m:r>
            <m:rPr>
              <m:sty m:val="p"/>
            </m:rPr>
            <m:t>=</m:t>
          </m:r>
          <m:f>
            <m:fPr>
              <m:type m:val="bar"/>
            </m:fPr>
            <m:num>
              <m:sSub>
                <m:e>
                  <m:r>
                    <m:t>F</m:t>
                  </m:r>
                </m:e>
                <m:sub>
                  <m:r>
                    <m:t>D</m:t>
                  </m:r>
                  <m:r>
                    <m:t>y</m:t>
                  </m:r>
                  <m:r>
                    <m:rPr>
                      <m:sty m:val="p"/>
                    </m:rPr>
                    <m:t>,</m:t>
                  </m:r>
                  <m:r>
                    <m:t>o</m:t>
                  </m:r>
                  <m:r>
                    <m:t>r</m:t>
                  </m:r>
                  <m:r>
                    <m:t>g</m:t>
                  </m:r>
                </m:sub>
              </m:sSub>
            </m:num>
            <m:den>
              <m:sSub>
                <m:e>
                  <m:r>
                    <m:t>F</m:t>
                  </m:r>
                </m:e>
                <m:sub>
                  <m:r>
                    <m:t>D</m:t>
                  </m:r>
                  <m:r>
                    <m:t>y</m:t>
                  </m:r>
                  <m:r>
                    <m:rPr>
                      <m:sty m:val="p"/>
                    </m:rPr>
                    <m:t>,</m:t>
                  </m:r>
                  <m:r>
                    <m:t>f</m:t>
                  </m:r>
                  <m:r>
                    <m:t>e</m:t>
                  </m:r>
                  <m:r>
                    <m:t>e</m:t>
                  </m:r>
                  <m:r>
                    <m:t>d</m:t>
                  </m:r>
                </m:sub>
              </m:sSub>
            </m:den>
          </m:f>
        </m:oMath>
      </m:oMathPara>
    </w:p>
    <w:p>
      <w:pPr>
        <w:pStyle w:val="FirstParagraph"/>
      </w:pPr>
      <w:r>
        <w:rPr>
          <w:b/>
          <w:bCs/>
        </w:rPr>
        <w:t xml:space="preserve">Separation Factor:</w:t>
      </w:r>
    </w:p>
    <w:p>
      <w:pPr>
        <w:pStyle w:val="BodyText"/>
      </w:pPr>
      <m:oMathPara>
        <m:oMathParaPr>
          <m:jc m:val="center"/>
        </m:oMathParaPr>
        <m:oMath>
          <m:r>
            <m:t>S</m:t>
          </m:r>
          <m:r>
            <m:t>F</m:t>
          </m:r>
          <m:r>
            <m:rPr>
              <m:sty m:val="p"/>
            </m:rPr>
            <m:t>=</m:t>
          </m:r>
          <m:f>
            <m:fPr>
              <m:type m:val="bar"/>
            </m:fPr>
            <m:num>
              <m:sSub>
                <m:e>
                  <m:r>
                    <m:t>D</m:t>
                  </m:r>
                </m:e>
                <m:sub>
                  <m:r>
                    <m:t>D</m:t>
                  </m:r>
                  <m:r>
                    <m:t>y</m:t>
                  </m:r>
                </m:sub>
              </m:sSub>
            </m:num>
            <m:den>
              <m:sSub>
                <m:e>
                  <m:r>
                    <m:t>D</m:t>
                  </m:r>
                </m:e>
                <m:sub>
                  <m:r>
                    <m:t>N</m:t>
                  </m:r>
                  <m:r>
                    <m:t>d</m:t>
                  </m:r>
                </m:sub>
              </m:sSub>
            </m:den>
          </m:f>
        </m:oMath>
      </m:oMathPara>
    </w:p>
    <w:bookmarkEnd w:id="33"/>
    <w:bookmarkStart w:id="35" w:name="automatic-differentiation-framework"/>
    <w:p>
      <w:pPr>
        <w:pStyle w:val="Heading3"/>
      </w:pPr>
      <w:r>
        <w:t xml:space="preserve">2.4 Automatic Differentiation Framework</w:t>
      </w:r>
    </w:p>
    <w:p>
      <w:pPr>
        <w:pStyle w:val="FirstParagraph"/>
      </w:pPr>
      <w:r>
        <w:t xml:space="preserve">All model calculations are implemented using JAX, enabling automatic computation of derivatives. JAX provides:</w:t>
      </w:r>
    </w:p>
    <w:p>
      <w:pPr>
        <w:pStyle w:val="Compact"/>
        <w:numPr>
          <w:ilvl w:val="0"/>
          <w:numId w:val="1003"/>
        </w:numPr>
      </w:pPr>
      <w:r>
        <w:rPr>
          <w:b/>
          <w:bCs/>
        </w:rPr>
        <w:t xml:space="preserve">grad(f)</w:t>
      </w:r>
      <w:r>
        <w:t xml:space="preserve">: Returns gradient function ∇f</w:t>
      </w:r>
    </w:p>
    <w:p>
      <w:pPr>
        <w:pStyle w:val="Compact"/>
        <w:numPr>
          <w:ilvl w:val="0"/>
          <w:numId w:val="1003"/>
        </w:numPr>
      </w:pPr>
      <w:r>
        <w:rPr>
          <w:b/>
          <w:bCs/>
        </w:rPr>
        <w:t xml:space="preserve">jacfwd/jacrev</w:t>
      </w:r>
      <w:r>
        <w:t xml:space="preserve">: Forward/reverse-mode Jacobian computation</w:t>
      </w:r>
    </w:p>
    <w:p>
      <w:pPr>
        <w:pStyle w:val="Compact"/>
        <w:numPr>
          <w:ilvl w:val="0"/>
          <w:numId w:val="1003"/>
        </w:numPr>
      </w:pPr>
      <w:r>
        <w:rPr>
          <w:b/>
          <w:bCs/>
        </w:rPr>
        <w:t xml:space="preserve">hessian(f)</w:t>
      </w:r>
      <w:r>
        <w:t xml:space="preserve">: Second-order derivatives</w:t>
      </w:r>
    </w:p>
    <w:p>
      <w:pPr>
        <w:pStyle w:val="FirstParagraph"/>
      </w:pPr>
      <w:r>
        <w:t xml:space="preserve">Gradients are exact (machine precision ~10⁻¹⁵) and computed in a single backward pass regardless of the number of parameters.</w:t>
      </w:r>
      <w:r>
        <w:rPr>
          <w:rStyle w:val="FootnoteReference"/>
        </w:rPr>
        <w:footnoteReference w:id="34"/>
      </w:r>
    </w:p>
    <w:bookmarkEnd w:id="35"/>
    <w:bookmarkStart w:id="36" w:name="optimization-formulation"/>
    <w:p>
      <w:pPr>
        <w:pStyle w:val="Heading3"/>
      </w:pPr>
      <w:r>
        <w:t xml:space="preserve">2.5 Optimization Formulation</w:t>
      </w:r>
    </w:p>
    <w:p>
      <w:pPr>
        <w:pStyle w:val="FirstParagraph"/>
      </w:pPr>
      <w:r>
        <w:rPr>
          <w:b/>
          <w:bCs/>
        </w:rPr>
        <w:t xml:space="preserve">Single-objective optimization:</w:t>
      </w:r>
    </w:p>
    <w:p>
      <w:pPr>
        <w:pStyle w:val="BodyText"/>
      </w:pPr>
      <m:oMathPara>
        <m:oMathParaPr>
          <m:jc m:val="center"/>
        </m:oMathParaPr>
        <m:oMath>
          <m:limLow>
            <m:e>
              <m:r>
                <m:rPr>
                  <m:sty m:val="p"/>
                </m:rPr>
                <m:t>max</m:t>
              </m:r>
            </m:e>
            <m:lim>
              <m:r>
                <m:rPr>
                  <m:nor/>
                  <m:sty m:val="p"/>
                </m:rPr>
                <m:t>pH</m:t>
              </m:r>
              <m:r>
                <m:rPr>
                  <m:sty m:val="p"/>
                </m:rPr>
                <m:t>,</m:t>
              </m:r>
              <m:r>
                <m:t>O</m:t>
              </m:r>
              <m:r>
                <m:rPr>
                  <m:sty m:val="p"/>
                </m:rPr>
                <m:t>/</m:t>
              </m:r>
              <m:r>
                <m:t>A</m:t>
              </m:r>
              <m:r>
                <m:rPr>
                  <m:sty m:val="p"/>
                </m:rPr>
                <m:t>,</m:t>
              </m:r>
              <m:r>
                <m:t>T</m:t>
              </m:r>
              <m:r>
                <m:rPr>
                  <m:sty m:val="p"/>
                </m:rPr>
                <m:t>,</m:t>
              </m:r>
              <m:r>
                <m:rPr>
                  <m:sty m:val="p"/>
                </m:rPr>
                <m:t>[</m:t>
              </m:r>
              <m:r>
                <m:rPr>
                  <m:nor/>
                  <m:sty m:val="p"/>
                </m:rPr>
                <m:t>D2EHPA</m:t>
              </m:r>
              <m:r>
                <m:rPr>
                  <m:sty m:val="p"/>
                </m:rPr>
                <m:t>]</m:t>
              </m:r>
            </m:lim>
          </m:limLow>
          <m:sSub>
            <m:e>
              <m:r>
                <m:rPr>
                  <m:nor/>
                  <m:sty m:val="p"/>
                </m:rPr>
                <m:t>Purity</m:t>
              </m:r>
            </m:e>
            <m:sub>
              <m:r>
                <m:t>D</m:t>
              </m:r>
              <m:r>
                <m:t>y</m:t>
              </m:r>
            </m:sub>
          </m:sSub>
        </m:oMath>
      </m:oMathPara>
    </w:p>
    <w:p>
      <w:pPr>
        <w:pStyle w:val="FirstParagraph"/>
      </w:pPr>
      <m:oMathPara>
        <m:oMathParaPr>
          <m:jc m:val="center"/>
        </m:oMathParaPr>
        <m:oMath>
          <m:r>
            <m:rPr>
              <m:nor/>
              <m:sty m:val="p"/>
            </m:rPr>
            <m:t>subject to: </m:t>
          </m:r>
          <m:sSub>
            <m:e>
              <m:r>
                <m:rPr>
                  <m:nor/>
                  <m:sty m:val="p"/>
                </m:rPr>
                <m:t>Recovery</m:t>
              </m:r>
            </m:e>
            <m:sub>
              <m:r>
                <m:t>D</m:t>
              </m:r>
              <m:r>
                <m:t>y</m:t>
              </m:r>
            </m:sub>
          </m:sSub>
          <m:r>
            <m:rPr>
              <m:sty m:val="p"/>
            </m:rPr>
            <m:t>≥</m:t>
          </m:r>
          <m:r>
            <m:t>0.80</m:t>
          </m:r>
        </m:oMath>
      </m:oMathPara>
    </w:p>
    <w:p>
      <w:pPr>
        <w:pStyle w:val="FirstParagraph"/>
      </w:pPr>
      <w:r>
        <w:t xml:space="preserve">Bounds: 1.0 ≤ pH ≤ 5.0, 0.5 ≤ O/A ≤ 3.0, 283 ≤ T ≤ 333 K, 0.2 ≤ [D2EHPA] ≤ 1.0 M</w:t>
      </w:r>
    </w:p>
    <w:p>
      <w:pPr>
        <w:pStyle w:val="BodyText"/>
      </w:pPr>
      <w:r>
        <w:rPr>
          <w:b/>
          <w:bCs/>
        </w:rPr>
        <w:t xml:space="preserve">Multi-objective Pareto optimization:</w:t>
      </w:r>
      <w:r>
        <w:t xml:space="preserve"> </w:t>
      </w:r>
      <w:r>
        <w:t xml:space="preserve">Weighted-sum scalarization with varying weights:</w:t>
      </w:r>
    </w:p>
    <w:p>
      <w:pPr>
        <w:pStyle w:val="BodyText"/>
      </w:pPr>
      <m:oMathPara>
        <m:oMathParaPr>
          <m:jc m:val="center"/>
        </m:oMathParaPr>
        <m:oMath>
          <m:r>
            <m:rPr>
              <m:sty m:val="p"/>
            </m:rPr>
            <m:t>max</m:t>
          </m:r>
          <m:r>
            <m:t> </m:t>
          </m:r>
          <m:sSub>
            <m:e>
              <m:r>
                <m:t>w</m:t>
              </m:r>
            </m:e>
            <m:sub>
              <m:r>
                <m:t>1</m:t>
              </m:r>
            </m:sub>
          </m:sSub>
          <m:r>
            <m:rPr>
              <m:sty m:val="p"/>
            </m:rPr>
            <m:t>⋅</m:t>
          </m:r>
          <m:r>
            <m:rPr>
              <m:nor/>
              <m:sty m:val="p"/>
            </m:rPr>
            <m:t>Purity</m:t>
          </m:r>
          <m:r>
            <m:rPr>
              <m:sty m:val="p"/>
            </m:rPr>
            <m:t>+</m:t>
          </m:r>
          <m:sSub>
            <m:e>
              <m:r>
                <m:t>w</m:t>
              </m:r>
            </m:e>
            <m:sub>
              <m:r>
                <m:t>2</m:t>
              </m:r>
            </m:sub>
          </m:sSub>
          <m:r>
            <m:rPr>
              <m:sty m:val="p"/>
            </m:rPr>
            <m:t>⋅</m:t>
          </m:r>
          <m:r>
            <m:rPr>
              <m:nor/>
              <m:sty m:val="p"/>
            </m:rPr>
            <m:t>Recovery</m:t>
          </m:r>
        </m:oMath>
      </m:oMathPara>
    </w:p>
    <w:bookmarkEnd w:id="36"/>
    <w:bookmarkStart w:id="37" w:name="uncertainty-propagation"/>
    <w:p>
      <w:pPr>
        <w:pStyle w:val="Heading3"/>
      </w:pPr>
      <w:r>
        <w:t xml:space="preserve">2.6 Uncertainty Propagation</w:t>
      </w:r>
    </w:p>
    <w:p>
      <w:pPr>
        <w:pStyle w:val="FirstParagraph"/>
      </w:pPr>
      <w:r>
        <w:t xml:space="preserve">Linear error propagation uses gradients to analytically compute output uncertainty:</w:t>
      </w:r>
    </w:p>
    <w:p>
      <w:pPr>
        <w:pStyle w:val="BodyText"/>
      </w:pPr>
      <m:oMathPara>
        <m:oMathParaPr>
          <m:jc m:val="center"/>
        </m:oMathParaPr>
        <m:oMath>
          <m:sSup>
            <m:e>
              <m:r>
                <m:t>σ</m:t>
              </m:r>
            </m:e>
            <m:sup>
              <m:r>
                <m:t>2</m:t>
              </m:r>
            </m:sup>
          </m:sSup>
          <m:r>
            <m:rPr>
              <m:sty m:val="p"/>
            </m:rPr>
            <m:t>(</m:t>
          </m:r>
          <m:r>
            <m:rPr>
              <m:nor/>
              <m:sty m:val="p"/>
            </m:rPr>
            <m:t>Purity</m:t>
          </m:r>
          <m:r>
            <m:rPr>
              <m:sty m:val="p"/>
            </m:rPr>
            <m:t>)</m:t>
          </m:r>
          <m:r>
            <m:rPr>
              <m:sty m:val="p"/>
            </m:rPr>
            <m:t>=</m:t>
          </m:r>
          <m:sSup>
            <m:e>
              <m:d>
                <m:dPr>
                  <m:begChr m:val="("/>
                  <m:sepChr m:val=""/>
                  <m:endChr m:val=")"/>
                  <m:grow/>
                </m:dPr>
                <m:e>
                  <m:f>
                    <m:fPr>
                      <m:type m:val="bar"/>
                    </m:fPr>
                    <m:num>
                      <m:r>
                        <m:rPr>
                          <m:sty m:val="p"/>
                        </m:rPr>
                        <m:t>∂</m:t>
                      </m:r>
                      <m:r>
                        <m:rPr>
                          <m:nor/>
                          <m:sty m:val="p"/>
                        </m:rPr>
                        <m:t>Purity</m:t>
                      </m:r>
                    </m:num>
                    <m:den>
                      <m:r>
                        <m:rPr>
                          <m:sty m:val="p"/>
                        </m:rPr>
                        <m:t>∂</m:t>
                      </m:r>
                      <m:sSub>
                        <m:e>
                          <m:r>
                            <m:t>D</m:t>
                          </m:r>
                        </m:e>
                        <m:sub>
                          <m:r>
                            <m:t>N</m:t>
                          </m:r>
                          <m:r>
                            <m:t>d</m:t>
                          </m:r>
                        </m:sub>
                      </m:sSub>
                    </m:den>
                  </m:f>
                </m:e>
              </m:d>
            </m:e>
            <m:sup>
              <m:r>
                <m:t>2</m:t>
              </m:r>
            </m:sup>
          </m:sSup>
          <m:sSup>
            <m:e>
              <m:r>
                <m:t>σ</m:t>
              </m:r>
            </m:e>
            <m:sup>
              <m:r>
                <m:t>2</m:t>
              </m:r>
            </m:sup>
          </m:sSup>
          <m:r>
            <m:rPr>
              <m:sty m:val="p"/>
            </m:rPr>
            <m:t>(</m:t>
          </m:r>
          <m:sSub>
            <m:e>
              <m:r>
                <m:t>D</m:t>
              </m:r>
            </m:e>
            <m:sub>
              <m:r>
                <m:t>N</m:t>
              </m:r>
              <m:r>
                <m:t>d</m:t>
              </m:r>
            </m:sub>
          </m:sSub>
          <m:r>
            <m:rPr>
              <m:sty m:val="p"/>
            </m:rPr>
            <m:t>)</m:t>
          </m:r>
          <m:r>
            <m:rPr>
              <m:sty m:val="p"/>
            </m:rPr>
            <m:t>+</m:t>
          </m:r>
          <m:sSup>
            <m:e>
              <m:d>
                <m:dPr>
                  <m:begChr m:val="("/>
                  <m:sepChr m:val=""/>
                  <m:endChr m:val=")"/>
                  <m:grow/>
                </m:dPr>
                <m:e>
                  <m:f>
                    <m:fPr>
                      <m:type m:val="bar"/>
                    </m:fPr>
                    <m:num>
                      <m:r>
                        <m:rPr>
                          <m:sty m:val="p"/>
                        </m:rPr>
                        <m:t>∂</m:t>
                      </m:r>
                      <m:r>
                        <m:rPr>
                          <m:nor/>
                          <m:sty m:val="p"/>
                        </m:rPr>
                        <m:t>Purity</m:t>
                      </m:r>
                    </m:num>
                    <m:den>
                      <m:r>
                        <m:rPr>
                          <m:sty m:val="p"/>
                        </m:rPr>
                        <m:t>∂</m:t>
                      </m:r>
                      <m:sSub>
                        <m:e>
                          <m:r>
                            <m:t>D</m:t>
                          </m:r>
                        </m:e>
                        <m:sub>
                          <m:r>
                            <m:t>D</m:t>
                          </m:r>
                          <m:r>
                            <m:t>y</m:t>
                          </m:r>
                        </m:sub>
                      </m:sSub>
                    </m:den>
                  </m:f>
                </m:e>
              </m:d>
            </m:e>
            <m:sup>
              <m:r>
                <m:t>2</m:t>
              </m:r>
            </m:sup>
          </m:sSup>
          <m:sSup>
            <m:e>
              <m:r>
                <m:t>σ</m:t>
              </m:r>
            </m:e>
            <m:sup>
              <m:r>
                <m:t>2</m:t>
              </m:r>
            </m:sup>
          </m:sSup>
          <m:r>
            <m:rPr>
              <m:sty m:val="p"/>
            </m:rPr>
            <m:t>(</m:t>
          </m:r>
          <m:sSub>
            <m:e>
              <m:r>
                <m:t>D</m:t>
              </m:r>
            </m:e>
            <m:sub>
              <m:r>
                <m:t>D</m:t>
              </m:r>
              <m:r>
                <m:t>y</m:t>
              </m:r>
            </m:sub>
          </m:sSub>
          <m:r>
            <m:rPr>
              <m:sty m:val="p"/>
            </m:rPr>
            <m:t>)</m:t>
          </m:r>
        </m:oMath>
      </m:oMathPara>
    </w:p>
    <w:p>
      <w:pPr>
        <w:pStyle w:val="FirstParagraph"/>
      </w:pPr>
      <w:r>
        <w:t xml:space="preserve">This provides instant uncertainty quantification compared to Monte Carlo methods requiring thousands of samples.</w:t>
      </w:r>
    </w:p>
    <w:bookmarkEnd w:id="37"/>
    <w:bookmarkStart w:id="39" w:name="cost-model"/>
    <w:p>
      <w:pPr>
        <w:pStyle w:val="Heading3"/>
      </w:pPr>
      <w:r>
        <w:t xml:space="preserve">2.7 Cost Model</w:t>
      </w:r>
    </w:p>
    <w:p>
      <w:pPr>
        <w:pStyle w:val="FirstParagraph"/>
      </w:pPr>
      <w:r>
        <w:t xml:space="preserve">A simplified technoeconomic model estimates annual operating costs including:</w:t>
      </w:r>
      <w:r>
        <w:rPr>
          <w:rStyle w:val="FootnoteReference"/>
        </w:rPr>
        <w:footnoteReference w:id="38"/>
      </w:r>
      <w:r>
        <w:t xml:space="preserve"> </w:t>
      </w:r>
      <w:r>
        <w:t xml:space="preserve">- Extractant makeup (0.1% loss per contact at $8/kg)</w:t>
      </w:r>
      <w:r>
        <w:t xml:space="preserve"> </w:t>
      </w:r>
      <w:r>
        <w:t xml:space="preserve">- Acid/base for pH control</w:t>
      </w:r>
      <w:r>
        <w:t xml:space="preserve"> </w:t>
      </w:r>
      <w:r>
        <w:t xml:space="preserve">- Mixing power and utilities</w:t>
      </w:r>
      <w:r>
        <w:t xml:space="preserve"> </w:t>
      </w:r>
      <w:r>
        <w:t xml:space="preserve">- Annualized capital cost (10% discount rate, 20-year plant life)</w:t>
      </w:r>
    </w:p>
    <w:p>
      <w:r>
        <w:pict>
          <v:rect style="width:0;height:1.5pt" o:hralign="center" o:hrstd="t" o:hr="t"/>
        </w:pict>
      </w:r>
    </w:p>
    <w:bookmarkEnd w:id="39"/>
    <w:bookmarkEnd w:id="40"/>
    <w:bookmarkStart w:id="77" w:name="results-and-discussion"/>
    <w:p>
      <w:pPr>
        <w:pStyle w:val="Heading2"/>
      </w:pPr>
      <w:r>
        <w:t xml:space="preserve">3. Results and Discussion</w:t>
      </w:r>
    </w:p>
    <w:bookmarkStart w:id="46" w:name="base-case-simulation"/>
    <w:p>
      <w:pPr>
        <w:pStyle w:val="Heading3"/>
      </w:pPr>
      <w:r>
        <w:t xml:space="preserve">3.1 Base Case Simulation</w:t>
      </w:r>
    </w:p>
    <w:p>
      <w:pPr>
        <w:pStyle w:val="FirstParagraph"/>
      </w:pPr>
      <w:r>
        <w:rPr>
          <w:b/>
          <w:bCs/>
        </w:rPr>
        <w:t xml:space="preserve">Table 2</w:t>
      </w:r>
      <w:r>
        <w:t xml:space="preserve"> </w:t>
      </w:r>
      <w:r>
        <w:t xml:space="preserve">shows the base case operating conditions, and</w:t>
      </w:r>
      <w:r>
        <w:t xml:space="preserve"> </w:t>
      </w:r>
      <w:r>
        <w:rPr>
          <w:b/>
          <w:bCs/>
        </w:rPr>
        <w:t xml:space="preserve">Table 3</w:t>
      </w:r>
      <w:r>
        <w:t xml:space="preserve"> </w:t>
      </w:r>
      <w:r>
        <w:t xml:space="preserve">presents the simulation results.</w:t>
      </w:r>
      <w:r>
        <w:rPr>
          <w:rStyle w:val="FootnoteReference"/>
        </w:rPr>
        <w:footnoteReference w:id="41"/>
      </w:r>
    </w:p>
    <w:p>
      <w:pPr>
        <w:pStyle w:val="BodyText"/>
      </w:pPr>
      <w:r>
        <w:rPr>
          <w:b/>
          <w:bCs/>
        </w:rPr>
        <w:t xml:space="preserve">Table 2: Base Case Operating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Units</w:t>
            </w:r>
          </w:p>
        </w:tc>
      </w:tr>
      <w:tr>
        <w:tc>
          <w:tcPr/>
          <w:p>
            <w:pPr>
              <w:pStyle w:val="Compact"/>
            </w:pPr>
            <w:r>
              <w:t xml:space="preserve">Feed composition (Nd:Dy)</w:t>
            </w:r>
          </w:p>
        </w:tc>
        <w:tc>
          <w:tcPr/>
          <w:p>
            <w:pPr>
              <w:pStyle w:val="Compact"/>
            </w:pPr>
            <w:r>
              <w:t xml:space="preserve">50:50</w:t>
            </w:r>
          </w:p>
        </w:tc>
        <w:tc>
          <w:tcPr/>
          <w:p>
            <w:pPr>
              <w:pStyle w:val="Compact"/>
            </w:pPr>
            <w:r>
              <w:t xml:space="preserve">mol%</w:t>
            </w:r>
          </w:p>
        </w:tc>
      </w:tr>
      <w:tr>
        <w:tc>
          <w:tcPr/>
          <w:p>
            <w:pPr>
              <w:pStyle w:val="Compact"/>
            </w:pPr>
            <w:r>
              <w:t xml:space="preserve">Total REE feed flow</w:t>
            </w:r>
          </w:p>
        </w:tc>
        <w:tc>
          <w:tcPr/>
          <w:p>
            <w:pPr>
              <w:pStyle w:val="Compact"/>
            </w:pPr>
            <w:r>
              <w:t xml:space="preserve">0.02</w:t>
            </w:r>
          </w:p>
        </w:tc>
        <w:tc>
          <w:tcPr/>
          <w:p>
            <w:pPr>
              <w:pStyle w:val="Compact"/>
            </w:pPr>
            <w:r>
              <w:t xml:space="preserve">mol/s</w:t>
            </w:r>
          </w:p>
        </w:tc>
      </w:tr>
      <w:tr>
        <w:tc>
          <w:tcPr/>
          <w:p>
            <w:pPr>
              <w:pStyle w:val="Compact"/>
            </w:pPr>
            <w:r>
              <w:t xml:space="preserve">pH</w:t>
            </w:r>
          </w:p>
        </w:tc>
        <w:tc>
          <w:tcPr/>
          <w:p>
            <w:pPr>
              <w:pStyle w:val="Compact"/>
            </w:pPr>
            <w:r>
              <w:t xml:space="preserve">3.0</w:t>
            </w:r>
          </w:p>
        </w:tc>
        <w:tc>
          <w:tcPr/>
          <w:p>
            <w:pPr>
              <w:pStyle w:val="Compact"/>
            </w:pPr>
            <w:r>
              <w:t xml:space="preserve">-</w:t>
            </w:r>
          </w:p>
        </w:tc>
      </w:tr>
      <w:tr>
        <w:tc>
          <w:tcPr/>
          <w:p>
            <w:pPr>
              <w:pStyle w:val="Compact"/>
            </w:pPr>
            <w:r>
              <w:t xml:space="preserve">O/A ratio</w:t>
            </w:r>
          </w:p>
        </w:tc>
        <w:tc>
          <w:tcPr/>
          <w:p>
            <w:pPr>
              <w:pStyle w:val="Compact"/>
            </w:pPr>
            <w:r>
              <w:t xml:space="preserve">1.0</w:t>
            </w:r>
          </w:p>
        </w:tc>
        <w:tc>
          <w:tcPr/>
          <w:p>
            <w:pPr>
              <w:pStyle w:val="Compact"/>
            </w:pPr>
            <w:r>
              <w:t xml:space="preserve">-</w:t>
            </w:r>
          </w:p>
        </w:tc>
      </w:tr>
      <w:tr>
        <w:tc>
          <w:tcPr/>
          <w:p>
            <w:pPr>
              <w:pStyle w:val="Compact"/>
            </w:pPr>
            <w:r>
              <w:t xml:space="preserve">Temperature</w:t>
            </w:r>
          </w:p>
        </w:tc>
        <w:tc>
          <w:tcPr/>
          <w:p>
            <w:pPr>
              <w:pStyle w:val="Compact"/>
            </w:pPr>
            <w:r>
              <w:t xml:space="preserve">298.15</w:t>
            </w:r>
          </w:p>
        </w:tc>
        <w:tc>
          <w:tcPr/>
          <w:p>
            <w:pPr>
              <w:pStyle w:val="Compact"/>
            </w:pPr>
            <w:r>
              <w:t xml:space="preserve">K</w:t>
            </w:r>
          </w:p>
        </w:tc>
      </w:tr>
      <w:tr>
        <w:tc>
          <w:tcPr/>
          <w:p>
            <w:pPr>
              <w:pStyle w:val="Compact"/>
            </w:pPr>
            <w:r>
              <w:t xml:space="preserve">D2EHPA concentration</w:t>
            </w:r>
          </w:p>
        </w:tc>
        <w:tc>
          <w:tcPr/>
          <w:p>
            <w:pPr>
              <w:pStyle w:val="Compact"/>
            </w:pPr>
            <w:r>
              <w:t xml:space="preserve">0.5</w:t>
            </w:r>
          </w:p>
        </w:tc>
        <w:tc>
          <w:tcPr/>
          <w:p>
            <w:pPr>
              <w:pStyle w:val="Compact"/>
            </w:pPr>
            <w:r>
              <w:t xml:space="preserve">M</w:t>
            </w:r>
          </w:p>
        </w:tc>
      </w:tr>
      <w:tr>
        <w:tc>
          <w:tcPr/>
          <w:p>
            <w:pPr>
              <w:pStyle w:val="Compact"/>
            </w:pPr>
            <w:r>
              <w:t xml:space="preserve">Stage efficiency</w:t>
            </w:r>
          </w:p>
        </w:tc>
        <w:tc>
          <w:tcPr/>
          <w:p>
            <w:pPr>
              <w:pStyle w:val="Compact"/>
            </w:pPr>
            <w:r>
              <w:t xml:space="preserve">95</w:t>
            </w:r>
          </w:p>
        </w:tc>
        <w:tc>
          <w:tcPr/>
          <w:p>
            <w:pPr>
              <w:pStyle w:val="Compact"/>
            </w:pPr>
            <w:r>
              <w:t xml:space="preserve">%</w:t>
            </w:r>
          </w:p>
        </w:tc>
      </w:tr>
    </w:tbl>
    <w:p>
      <w:pPr>
        <w:pStyle w:val="BodyText"/>
      </w:pPr>
      <w:r>
        <w:rPr>
          <w:b/>
          <w:bCs/>
        </w:rPr>
        <w:t xml:space="preserve">Table 3: Base Case Simulation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D_Nd</w:t>
            </w:r>
          </w:p>
        </w:tc>
        <w:tc>
          <w:tcPr/>
          <w:p>
            <w:pPr>
              <w:pStyle w:val="Compact"/>
            </w:pPr>
            <w:r>
              <w:t xml:space="preserve">2.40</w:t>
            </w:r>
          </w:p>
        </w:tc>
      </w:tr>
      <w:tr>
        <w:tc>
          <w:tcPr/>
          <w:p>
            <w:pPr>
              <w:pStyle w:val="Compact"/>
            </w:pPr>
            <w:r>
              <w:t xml:space="preserve">D_Dy</w:t>
            </w:r>
          </w:p>
        </w:tc>
        <w:tc>
          <w:tcPr/>
          <w:p>
            <w:pPr>
              <w:pStyle w:val="Compact"/>
            </w:pPr>
            <w:r>
              <w:t xml:space="preserve">42.7</w:t>
            </w:r>
          </w:p>
        </w:tc>
      </w:tr>
      <w:tr>
        <w:tc>
          <w:tcPr/>
          <w:p>
            <w:pPr>
              <w:pStyle w:val="Compact"/>
            </w:pPr>
            <w:r>
              <w:t xml:space="preserve">SF (Dy/Nd)</w:t>
            </w:r>
          </w:p>
        </w:tc>
        <w:tc>
          <w:tcPr/>
          <w:p>
            <w:pPr>
              <w:pStyle w:val="Compact"/>
            </w:pPr>
            <w:r>
              <w:t xml:space="preserve">17.8</w:t>
            </w:r>
          </w:p>
        </w:tc>
      </w:tr>
      <w:tr>
        <w:tc>
          <w:tcPr/>
          <w:p>
            <w:pPr>
              <w:pStyle w:val="Compact"/>
            </w:pPr>
            <w:r>
              <w:t xml:space="preserve">Dy purity (extract)</w:t>
            </w:r>
          </w:p>
        </w:tc>
        <w:tc>
          <w:tcPr/>
          <w:p>
            <w:pPr>
              <w:pStyle w:val="Compact"/>
            </w:pPr>
            <w:r>
              <w:t xml:space="preserve">58.1%</w:t>
            </w:r>
          </w:p>
        </w:tc>
      </w:tr>
      <w:tr>
        <w:tc>
          <w:tcPr/>
          <w:p>
            <w:pPr>
              <w:pStyle w:val="Compact"/>
            </w:pPr>
            <w:r>
              <w:t xml:space="preserve">Dy recovery</w:t>
            </w:r>
          </w:p>
        </w:tc>
        <w:tc>
          <w:tcPr/>
          <w:p>
            <w:pPr>
              <w:pStyle w:val="Compact"/>
            </w:pPr>
            <w:r>
              <w:t xml:space="preserve">92.8%</w:t>
            </w:r>
          </w:p>
        </w:tc>
      </w:tr>
      <w:tr>
        <w:tc>
          <w:tcPr/>
          <w:p>
            <w:pPr>
              <w:pStyle w:val="Compact"/>
            </w:pPr>
            <w:r>
              <w:t xml:space="preserve">Nd purity (raffinate)</w:t>
            </w:r>
          </w:p>
        </w:tc>
        <w:tc>
          <w:tcPr/>
          <w:p>
            <w:pPr>
              <w:pStyle w:val="Compact"/>
            </w:pPr>
            <w:r>
              <w:t xml:space="preserve">82.1%</w:t>
            </w:r>
          </w:p>
        </w:tc>
      </w:tr>
      <w:tr>
        <w:tc>
          <w:tcPr/>
          <w:p>
            <w:pPr>
              <w:pStyle w:val="Compact"/>
            </w:pPr>
            <w:r>
              <w:t xml:space="preserve">Nd recovery</w:t>
            </w:r>
          </w:p>
        </w:tc>
        <w:tc>
          <w:tcPr/>
          <w:p>
            <w:pPr>
              <w:pStyle w:val="Compact"/>
            </w:pPr>
            <w:r>
              <w:t xml:space="preserve">33.0%</w:t>
            </w:r>
          </w:p>
        </w:tc>
      </w:tr>
    </w:tbl>
    <w:p>
      <w:pPr>
        <w:pStyle w:val="BodyText"/>
      </w:pPr>
      <w:r>
        <w:t xml:space="preserve">The separation factor of 17.8 indicates good selectivity for Dy over Nd under these conditions. However, the moderate Dy purity (58.1%) reflects the fundamental trade-off between purity and recovery inherent to single-stage extraction.</w:t>
      </w:r>
    </w:p>
    <w:p>
      <w:pPr>
        <w:pStyle w:val="CaptionedFigure"/>
      </w:pPr>
      <w:r>
        <w:drawing>
          <wp:inline>
            <wp:extent cx="5334000" cy="4000500"/>
            <wp:effectExtent b="0" l="0" r="0" t="0"/>
            <wp:docPr descr="Figure 2: Distribution coefficients D vs pH for Nd and Dy at 0.5 M D2EHPA, 298 K. Dy has higher D values across the pH range, with separation factor SF ≈ 18." title="" id="43" name="Picture"/>
            <a:graphic>
              <a:graphicData uri="http://schemas.openxmlformats.org/drawingml/2006/picture">
                <pic:pic>
                  <pic:nvPicPr>
                    <pic:cNvPr descr="figures/fig2_distribution_coeffs.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Distribution coefficients D vs pH for Nd and Dy at 0.5 M D2EHPA, 298 K. Dy has higher D values across the pH range, with separation factor SF ≈ 18.</w:t>
      </w:r>
    </w:p>
    <w:p>
      <w:pPr>
        <w:pStyle w:val="BodyText"/>
      </w:pPr>
      <w:r>
        <w:rPr>
          <w:b/>
          <w:bCs/>
        </w:rPr>
        <w:t xml:space="preserve">Figure 2</w:t>
      </w:r>
      <w:r>
        <w:t xml:space="preserve"> </w:t>
      </w:r>
      <w:r>
        <w:t xml:space="preserve">shows the distribution coefficients as a function of pH.</w:t>
      </w:r>
      <w:r>
        <w:rPr>
          <w:rStyle w:val="FootnoteReference"/>
        </w:rPr>
        <w:footnoteReference w:id="45"/>
      </w:r>
      <w:r>
        <w:t xml:space="preserve"> </w:t>
      </w:r>
      <w:r>
        <w:t xml:space="preserve">Both D values increase exponentially with pH due to the cation exchange mechanism, but the separation factor remains relatively constant.</w:t>
      </w:r>
    </w:p>
    <w:bookmarkEnd w:id="46"/>
    <w:bookmarkStart w:id="52" w:name="sensitivity-analysis"/>
    <w:p>
      <w:pPr>
        <w:pStyle w:val="Heading3"/>
      </w:pPr>
      <w:r>
        <w:t xml:space="preserve">3.2 Sensitivity Analysis</w:t>
      </w:r>
    </w:p>
    <w:p>
      <w:pPr>
        <w:pStyle w:val="FirstParagraph"/>
      </w:pPr>
      <w:r>
        <w:rPr>
          <w:b/>
          <w:bCs/>
        </w:rPr>
        <w:t xml:space="preserve">Table 6</w:t>
      </w:r>
      <w:r>
        <w:t xml:space="preserve"> </w:t>
      </w:r>
      <w:r>
        <w:t xml:space="preserve">presents the gradient-based sensitivities computed at base case conditions.</w:t>
      </w:r>
      <w:r>
        <w:rPr>
          <w:rStyle w:val="FootnoteReference"/>
        </w:rPr>
        <w:footnoteReference w:id="47"/>
      </w:r>
    </w:p>
    <w:p>
      <w:pPr>
        <w:pStyle w:val="BodyText"/>
      </w:pPr>
      <w:r>
        <w:rPr>
          <w:b/>
          <w:bCs/>
        </w:rPr>
        <w:t xml:space="preserve">Table 6: Gradient-Based Sensitivities at Base Case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∂(Purity)/∂p</w:t>
            </w:r>
          </w:p>
        </w:tc>
        <w:tc>
          <w:tcPr/>
          <w:p>
            <w:pPr>
              <w:pStyle w:val="Compact"/>
            </w:pPr>
            <w:r>
              <w:t xml:space="preserve">∂(Recovery)/∂p</w:t>
            </w:r>
          </w:p>
        </w:tc>
        <w:tc>
          <w:tcPr/>
          <w:p>
            <w:pPr>
              <w:pStyle w:val="Compact"/>
            </w:pPr>
            <w:r>
              <w:t xml:space="preserve">Units</w:t>
            </w:r>
          </w:p>
        </w:tc>
      </w:tr>
      <w:tr>
        <w:tc>
          <w:tcPr/>
          <w:p>
            <w:pPr>
              <w:pStyle w:val="Compact"/>
            </w:pPr>
            <w:r>
              <w:t xml:space="preserve">pH</w:t>
            </w:r>
          </w:p>
        </w:tc>
        <w:tc>
          <w:tcPr/>
          <w:p>
            <w:pPr>
              <w:pStyle w:val="Compact"/>
            </w:pPr>
            <w:r>
              <w:t xml:space="preserve">-0.155</w:t>
            </w:r>
          </w:p>
        </w:tc>
        <w:tc>
          <w:tcPr/>
          <w:p>
            <w:pPr>
              <w:pStyle w:val="Compact"/>
            </w:pPr>
            <w:r>
              <w:t xml:space="preserve">+0.052</w:t>
            </w:r>
          </w:p>
        </w:tc>
        <w:tc>
          <w:tcPr/>
          <w:p>
            <w:pPr>
              <w:pStyle w:val="Compact"/>
            </w:pPr>
            <w:r>
              <w:t xml:space="preserve">1/pH</w:t>
            </w:r>
          </w:p>
        </w:tc>
      </w:tr>
      <w:tr>
        <w:tc>
          <w:tcPr/>
          <w:p>
            <w:pPr>
              <w:pStyle w:val="Compact"/>
            </w:pPr>
            <w:r>
              <w:t xml:space="preserve">O/A ratio</w:t>
            </w:r>
          </w:p>
        </w:tc>
        <w:tc>
          <w:tcPr/>
          <w:p>
            <w:pPr>
              <w:pStyle w:val="Compact"/>
            </w:pPr>
            <w:r>
              <w:t xml:space="preserve">-0.066</w:t>
            </w:r>
          </w:p>
        </w:tc>
        <w:tc>
          <w:tcPr/>
          <w:p>
            <w:pPr>
              <w:pStyle w:val="Compact"/>
            </w:pPr>
            <w:r>
              <w:t xml:space="preserve">+0.021</w:t>
            </w:r>
          </w:p>
        </w:tc>
        <w:tc>
          <w:tcPr/>
          <w:p>
            <w:pPr>
              <w:pStyle w:val="Compact"/>
            </w:pPr>
            <w:r>
              <w:t xml:space="preserve">1/(O/A)</w:t>
            </w:r>
          </w:p>
        </w:tc>
      </w:tr>
      <w:tr>
        <w:tc>
          <w:tcPr/>
          <w:p>
            <w:pPr>
              <w:pStyle w:val="Compact"/>
            </w:pPr>
            <w:r>
              <w:t xml:space="preserve">T</w:t>
            </w:r>
          </w:p>
        </w:tc>
        <w:tc>
          <w:tcPr/>
          <w:p>
            <w:pPr>
              <w:pStyle w:val="Compact"/>
            </w:pPr>
            <w:r>
              <w:t xml:space="preserve">-0.0002</w:t>
            </w:r>
          </w:p>
        </w:tc>
        <w:tc>
          <w:tcPr/>
          <w:p>
            <w:pPr>
              <w:pStyle w:val="Compact"/>
            </w:pPr>
            <w:r>
              <w:t xml:space="preserve">+0.0001</w:t>
            </w:r>
          </w:p>
        </w:tc>
        <w:tc>
          <w:tcPr/>
          <w:p>
            <w:pPr>
              <w:pStyle w:val="Compact"/>
            </w:pPr>
            <w:r>
              <w:t xml:space="preserve">1/K</w:t>
            </w:r>
          </w:p>
        </w:tc>
      </w:tr>
      <w:tr>
        <w:tc>
          <w:tcPr/>
          <w:p>
            <w:pPr>
              <w:pStyle w:val="Compact"/>
            </w:pPr>
            <w:r>
              <w:t xml:space="preserve">[D2EHPA]</w:t>
            </w:r>
          </w:p>
        </w:tc>
        <w:tc>
          <w:tcPr/>
          <w:p>
            <w:pPr>
              <w:pStyle w:val="Compact"/>
            </w:pPr>
            <w:r>
              <w:t xml:space="preserve">-0.396</w:t>
            </w:r>
          </w:p>
        </w:tc>
        <w:tc>
          <w:tcPr/>
          <w:p>
            <w:pPr>
              <w:pStyle w:val="Compact"/>
            </w:pPr>
            <w:r>
              <w:t xml:space="preserve">+0.128</w:t>
            </w:r>
          </w:p>
        </w:tc>
        <w:tc>
          <w:tcPr/>
          <w:p>
            <w:pPr>
              <w:pStyle w:val="Compact"/>
            </w:pPr>
            <w:r>
              <w:t xml:space="preserve">1/M</w:t>
            </w:r>
          </w:p>
        </w:tc>
      </w:tr>
    </w:tbl>
    <w:p>
      <w:pPr>
        <w:pStyle w:val="BodyText"/>
      </w:pPr>
      <w:r>
        <w:t xml:space="preserve">The negative sensitivity of purity to pH may seem counterintuitive. At pH = 3, both D values are already high (D_Nd = 2.4, D_Dy = 42.7), meaning most of both elements extract to the organic phase. Further increasing pH extracts more of the less-extractable Nd,</w:t>
      </w:r>
      <w:r>
        <w:t xml:space="preserve"> </w:t>
      </w:r>
      <w:r>
        <w:rPr>
          <w:i/>
          <w:iCs/>
        </w:rPr>
        <w:t xml:space="preserve">reducing</w:t>
      </w:r>
      <w:r>
        <w:t xml:space="preserve"> </w:t>
      </w:r>
      <w:r>
        <w:t xml:space="preserve">Dy purity in the extract. This highlights the importance of operating at conditions that balance extraction efficiency with selectivity.</w:t>
      </w:r>
    </w:p>
    <w:p>
      <w:pPr>
        <w:pStyle w:val="CaptionedFigure"/>
      </w:pPr>
      <w:r>
        <w:drawing>
          <wp:inline>
            <wp:extent cx="5334000" cy="3333749"/>
            <wp:effectExtent b="0" l="0" r="0" t="0"/>
            <wp:docPr descr="Figure 5: Tornado chart ranking parameters by impact on Dy purity. [D2EHPA] concentration and pH have the largest effects." title="" id="49" name="Picture"/>
            <a:graphic>
              <a:graphicData uri="http://schemas.openxmlformats.org/drawingml/2006/picture">
                <pic:pic>
                  <pic:nvPicPr>
                    <pic:cNvPr descr="figures/fig5_tornado.png" id="50" name="Picture"/>
                    <pic:cNvPicPr>
                      <a:picLocks noChangeArrowheads="1" noChangeAspect="1"/>
                    </pic:cNvPicPr>
                  </pic:nvPicPr>
                  <pic:blipFill>
                    <a:blip r:embed="rId4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 Tornado chart ranking parameters by impact on Dy purity. [D2EHPA] concentration and pH have the largest effects.</w:t>
      </w:r>
    </w:p>
    <w:p>
      <w:pPr>
        <w:pStyle w:val="BodyText"/>
      </w:pPr>
      <w:r>
        <w:rPr>
          <w:b/>
          <w:bCs/>
        </w:rPr>
        <w:t xml:space="preserve">Figure 5</w:t>
      </w:r>
      <w:r>
        <w:t xml:space="preserve"> </w:t>
      </w:r>
      <w:r>
        <w:t xml:space="preserve">shows the tornado chart ranking parameters by their impact on Dy purity.</w:t>
      </w:r>
      <w:r>
        <w:rPr>
          <w:rStyle w:val="FootnoteReference"/>
        </w:rPr>
        <w:footnoteReference w:id="51"/>
      </w:r>
      <w:r>
        <w:t xml:space="preserve"> </w:t>
      </w:r>
      <w:r>
        <w:t xml:space="preserve">The ranking is:</w:t>
      </w:r>
      <w:r>
        <w:t xml:space="preserve"> </w:t>
      </w:r>
      <w:r>
        <w:t xml:space="preserve">1. [D2EHPA] concentration (strongest)</w:t>
      </w:r>
      <w:r>
        <w:t xml:space="preserve"> </w:t>
      </w:r>
      <w:r>
        <w:t xml:space="preserve">2. pH</w:t>
      </w:r>
      <w:r>
        <w:t xml:space="preserve"> </w:t>
      </w:r>
      <w:r>
        <w:t xml:space="preserve">3. O/A ratio</w:t>
      </w:r>
      <w:r>
        <w:t xml:space="preserve"> </w:t>
      </w:r>
      <w:r>
        <w:t xml:space="preserve">4. Temperature (weakest)</w:t>
      </w:r>
    </w:p>
    <w:bookmarkEnd w:id="52"/>
    <w:bookmarkStart w:id="58" w:name="single-objective-optimization"/>
    <w:p>
      <w:pPr>
        <w:pStyle w:val="Heading3"/>
      </w:pPr>
      <w:r>
        <w:t xml:space="preserve">3.3 Single-Objective Optimization</w:t>
      </w:r>
    </w:p>
    <w:p>
      <w:pPr>
        <w:pStyle w:val="FirstParagraph"/>
      </w:pPr>
      <w:r>
        <w:t xml:space="preserve">Gradient-based optimization to maximize Dy purity subject to ≥80% recovery yields the results in</w:t>
      </w:r>
      <w:r>
        <w:t xml:space="preserve"> </w:t>
      </w:r>
      <w:r>
        <w:rPr>
          <w:b/>
          <w:bCs/>
        </w:rPr>
        <w:t xml:space="preserve">Table 4</w:t>
      </w:r>
      <w:r>
        <w:t xml:space="preserve">.</w:t>
      </w:r>
      <w:r>
        <w:rPr>
          <w:rStyle w:val="FootnoteReference"/>
        </w:rPr>
        <w:footnoteReference w:id="53"/>
      </w:r>
    </w:p>
    <w:p>
      <w:pPr>
        <w:pStyle w:val="BodyText"/>
      </w:pPr>
      <w:r>
        <w:rPr>
          <w:b/>
          <w:bCs/>
        </w:rPr>
        <w:t xml:space="preserve">Table 4: Optimization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Base Case</w:t>
            </w:r>
          </w:p>
        </w:tc>
        <w:tc>
          <w:tcPr/>
          <w:p>
            <w:pPr>
              <w:pStyle w:val="Compact"/>
            </w:pPr>
            <w:r>
              <w:t xml:space="preserve">Optimal</w:t>
            </w:r>
          </w:p>
        </w:tc>
        <w:tc>
          <w:tcPr/>
          <w:p>
            <w:pPr>
              <w:pStyle w:val="Compact"/>
            </w:pPr>
            <w:r>
              <w:t xml:space="preserve">Change</w:t>
            </w:r>
          </w:p>
        </w:tc>
      </w:tr>
      <w:tr>
        <w:tc>
          <w:tcPr/>
          <w:p>
            <w:pPr>
              <w:pStyle w:val="Compact"/>
            </w:pPr>
            <w:r>
              <w:t xml:space="preserve">pH</w:t>
            </w:r>
          </w:p>
        </w:tc>
        <w:tc>
          <w:tcPr/>
          <w:p>
            <w:pPr>
              <w:pStyle w:val="Compact"/>
            </w:pPr>
            <w:r>
              <w:t xml:space="preserve">3.0</w:t>
            </w:r>
          </w:p>
        </w:tc>
        <w:tc>
          <w:tcPr/>
          <w:p>
            <w:pPr>
              <w:pStyle w:val="Compact"/>
            </w:pPr>
            <w:r>
              <w:t xml:space="preserve">2.73</w:t>
            </w:r>
          </w:p>
        </w:tc>
        <w:tc>
          <w:tcPr/>
          <w:p>
            <w:pPr>
              <w:pStyle w:val="Compact"/>
            </w:pPr>
            <w:r>
              <w:t xml:space="preserve">-0.27</w:t>
            </w:r>
          </w:p>
        </w:tc>
      </w:tr>
      <w:tr>
        <w:tc>
          <w:tcPr/>
          <w:p>
            <w:pPr>
              <w:pStyle w:val="Compact"/>
            </w:pPr>
            <w:r>
              <w:t xml:space="preserve">O/A ratio</w:t>
            </w:r>
          </w:p>
        </w:tc>
        <w:tc>
          <w:tcPr/>
          <w:p>
            <w:pPr>
              <w:pStyle w:val="Compact"/>
            </w:pPr>
            <w:r>
              <w:t xml:space="preserve">1.0</w:t>
            </w:r>
          </w:p>
        </w:tc>
        <w:tc>
          <w:tcPr/>
          <w:p>
            <w:pPr>
              <w:pStyle w:val="Compact"/>
            </w:pPr>
            <w:r>
              <w:t xml:space="preserve">0.94</w:t>
            </w:r>
          </w:p>
        </w:tc>
        <w:tc>
          <w:tcPr/>
          <w:p>
            <w:pPr>
              <w:pStyle w:val="Compact"/>
            </w:pPr>
            <w:r>
              <w:t xml:space="preserve">-0.06</w:t>
            </w:r>
          </w:p>
        </w:tc>
      </w:tr>
      <w:tr>
        <w:tc>
          <w:tcPr/>
          <w:p>
            <w:pPr>
              <w:pStyle w:val="Compact"/>
            </w:pPr>
            <w:r>
              <w:t xml:space="preserve">T (K)</w:t>
            </w:r>
          </w:p>
        </w:tc>
        <w:tc>
          <w:tcPr/>
          <w:p>
            <w:pPr>
              <w:pStyle w:val="Compact"/>
            </w:pPr>
            <w:r>
              <w:t xml:space="preserve">298</w:t>
            </w:r>
          </w:p>
        </w:tc>
        <w:tc>
          <w:tcPr/>
          <w:p>
            <w:pPr>
              <w:pStyle w:val="Compact"/>
            </w:pPr>
            <w:r>
              <w:t xml:space="preserve">298</w:t>
            </w:r>
          </w:p>
        </w:tc>
        <w:tc>
          <w:tcPr/>
          <w:p>
            <w:pPr>
              <w:pStyle w:val="Compact"/>
            </w:pPr>
            <w:r>
              <w:t xml:space="preserve">0</w:t>
            </w:r>
          </w:p>
        </w:tc>
      </w:tr>
      <w:tr>
        <w:tc>
          <w:tcPr/>
          <w:p>
            <w:pPr>
              <w:pStyle w:val="Compact"/>
            </w:pPr>
            <w:r>
              <w:t xml:space="preserve">[D2EHPA] (M)</w:t>
            </w:r>
          </w:p>
        </w:tc>
        <w:tc>
          <w:tcPr/>
          <w:p>
            <w:pPr>
              <w:pStyle w:val="Compact"/>
            </w:pPr>
            <w:r>
              <w:t xml:space="preserve">0.5</w:t>
            </w:r>
          </w:p>
        </w:tc>
        <w:tc>
          <w:tcPr/>
          <w:p>
            <w:pPr>
              <w:pStyle w:val="Compact"/>
            </w:pPr>
            <w:r>
              <w:t xml:space="preserve">0.5</w:t>
            </w:r>
          </w:p>
        </w:tc>
        <w:tc>
          <w:tcPr/>
          <w:p>
            <w:pPr>
              <w:pStyle w:val="Compact"/>
            </w:pPr>
            <w:r>
              <w:t xml:space="preserve">0</w:t>
            </w:r>
          </w:p>
        </w:tc>
      </w:tr>
      <w:tr>
        <w:tc>
          <w:tcPr/>
          <w:p>
            <w:pPr>
              <w:pStyle w:val="Compact"/>
            </w:pPr>
            <w:r>
              <w:rPr>
                <w:b/>
                <w:bCs/>
              </w:rPr>
              <w:t xml:space="preserve">Dy purity</w:t>
            </w:r>
          </w:p>
        </w:tc>
        <w:tc>
          <w:tcPr/>
          <w:p>
            <w:pPr>
              <w:pStyle w:val="Compact"/>
            </w:pPr>
            <w:r>
              <w:t xml:space="preserve">58.1%</w:t>
            </w:r>
          </w:p>
        </w:tc>
        <w:tc>
          <w:tcPr/>
          <w:p>
            <w:pPr>
              <w:pStyle w:val="Compact"/>
            </w:pPr>
            <w:r>
              <w:rPr>
                <w:b/>
                <w:bCs/>
              </w:rPr>
              <w:t xml:space="preserve">78.8%</w:t>
            </w:r>
          </w:p>
        </w:tc>
        <w:tc>
          <w:tcPr/>
          <w:p>
            <w:pPr>
              <w:pStyle w:val="Compact"/>
            </w:pPr>
            <w:r>
              <w:t xml:space="preserve">+20.8%</w:t>
            </w:r>
          </w:p>
        </w:tc>
      </w:tr>
      <w:tr>
        <w:tc>
          <w:tcPr/>
          <w:p>
            <w:pPr>
              <w:pStyle w:val="Compact"/>
            </w:pPr>
            <w:r>
              <w:t xml:space="preserve">Dy recovery</w:t>
            </w:r>
          </w:p>
        </w:tc>
        <w:tc>
          <w:tcPr/>
          <w:p>
            <w:pPr>
              <w:pStyle w:val="Compact"/>
            </w:pPr>
            <w:r>
              <w:t xml:space="preserve">92.8%</w:t>
            </w:r>
          </w:p>
        </w:tc>
        <w:tc>
          <w:tcPr/>
          <w:p>
            <w:pPr>
              <w:pStyle w:val="Compact"/>
            </w:pPr>
            <w:r>
              <w:t xml:space="preserve">79.1%</w:t>
            </w:r>
          </w:p>
        </w:tc>
        <w:tc>
          <w:tcPr/>
          <w:p>
            <w:pPr>
              <w:pStyle w:val="Compact"/>
            </w:pPr>
            <w:r>
              <w:t xml:space="preserve">-13.8%</w:t>
            </w:r>
          </w:p>
        </w:tc>
      </w:tr>
    </w:tbl>
    <w:p>
      <w:pPr>
        <w:pStyle w:val="BodyText"/>
      </w:pPr>
      <w:r>
        <w:t xml:space="preserve">The optimization improves purity by 20.8 percentage points by operating at lower pH, which reduces D_Nd more than D_Dy, improving selectivity. The recovery constraint is active at exactly 80%, indicating the trade-off between purity and recovery.</w:t>
      </w:r>
    </w:p>
    <w:p>
      <w:pPr>
        <w:pStyle w:val="CaptionedFigure"/>
      </w:pPr>
      <w:r>
        <w:drawing>
          <wp:inline>
            <wp:extent cx="5334000" cy="3810000"/>
            <wp:effectExtent b="0" l="0" r="0" t="0"/>
            <wp:docPr descr="Figure 3: Contour plot of Dy purity as function of pH and O/A ratio, showing optimization trajectory from base case (pH=3, O/A=1) to optimum (pH=2.73, O/A=0.94). Red dashed line indicates 80% recovery constraint boundary." title="" id="55" name="Picture"/>
            <a:graphic>
              <a:graphicData uri="http://schemas.openxmlformats.org/drawingml/2006/picture">
                <pic:pic>
                  <pic:nvPicPr>
                    <pic:cNvPr descr="figures/fig3_contour_optimization.png" id="56" name="Picture"/>
                    <pic:cNvPicPr>
                      <a:picLocks noChangeArrowheads="1" noChangeAspect="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3: Contour plot of Dy purity as function of pH and O/A ratio, showing optimization trajectory from base case (pH=3, O/A=1) to optimum (pH=2.73, O/A=0.94). Red dashed line indicates 80% recovery constraint boundary.</w:t>
      </w:r>
    </w:p>
    <w:p>
      <w:pPr>
        <w:pStyle w:val="BodyText"/>
      </w:pPr>
      <w:r>
        <w:rPr>
          <w:b/>
          <w:bCs/>
        </w:rPr>
        <w:t xml:space="preserve">Figure 3</w:t>
      </w:r>
      <w:r>
        <w:t xml:space="preserve"> </w:t>
      </w:r>
      <w:r>
        <w:t xml:space="preserve">shows the optimization trajectory on a contour plot of Dy purity versus pH and O/A ratio.</w:t>
      </w:r>
      <w:r>
        <w:rPr>
          <w:rStyle w:val="FootnoteReference"/>
        </w:rPr>
        <w:footnoteReference w:id="57"/>
      </w:r>
    </w:p>
    <w:bookmarkEnd w:id="58"/>
    <w:bookmarkStart w:id="63" w:name="multi-objective-pareto-analysis"/>
    <w:p>
      <w:pPr>
        <w:pStyle w:val="Heading3"/>
      </w:pPr>
      <w:r>
        <w:t xml:space="preserve">3.4 Multi-Objective Pareto Analysis</w:t>
      </w:r>
    </w:p>
    <w:p>
      <w:pPr>
        <w:pStyle w:val="CaptionedFigure"/>
      </w:pPr>
      <w:r>
        <w:drawing>
          <wp:inline>
            <wp:extent cx="5334000" cy="4445000"/>
            <wp:effectExtent b="0" l="0" r="0" t="0"/>
            <wp:docPr descr="Figure 4: Pareto front of Dy purity vs recovery, with points colored by annual cost. Trade-off between purity and recovery is evident, with high purity (&gt;90%) requiring low recovery (&lt;40%)." title="" id="60" name="Picture"/>
            <a:graphic>
              <a:graphicData uri="http://schemas.openxmlformats.org/drawingml/2006/picture">
                <pic:pic>
                  <pic:nvPicPr>
                    <pic:cNvPr descr="figures/fig4_pareto_front.png" id="61" name="Picture"/>
                    <pic:cNvPicPr>
                      <a:picLocks noChangeArrowheads="1" noChangeAspect="1"/>
                    </pic:cNvPicPr>
                  </pic:nvPicPr>
                  <pic:blipFill>
                    <a:blip r:embed="rId59"/>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 Pareto front of Dy purity vs recovery, with points colored by annual cost. Trade-off between purity and recovery is evident, with high purity (&gt;90%) requiring low recovery (&lt;40%).</w:t>
      </w:r>
    </w:p>
    <w:p>
      <w:pPr>
        <w:pStyle w:val="BodyText"/>
      </w:pPr>
      <w:r>
        <w:rPr>
          <w:b/>
          <w:bCs/>
        </w:rPr>
        <w:t xml:space="preserve">Figure 4</w:t>
      </w:r>
      <w:r>
        <w:t xml:space="preserve"> </w:t>
      </w:r>
      <w:r>
        <w:t xml:space="preserve">presents the Pareto front illustrating the purity-recovery trade-off, with points colored by annual cost.</w:t>
      </w:r>
      <w:r>
        <w:rPr>
          <w:rStyle w:val="FootnoteReference"/>
        </w:rPr>
        <w:footnoteReference w:id="62"/>
      </w:r>
      <w:r>
        <w:t xml:space="preserve"> </w:t>
      </w:r>
      <w:r>
        <w:rPr>
          <w:b/>
          <w:bCs/>
        </w:rPr>
        <w:t xml:space="preserve">Table 5</w:t>
      </w:r>
      <w:r>
        <w:t xml:space="preserve"> </w:t>
      </w:r>
      <w:r>
        <w:t xml:space="preserve">highlights three characteristic Pareto-optimal points.</w:t>
      </w:r>
    </w:p>
    <w:p>
      <w:pPr>
        <w:pStyle w:val="BodyText"/>
      </w:pPr>
      <w:r>
        <w:rPr>
          <w:b/>
          <w:bCs/>
        </w:rPr>
        <w:t xml:space="preserve">Table 5: Selected Pareto Front Points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Point</w:t>
            </w:r>
          </w:p>
        </w:tc>
        <w:tc>
          <w:tcPr/>
          <w:p>
            <w:pPr>
              <w:pStyle w:val="Compact"/>
            </w:pPr>
            <w:r>
              <w:t xml:space="preserve">Purity</w:t>
            </w:r>
          </w:p>
        </w:tc>
        <w:tc>
          <w:tcPr/>
          <w:p>
            <w:pPr>
              <w:pStyle w:val="Compact"/>
            </w:pPr>
            <w:r>
              <w:t xml:space="preserve">Recovery</w:t>
            </w:r>
          </w:p>
        </w:tc>
        <w:tc>
          <w:tcPr/>
          <w:p>
            <w:pPr>
              <w:pStyle w:val="Compact"/>
            </w:pPr>
            <w:r>
              <w:t xml:space="preserve">Cost (k$/yr)</w:t>
            </w:r>
          </w:p>
        </w:tc>
        <w:tc>
          <w:tcPr/>
          <w:p>
            <w:pPr>
              <w:pStyle w:val="Compact"/>
            </w:pPr>
            <w:r>
              <w:t xml:space="preserve">pH</w:t>
            </w:r>
          </w:p>
        </w:tc>
        <w:tc>
          <w:tcPr/>
          <w:p>
            <w:pPr>
              <w:pStyle w:val="Compact"/>
            </w:pPr>
            <w:r>
              <w:t xml:space="preserve">O/A</w:t>
            </w:r>
          </w:p>
        </w:tc>
      </w:tr>
      <w:tr>
        <w:tc>
          <w:tcPr/>
          <w:p>
            <w:pPr>
              <w:pStyle w:val="Compact"/>
            </w:pPr>
            <w:r>
              <w:t xml:space="preserve">High purity</w:t>
            </w:r>
          </w:p>
        </w:tc>
        <w:tc>
          <w:tcPr/>
          <w:p>
            <w:pPr>
              <w:pStyle w:val="Compact"/>
            </w:pPr>
            <w:r>
              <w:t xml:space="preserve">91.7%</w:t>
            </w:r>
          </w:p>
        </w:tc>
        <w:tc>
          <w:tcPr/>
          <w:p>
            <w:pPr>
              <w:pStyle w:val="Compact"/>
            </w:pPr>
            <w:r>
              <w:t xml:space="preserve">34.2%</w:t>
            </w:r>
          </w:p>
        </w:tc>
        <w:tc>
          <w:tcPr/>
          <w:p>
            <w:pPr>
              <w:pStyle w:val="Compact"/>
            </w:pPr>
            <w:r>
              <w:t xml:space="preserve">40.2</w:t>
            </w:r>
          </w:p>
        </w:tc>
        <w:tc>
          <w:tcPr/>
          <w:p>
            <w:pPr>
              <w:pStyle w:val="Compact"/>
            </w:pPr>
            <w:r>
              <w:t xml:space="preserve">2.40</w:t>
            </w:r>
          </w:p>
        </w:tc>
        <w:tc>
          <w:tcPr/>
          <w:p>
            <w:pPr>
              <w:pStyle w:val="Compact"/>
            </w:pPr>
            <w:r>
              <w:t xml:space="preserve">0.89</w:t>
            </w:r>
          </w:p>
        </w:tc>
      </w:tr>
      <w:tr>
        <w:tc>
          <w:tcPr/>
          <w:p>
            <w:pPr>
              <w:pStyle w:val="Compact"/>
            </w:pPr>
            <w:r>
              <w:t xml:space="preserve">Balanced</w:t>
            </w:r>
          </w:p>
        </w:tc>
        <w:tc>
          <w:tcPr/>
          <w:p>
            <w:pPr>
              <w:pStyle w:val="Compact"/>
            </w:pPr>
            <w:r>
              <w:t xml:space="preserve">76.7%</w:t>
            </w:r>
          </w:p>
        </w:tc>
        <w:tc>
          <w:tcPr/>
          <w:p>
            <w:pPr>
              <w:pStyle w:val="Compact"/>
            </w:pPr>
            <w:r>
              <w:t xml:space="preserve">81.6%</w:t>
            </w:r>
          </w:p>
        </w:tc>
        <w:tc>
          <w:tcPr/>
          <w:p>
            <w:pPr>
              <w:pStyle w:val="Compact"/>
            </w:pPr>
            <w:r>
              <w:t xml:space="preserve">57.6</w:t>
            </w:r>
          </w:p>
        </w:tc>
        <w:tc>
          <w:tcPr/>
          <w:p>
            <w:pPr>
              <w:pStyle w:val="Compact"/>
            </w:pPr>
            <w:r>
              <w:t xml:space="preserve">2.74</w:t>
            </w:r>
          </w:p>
        </w:tc>
        <w:tc>
          <w:tcPr/>
          <w:p>
            <w:pPr>
              <w:pStyle w:val="Compact"/>
            </w:pPr>
            <w:r>
              <w:t xml:space="preserve">0.95</w:t>
            </w:r>
          </w:p>
        </w:tc>
      </w:tr>
      <w:tr>
        <w:tc>
          <w:tcPr/>
          <w:p>
            <w:pPr>
              <w:pStyle w:val="Compact"/>
            </w:pPr>
            <w:r>
              <w:t xml:space="preserve">High recovery</w:t>
            </w:r>
          </w:p>
        </w:tc>
        <w:tc>
          <w:tcPr/>
          <w:p>
            <w:pPr>
              <w:pStyle w:val="Compact"/>
            </w:pPr>
            <w:r>
              <w:t xml:space="preserve">53.9%</w:t>
            </w:r>
          </w:p>
        </w:tc>
        <w:tc>
          <w:tcPr/>
          <w:p>
            <w:pPr>
              <w:pStyle w:val="Compact"/>
            </w:pPr>
            <w:r>
              <w:t xml:space="preserve">94.1%</w:t>
            </w:r>
          </w:p>
        </w:tc>
        <w:tc>
          <w:tcPr/>
          <w:p>
            <w:pPr>
              <w:pStyle w:val="Compact"/>
            </w:pPr>
            <w:r>
              <w:t xml:space="preserve">89.8</w:t>
            </w:r>
          </w:p>
        </w:tc>
        <w:tc>
          <w:tcPr/>
          <w:p>
            <w:pPr>
              <w:pStyle w:val="Compact"/>
            </w:pPr>
            <w:r>
              <w:t xml:space="preserve">3.17</w:t>
            </w:r>
          </w:p>
        </w:tc>
        <w:tc>
          <w:tcPr/>
          <w:p>
            <w:pPr>
              <w:pStyle w:val="Compact"/>
            </w:pPr>
            <w:r>
              <w:t xml:space="preserve">1.03</w:t>
            </w:r>
          </w:p>
        </w:tc>
      </w:tr>
    </w:tbl>
    <w:p>
      <w:pPr>
        <w:pStyle w:val="BodyText"/>
      </w:pPr>
      <w:r>
        <w:t xml:space="preserve">The Pareto front reveals that achieving &gt;90% Dy purity requires accepting recovery below 40%. For industrial processes where both high purity and high recovery are required, multiple stages would be necessary.</w:t>
      </w:r>
    </w:p>
    <w:bookmarkEnd w:id="63"/>
    <w:bookmarkStart w:id="69" w:name="uncertainty-propagation-1"/>
    <w:p>
      <w:pPr>
        <w:pStyle w:val="Heading3"/>
      </w:pPr>
      <w:r>
        <w:t xml:space="preserve">3.5 Uncertainty Propagation</w:t>
      </w:r>
    </w:p>
    <w:p>
      <w:pPr>
        <w:pStyle w:val="FirstParagraph"/>
      </w:pPr>
      <w:r>
        <w:rPr>
          <w:b/>
          <w:bCs/>
        </w:rPr>
        <w:t xml:space="preserve">Table 8</w:t>
      </w:r>
      <w:r>
        <w:t xml:space="preserve"> </w:t>
      </w:r>
      <w:r>
        <w:t xml:space="preserve">shows the propagated uncertainty from ±15% relative error in D coefficient measurements.</w:t>
      </w:r>
      <w:r>
        <w:rPr>
          <w:rStyle w:val="FootnoteReference"/>
        </w:rPr>
        <w:footnoteReference w:id="64"/>
      </w:r>
    </w:p>
    <w:p>
      <w:pPr>
        <w:pStyle w:val="BodyText"/>
      </w:pPr>
      <w:r>
        <w:rPr>
          <w:b/>
          <w:bCs/>
        </w:rPr>
        <w:t xml:space="preserve">Table 8: Propagated Uncertainty (±15% D Measurement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p>
        </w:tc>
        <w:tc>
          <w:tcPr/>
          <w:p>
            <w:pPr>
              <w:pStyle w:val="Compact"/>
            </w:pPr>
            <w:r>
              <w:t xml:space="preserve">Base Value</w:t>
            </w:r>
          </w:p>
        </w:tc>
        <w:tc>
          <w:tcPr/>
          <w:p>
            <w:pPr>
              <w:pStyle w:val="Compact"/>
            </w:pPr>
            <w:r>
              <w:t xml:space="preserve">σ</w:t>
            </w:r>
          </w:p>
        </w:tc>
        <w:tc>
          <w:tcPr/>
          <w:p>
            <w:pPr>
              <w:pStyle w:val="Compact"/>
            </w:pPr>
            <w:r>
              <w:t xml:space="preserve">95% CI</w:t>
            </w:r>
          </w:p>
        </w:tc>
      </w:tr>
      <w:tr>
        <w:tc>
          <w:tcPr/>
          <w:p>
            <w:pPr>
              <w:pStyle w:val="Compact"/>
            </w:pPr>
            <w:r>
              <w:t xml:space="preserve">Dy purity</w:t>
            </w:r>
          </w:p>
        </w:tc>
        <w:tc>
          <w:tcPr/>
          <w:p>
            <w:pPr>
              <w:pStyle w:val="Compact"/>
            </w:pPr>
            <w:r>
              <w:t xml:space="preserve">58.1%</w:t>
            </w:r>
          </w:p>
        </w:tc>
        <w:tc>
          <w:tcPr/>
          <w:p>
            <w:pPr>
              <w:pStyle w:val="Compact"/>
            </w:pPr>
            <w:r>
              <w:t xml:space="preserve">1.1%</w:t>
            </w:r>
          </w:p>
        </w:tc>
        <w:tc>
          <w:tcPr/>
          <w:p>
            <w:pPr>
              <w:pStyle w:val="Compact"/>
            </w:pPr>
            <w:r>
              <w:t xml:space="preserve">[55.9, 60.2]%</w:t>
            </w:r>
          </w:p>
        </w:tc>
      </w:tr>
      <w:tr>
        <w:tc>
          <w:tcPr/>
          <w:p>
            <w:pPr>
              <w:pStyle w:val="Compact"/>
            </w:pPr>
            <w:r>
              <w:t xml:space="preserve">Dy recovery</w:t>
            </w:r>
          </w:p>
        </w:tc>
        <w:tc>
          <w:tcPr/>
          <w:p>
            <w:pPr>
              <w:pStyle w:val="Compact"/>
            </w:pPr>
            <w:r>
              <w:t xml:space="preserve">92.8%</w:t>
            </w:r>
          </w:p>
        </w:tc>
        <w:tc>
          <w:tcPr/>
          <w:p>
            <w:pPr>
              <w:pStyle w:val="Compact"/>
            </w:pPr>
            <w:r>
              <w:t xml:space="preserve">0.4%</w:t>
            </w:r>
          </w:p>
        </w:tc>
        <w:tc>
          <w:tcPr/>
          <w:p>
            <w:pPr>
              <w:pStyle w:val="Compact"/>
            </w:pPr>
            <w:r>
              <w:t xml:space="preserve">[92.1, 93.5]%</w:t>
            </w:r>
          </w:p>
        </w:tc>
      </w:tr>
    </w:tbl>
    <w:p>
      <w:pPr>
        <w:pStyle w:val="BodyText"/>
      </w:pPr>
      <w:r>
        <w:t xml:space="preserve">The uncertainty in recovery (±0.4%) is smaller than in purity (±1.1%) because recovery depends primarily on D_Dy, while purity depends on the</w:t>
      </w:r>
      <w:r>
        <w:t xml:space="preserve"> </w:t>
      </w:r>
      <w:r>
        <w:rPr>
          <w:i/>
          <w:iCs/>
        </w:rPr>
        <w:t xml:space="preserve">ratio</w:t>
      </w:r>
      <w:r>
        <w:t xml:space="preserve"> </w:t>
      </w:r>
      <w:r>
        <w:t xml:space="preserve">of both D values.</w:t>
      </w:r>
    </w:p>
    <w:p>
      <w:pPr>
        <w:pStyle w:val="CaptionedFigure"/>
      </w:pPr>
      <w:r>
        <w:drawing>
          <wp:inline>
            <wp:extent cx="5334000" cy="4000500"/>
            <wp:effectExtent b="0" l="0" r="0" t="0"/>
            <wp:docPr descr="Figure 6: Purity prediction with ±15% D coefficient uncertainty bands across pH range. Shaded region shows 95% confidence interval from analytical uncertainty propagation." title="" id="66" name="Picture"/>
            <a:graphic>
              <a:graphicData uri="http://schemas.openxmlformats.org/drawingml/2006/picture">
                <pic:pic>
                  <pic:nvPicPr>
                    <pic:cNvPr descr="figures/fig6_uncertainty_bands.png" id="67" name="Picture"/>
                    <pic:cNvPicPr>
                      <a:picLocks noChangeArrowheads="1" noChangeAspect="1"/>
                    </pic:cNvPicPr>
                  </pic:nvPicPr>
                  <pic:blipFill>
                    <a:blip r:embed="rId6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6: Purity prediction with ±15% D coefficient uncertainty bands across pH range. Shaded region shows 95% confidence interval from analytical uncertainty propagation.</w:t>
      </w:r>
    </w:p>
    <w:p>
      <w:pPr>
        <w:pStyle w:val="BodyText"/>
      </w:pPr>
      <w:r>
        <w:rPr>
          <w:b/>
          <w:bCs/>
        </w:rPr>
        <w:t xml:space="preserve">Figure 6</w:t>
      </w:r>
      <w:r>
        <w:t xml:space="preserve"> </w:t>
      </w:r>
      <w:r>
        <w:t xml:space="preserve">shows purity predictions with uncertainty bands across the pH range.</w:t>
      </w:r>
      <w:r>
        <w:rPr>
          <w:rStyle w:val="FootnoteReference"/>
        </w:rPr>
        <w:footnoteReference w:id="68"/>
      </w:r>
      <w:r>
        <w:t xml:space="preserve"> </w:t>
      </w:r>
      <w:r>
        <w:t xml:space="preserve">The analytical uncertainty propagation method matches Monte Carlo simulation (10,000 samples) while being &gt;1000× faster, requiring only a single gradient computation.</w:t>
      </w:r>
    </w:p>
    <w:bookmarkEnd w:id="69"/>
    <w:bookmarkStart w:id="74" w:name="technoeconomic-analysis"/>
    <w:p>
      <w:pPr>
        <w:pStyle w:val="Heading3"/>
      </w:pPr>
      <w:r>
        <w:t xml:space="preserve">3.6 Technoeconomic Analysis</w:t>
      </w:r>
    </w:p>
    <w:p>
      <w:pPr>
        <w:pStyle w:val="FirstParagraph"/>
      </w:pPr>
      <w:r>
        <w:rPr>
          <w:b/>
          <w:bCs/>
        </w:rPr>
        <w:t xml:space="preserve">Table 9</w:t>
      </w:r>
      <w:r>
        <w:t xml:space="preserve"> </w:t>
      </w:r>
      <w:r>
        <w:t xml:space="preserve">presents the cost breakdown at base case conditions.</w:t>
      </w:r>
      <w:r>
        <w:rPr>
          <w:rStyle w:val="FootnoteReference"/>
        </w:rPr>
        <w:footnoteReference w:id="70"/>
      </w:r>
    </w:p>
    <w:p>
      <w:pPr>
        <w:pStyle w:val="CaptionedFigure"/>
      </w:pPr>
      <w:r>
        <w:drawing>
          <wp:inline>
            <wp:extent cx="5334000" cy="2133600"/>
            <wp:effectExtent b="0" l="0" r="0" t="0"/>
            <wp:docPr descr="Figure 7: Cost breakdown pie chart and bar chart showing relative importance of cost components." title="" id="72" name="Picture"/>
            <a:graphic>
              <a:graphicData uri="http://schemas.openxmlformats.org/drawingml/2006/picture">
                <pic:pic>
                  <pic:nvPicPr>
                    <pic:cNvPr descr="figures/fig7_cost_breakdown.png" id="73" name="Picture"/>
                    <pic:cNvPicPr>
                      <a:picLocks noChangeArrowheads="1" noChangeAspect="1"/>
                    </pic:cNvPicPr>
                  </pic:nvPicPr>
                  <pic:blipFill>
                    <a:blip r:embed="rId7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Figure 7: Cost breakdown pie chart and bar chart showing relative importance of cost components.</w:t>
      </w:r>
    </w:p>
    <w:p>
      <w:pPr>
        <w:pStyle w:val="BodyText"/>
      </w:pPr>
      <w:r>
        <w:rPr>
          <w:b/>
          <w:bCs/>
        </w:rPr>
        <w:t xml:space="preserve">Table 9: Cost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Annual Cost ($/yr)</w:t>
            </w:r>
          </w:p>
        </w:tc>
        <w:tc>
          <w:tcPr/>
          <w:p>
            <w:pPr>
              <w:pStyle w:val="Compact"/>
            </w:pPr>
            <w:r>
              <w:t xml:space="preserve">% of Total</w:t>
            </w:r>
          </w:p>
        </w:tc>
      </w:tr>
      <w:tr>
        <w:tc>
          <w:tcPr/>
          <w:p>
            <w:pPr>
              <w:pStyle w:val="Compact"/>
            </w:pPr>
            <w:r>
              <w:t xml:space="preserve">Extractant makeup</w:t>
            </w:r>
          </w:p>
        </w:tc>
        <w:tc>
          <w:tcPr/>
          <w:p>
            <w:pPr>
              <w:pStyle w:val="Compact"/>
            </w:pPr>
            <w:r>
              <w:t xml:space="preserve">25,239</w:t>
            </w:r>
          </w:p>
        </w:tc>
        <w:tc>
          <w:tcPr/>
          <w:p>
            <w:pPr>
              <w:pStyle w:val="Compact"/>
            </w:pPr>
            <w:r>
              <w:t xml:space="preserve">35%</w:t>
            </w:r>
          </w:p>
        </w:tc>
      </w:tr>
      <w:tr>
        <w:tc>
          <w:tcPr/>
          <w:p>
            <w:pPr>
              <w:pStyle w:val="Compact"/>
            </w:pPr>
            <w:r>
              <w:t xml:space="preserve">Acid/base (pH control)</w:t>
            </w:r>
          </w:p>
        </w:tc>
        <w:tc>
          <w:tcPr/>
          <w:p>
            <w:pPr>
              <w:pStyle w:val="Compact"/>
            </w:pPr>
            <w:r>
              <w:t xml:space="preserve">18,028</w:t>
            </w:r>
          </w:p>
        </w:tc>
        <w:tc>
          <w:tcPr/>
          <w:p>
            <w:pPr>
              <w:pStyle w:val="Compact"/>
            </w:pPr>
            <w:r>
              <w:t xml:space="preserve">25%</w:t>
            </w:r>
          </w:p>
        </w:tc>
      </w:tr>
      <w:tr>
        <w:tc>
          <w:tcPr/>
          <w:p>
            <w:pPr>
              <w:pStyle w:val="Compact"/>
            </w:pPr>
            <w:r>
              <w:t xml:space="preserve">Utilities</w:t>
            </w:r>
          </w:p>
        </w:tc>
        <w:tc>
          <w:tcPr/>
          <w:p>
            <w:pPr>
              <w:pStyle w:val="Compact"/>
            </w:pPr>
            <w:r>
              <w:t xml:space="preserve">10,817</w:t>
            </w:r>
          </w:p>
        </w:tc>
        <w:tc>
          <w:tcPr/>
          <w:p>
            <w:pPr>
              <w:pStyle w:val="Compact"/>
            </w:pPr>
            <w:r>
              <w:t xml:space="preserve">15%</w:t>
            </w:r>
          </w:p>
        </w:tc>
      </w:tr>
      <w:tr>
        <w:tc>
          <w:tcPr/>
          <w:p>
            <w:pPr>
              <w:pStyle w:val="Compact"/>
            </w:pPr>
            <w:r>
              <w:t xml:space="preserve">CAPEX (annualized)</w:t>
            </w:r>
          </w:p>
        </w:tc>
        <w:tc>
          <w:tcPr/>
          <w:p>
            <w:pPr>
              <w:pStyle w:val="Compact"/>
            </w:pPr>
            <w:r>
              <w:t xml:space="preserve">18,028</w:t>
            </w:r>
          </w:p>
        </w:tc>
        <w:tc>
          <w:tcPr/>
          <w:p>
            <w:pPr>
              <w:pStyle w:val="Compact"/>
            </w:pPr>
            <w:r>
              <w:t xml:space="preserve">25%</w:t>
            </w:r>
          </w:p>
        </w:tc>
      </w:tr>
      <w:tr>
        <w:tc>
          <w:tcPr/>
          <w:p>
            <w:pPr>
              <w:pStyle w:val="Compact"/>
            </w:pPr>
            <w:r>
              <w:rPr>
                <w:b/>
                <w:bCs/>
              </w:rPr>
              <w:t xml:space="preserve">Total</w:t>
            </w:r>
          </w:p>
        </w:tc>
        <w:tc>
          <w:tcPr/>
          <w:p>
            <w:pPr>
              <w:pStyle w:val="Compact"/>
            </w:pPr>
            <w:r>
              <w:rPr>
                <w:b/>
                <w:bCs/>
              </w:rPr>
              <w:t xml:space="preserve">72,110</w:t>
            </w:r>
          </w:p>
        </w:tc>
        <w:tc>
          <w:tcPr/>
          <w:p>
            <w:pPr>
              <w:pStyle w:val="Compact"/>
            </w:pPr>
            <w:r>
              <w:t xml:space="preserve">100%</w:t>
            </w:r>
          </w:p>
        </w:tc>
      </w:tr>
    </w:tbl>
    <w:p>
      <w:pPr>
        <w:pStyle w:val="BodyText"/>
      </w:pPr>
      <w:r>
        <w:t xml:space="preserve">The differentiable framework enables direct computation of economic sensitivities. Gradient-based analysis shows that increasing O/A ratio has the largest impact on annual cost, followed by pH control requirements.</w:t>
      </w:r>
    </w:p>
    <w:bookmarkEnd w:id="74"/>
    <w:bookmarkStart w:id="76" w:name="X24eea384418b6eeface650e8d655cd0c07e9bb1"/>
    <w:p>
      <w:pPr>
        <w:pStyle w:val="Heading3"/>
      </w:pPr>
      <w:r>
        <w:t xml:space="preserve">3.7 Comparison with Equation-Oriented Approaches</w:t>
      </w:r>
    </w:p>
    <w:p>
      <w:pPr>
        <w:pStyle w:val="FirstParagraph"/>
      </w:pPr>
      <w:r>
        <w:t xml:space="preserve">The JAX-based approach presented here complements equation-oriented frameworks like IDAES/Pyomo.</w:t>
      </w:r>
      <w:r>
        <w:rPr>
          <w:rStyle w:val="FootnoteReference"/>
        </w:rPr>
        <w:footnoteReference w:id="75"/>
      </w:r>
      <w:r>
        <w:t xml:space="preserve"> </w:t>
      </w:r>
      <w:r>
        <w:t xml:space="preserve">Key differences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JAX (This Work)</w:t>
            </w:r>
          </w:p>
        </w:tc>
        <w:tc>
          <w:tcPr/>
          <w:p>
            <w:pPr>
              <w:pStyle w:val="Compact"/>
            </w:pPr>
            <w:r>
              <w:t xml:space="preserve">IDAES/Pyomo</w:t>
            </w:r>
          </w:p>
        </w:tc>
      </w:tr>
      <w:tr>
        <w:tc>
          <w:tcPr/>
          <w:p>
            <w:pPr>
              <w:pStyle w:val="Compact"/>
            </w:pPr>
            <w:r>
              <w:t xml:space="preserve">Gradient access</w:t>
            </w:r>
          </w:p>
        </w:tc>
        <w:tc>
          <w:tcPr/>
          <w:p>
            <w:pPr>
              <w:pStyle w:val="Compact"/>
            </w:pPr>
            <w:r>
              <w:t xml:space="preserve">Direct via grad()</w:t>
            </w:r>
          </w:p>
        </w:tc>
        <w:tc>
          <w:tcPr/>
          <w:p>
            <w:pPr>
              <w:pStyle w:val="Compact"/>
            </w:pPr>
            <w:r>
              <w:t xml:space="preserve">Internal to solver</w:t>
            </w:r>
          </w:p>
        </w:tc>
      </w:tr>
      <w:tr>
        <w:tc>
          <w:tcPr/>
          <w:p>
            <w:pPr>
              <w:pStyle w:val="Compact"/>
            </w:pPr>
            <w:r>
              <w:t xml:space="preserve">Hardware</w:t>
            </w:r>
          </w:p>
        </w:tc>
        <w:tc>
          <w:tcPr/>
          <w:p>
            <w:pPr>
              <w:pStyle w:val="Compact"/>
            </w:pPr>
            <w:r>
              <w:t xml:space="preserve">GPU/TPU native</w:t>
            </w:r>
          </w:p>
        </w:tc>
        <w:tc>
          <w:tcPr/>
          <w:p>
            <w:pPr>
              <w:pStyle w:val="Compact"/>
            </w:pPr>
            <w:r>
              <w:t xml:space="preserve">CPU-bound</w:t>
            </w:r>
          </w:p>
        </w:tc>
      </w:tr>
      <w:tr>
        <w:tc>
          <w:tcPr/>
          <w:p>
            <w:pPr>
              <w:pStyle w:val="Compact"/>
            </w:pPr>
            <w:r>
              <w:t xml:space="preserve">Higher derivatives</w:t>
            </w:r>
          </w:p>
        </w:tc>
        <w:tc>
          <w:tcPr/>
          <w:p>
            <w:pPr>
              <w:pStyle w:val="Compact"/>
            </w:pPr>
            <w:r>
              <w:t xml:space="preserve">Hessian readily available</w:t>
            </w:r>
          </w:p>
        </w:tc>
        <w:tc>
          <w:tcPr/>
          <w:p>
            <w:pPr>
              <w:pStyle w:val="Compact"/>
            </w:pPr>
            <w:r>
              <w:t xml:space="preserve">Limited</w:t>
            </w:r>
          </w:p>
        </w:tc>
      </w:tr>
      <w:tr>
        <w:tc>
          <w:tcPr/>
          <w:p>
            <w:pPr>
              <w:pStyle w:val="Compact"/>
            </w:pPr>
            <w:r>
              <w:t xml:space="preserve">UQ approach</w:t>
            </w:r>
          </w:p>
        </w:tc>
        <w:tc>
          <w:tcPr/>
          <w:p>
            <w:pPr>
              <w:pStyle w:val="Compact"/>
            </w:pPr>
            <w:r>
              <w:t xml:space="preserve">Gradient propagation</w:t>
            </w:r>
          </w:p>
        </w:tc>
        <w:tc>
          <w:tcPr/>
          <w:p>
            <w:pPr>
              <w:pStyle w:val="Compact"/>
            </w:pPr>
            <w:r>
              <w:t xml:space="preserve">Stochastic programming</w:t>
            </w:r>
          </w:p>
        </w:tc>
      </w:tr>
    </w:tbl>
    <w:p>
      <w:pPr>
        <w:pStyle w:val="BodyText"/>
      </w:pPr>
      <w:r>
        <w:t xml:space="preserve">The JAX approach excels for sensitivity analysis, uncertainty quantification, and integration with machine learning, while IDAES is better suited for large-scale flowsheet optimization with integer decisions.</w:t>
      </w:r>
    </w:p>
    <w:p>
      <w:r>
        <w:pict>
          <v:rect style="width:0;height:1.5pt" o:hralign="center" o:hrstd="t" o:hr="t"/>
        </w:pict>
      </w:r>
    </w:p>
    <w:bookmarkEnd w:id="76"/>
    <w:bookmarkEnd w:id="77"/>
    <w:bookmarkStart w:id="78" w:name="conclusions"/>
    <w:p>
      <w:pPr>
        <w:pStyle w:val="Heading2"/>
      </w:pPr>
      <w:r>
        <w:t xml:space="preserve">4. Conclusions</w:t>
      </w:r>
    </w:p>
    <w:p>
      <w:pPr>
        <w:pStyle w:val="FirstParagraph"/>
      </w:pPr>
      <w:r>
        <w:t xml:space="preserve">This work demonstrates a fully differentiable framework for analyzing Nd/Dy separation by solvent extraction. The key findings are:</w:t>
      </w:r>
    </w:p>
    <w:p>
      <w:pPr>
        <w:numPr>
          <w:ilvl w:val="0"/>
          <w:numId w:val="1004"/>
        </w:numPr>
      </w:pPr>
      <w:r>
        <w:rPr>
          <w:b/>
          <w:bCs/>
        </w:rPr>
        <w:t xml:space="preserve">Exact gradients</w:t>
      </w:r>
      <w:r>
        <w:t xml:space="preserve"> </w:t>
      </w:r>
      <w:r>
        <w:t xml:space="preserve">via automatic differentiation enable efficient sensitivity analysis, revealing that extractant concentration and pH have the largest impact on Dy purity.</w:t>
      </w:r>
    </w:p>
    <w:p>
      <w:pPr>
        <w:numPr>
          <w:ilvl w:val="0"/>
          <w:numId w:val="1004"/>
        </w:numPr>
      </w:pPr>
      <w:r>
        <w:rPr>
          <w:b/>
          <w:bCs/>
        </w:rPr>
        <w:t xml:space="preserve">Gradient-based optimization</w:t>
      </w:r>
      <w:r>
        <w:t xml:space="preserve"> </w:t>
      </w:r>
      <w:r>
        <w:t xml:space="preserve">achieves 78.8% Dy purity (up from 58.1%) while maintaining ≥80% recovery, representing a 20.8 percentage point improvement.</w:t>
      </w:r>
    </w:p>
    <w:p>
      <w:pPr>
        <w:numPr>
          <w:ilvl w:val="0"/>
          <w:numId w:val="1004"/>
        </w:numPr>
      </w:pPr>
      <w:r>
        <w:rPr>
          <w:b/>
          <w:bCs/>
        </w:rPr>
        <w:t xml:space="preserve">Multi-objective Pareto analysis</w:t>
      </w:r>
      <w:r>
        <w:t xml:space="preserve"> </w:t>
      </w:r>
      <w:r>
        <w:t xml:space="preserve">quantifies the fundamental purity-recovery trade-off, showing that &gt;90% purity requires &lt;40% recovery for single-stage extraction.</w:t>
      </w:r>
    </w:p>
    <w:p>
      <w:pPr>
        <w:numPr>
          <w:ilvl w:val="0"/>
          <w:numId w:val="1004"/>
        </w:numPr>
      </w:pPr>
      <w:r>
        <w:rPr>
          <w:b/>
          <w:bCs/>
        </w:rPr>
        <w:t xml:space="preserve">Analytical uncertainty propagation</w:t>
      </w:r>
      <w:r>
        <w:t xml:space="preserve"> </w:t>
      </w:r>
      <w:r>
        <w:t xml:space="preserve">demonstrates that ±15% D measurement error yields ±1.1% purity uncertainty, with results matching Monte Carlo simulation at &gt;1000× lower computational cost.</w:t>
      </w:r>
    </w:p>
    <w:p>
      <w:pPr>
        <w:numPr>
          <w:ilvl w:val="0"/>
          <w:numId w:val="1004"/>
        </w:numPr>
      </w:pPr>
      <w:r>
        <w:rPr>
          <w:b/>
          <w:bCs/>
        </w:rPr>
        <w:t xml:space="preserve">Integrated technoeconomic sensitivity</w:t>
      </w:r>
      <w:r>
        <w:t xml:space="preserve"> </w:t>
      </w:r>
      <w:r>
        <w:t xml:space="preserve">connects operating conditions directly to annual costs, enabling cost-aware process design.</w:t>
      </w:r>
    </w:p>
    <w:p>
      <w:pPr>
        <w:pStyle w:val="FirstParagraph"/>
      </w:pPr>
      <w:r>
        <w:t xml:space="preserve">The differentiable modeling paradigm demonstrated here generalizes to multi-stage cascade design and other separation systems. By making process models</w:t>
      </w:r>
      <w:r>
        <w:t xml:space="preserve"> </w:t>
      </w:r>
      <w:r>
        <w:t xml:space="preserve">“differentiable by design,”</w:t>
      </w:r>
      <w:r>
        <w:t xml:space="preserve"> </w:t>
      </w:r>
      <w:r>
        <w:t xml:space="preserve">chemical engineers gain access to the powerful optimization and uncertainty quantification tools that have transformed machine learning and computational science.</w:t>
      </w:r>
    </w:p>
    <w:p>
      <w:r>
        <w:pict>
          <v:rect style="width:0;height:1.5pt" o:hralign="center" o:hrstd="t" o:hr="t"/>
        </w:pict>
      </w:r>
    </w:p>
    <w:bookmarkEnd w:id="78"/>
    <w:bookmarkStart w:id="79" w:name="acknowledgments"/>
    <w:p>
      <w:pPr>
        <w:pStyle w:val="Heading2"/>
      </w:pPr>
      <w:r>
        <w:t xml:space="preserve">Acknowledgments</w:t>
      </w:r>
    </w:p>
    <w:p>
      <w:pPr>
        <w:pStyle w:val="FirstParagraph"/>
      </w:pPr>
      <w:r>
        <w:t xml:space="preserve">This manuscript and associated code were developed with assistance from Claude Code (Anthropic). The differentiable modeling framework builds on the JAX library developed by Google.</w:t>
      </w:r>
    </w:p>
    <w:p>
      <w:r>
        <w:pict>
          <v:rect style="width:0;height:1.5pt" o:hralign="center" o:hrstd="t" o:hr="t"/>
        </w:pict>
      </w:r>
    </w:p>
    <w:bookmarkEnd w:id="79"/>
    <w:bookmarkStart w:id="80" w:name="references"/>
    <w:p>
      <w:pPr>
        <w:pStyle w:val="Heading2"/>
      </w:pPr>
      <w:r>
        <w:t xml:space="preserve">References</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Binnemans, K.; Jones, P. T.; Blanpain, B.; Van Gerven, T.; Yang, Y.; Walton, A.; Buchert, M. Recycling of Rare Earths: A Critical Review.</w:t>
      </w:r>
      <w:r>
        <w:t xml:space="preserve"> </w:t>
      </w:r>
      <w:r>
        <w:rPr>
          <w:i/>
          <w:iCs/>
        </w:rPr>
        <w:t xml:space="preserve">J. Clean. Prod.</w:t>
      </w:r>
      <w:r>
        <w:t xml:space="preserve"> </w:t>
      </w:r>
      <w:r>
        <w:rPr>
          <w:b/>
          <w:bCs/>
        </w:rPr>
        <w:t xml:space="preserve">2013</w:t>
      </w:r>
      <w:r>
        <w:t xml:space="preserve">,</w:t>
      </w:r>
      <w:r>
        <w:t xml:space="preserve"> </w:t>
      </w:r>
      <w:r>
        <w:rPr>
          <w:i/>
          <w:iCs/>
        </w:rPr>
        <w:t xml:space="preserve">51</w:t>
      </w:r>
      <w:r>
        <w:t xml:space="preserve">, 1-22.</w:t>
      </w:r>
    </w:p>
  </w:footnote>
  <w:footnote w:id="11">
    <w:p>
      <w:pPr>
        <w:pStyle w:val="FootnoteText"/>
      </w:pPr>
      <w:r>
        <w:rPr>
          <w:rStyle w:val="FootnoteReference"/>
        </w:rPr>
        <w:footnoteRef/>
      </w:r>
      <w:r>
        <w:t xml:space="preserve"> </w:t>
      </w:r>
      <w:r>
        <w:t xml:space="preserve">U.S. Department of Energy.</w:t>
      </w:r>
      <w:r>
        <w:t xml:space="preserve"> </w:t>
      </w:r>
      <w:r>
        <w:rPr>
          <w:i/>
          <w:iCs/>
        </w:rPr>
        <w:t xml:space="preserve">Critical Minerals Strategy</w:t>
      </w:r>
      <w:r>
        <w:t xml:space="preserve">; U.S. DOE: Washington, DC, 2021.</w:t>
      </w:r>
    </w:p>
  </w:footnote>
  <w:footnote w:id="12">
    <w:p>
      <w:pPr>
        <w:pStyle w:val="FootnoteText"/>
      </w:pPr>
      <w:r>
        <w:rPr>
          <w:rStyle w:val="FootnoteReference"/>
        </w:rPr>
        <w:footnoteRef/>
      </w:r>
      <w:r>
        <w:t xml:space="preserve"> </w:t>
      </w:r>
      <w:r>
        <w:t xml:space="preserve">Gupta, C. K.; Krishnamurthy, N.</w:t>
      </w:r>
      <w:r>
        <w:t xml:space="preserve"> </w:t>
      </w:r>
      <w:r>
        <w:rPr>
          <w:i/>
          <w:iCs/>
        </w:rPr>
        <w:t xml:space="preserve">Extractive Metallurgy of Rare Earths</w:t>
      </w:r>
      <w:r>
        <w:t xml:space="preserve">, 2nd ed.; CRC Press: Boca Raton, FL, 2005.</w:t>
      </w:r>
    </w:p>
  </w:footnote>
  <w:footnote w:id="13">
    <w:p>
      <w:pPr>
        <w:pStyle w:val="FootnoteText"/>
      </w:pPr>
      <w:r>
        <w:rPr>
          <w:rStyle w:val="FootnoteReference"/>
        </w:rPr>
        <w:footnoteRef/>
      </w:r>
      <w:r>
        <w:t xml:space="preserve"> </w:t>
      </w:r>
      <w:r>
        <w:t xml:space="preserve">Xie, F.; Zhang, T. A.; Dreisinger, D.; Doyle, F. A Critical Review on Solvent Extraction of Rare Earths from Aqueous Solutions.</w:t>
      </w:r>
      <w:r>
        <w:t xml:space="preserve"> </w:t>
      </w:r>
      <w:r>
        <w:rPr>
          <w:i/>
          <w:iCs/>
        </w:rPr>
        <w:t xml:space="preserve">Miner. Eng.</w:t>
      </w:r>
      <w:r>
        <w:t xml:space="preserve"> </w:t>
      </w:r>
      <w:r>
        <w:rPr>
          <w:b/>
          <w:bCs/>
        </w:rPr>
        <w:t xml:space="preserve">2014</w:t>
      </w:r>
      <w:r>
        <w:t xml:space="preserve">,</w:t>
      </w:r>
      <w:r>
        <w:t xml:space="preserve"> </w:t>
      </w:r>
      <w:r>
        <w:rPr>
          <w:i/>
          <w:iCs/>
        </w:rPr>
        <w:t xml:space="preserve">56</w:t>
      </w:r>
      <w:r>
        <w:t xml:space="preserve">, 10-28. https://doi.org/10.1016/j.mineng.2013.10.021</w:t>
      </w:r>
    </w:p>
  </w:footnote>
  <w:footnote w:id="15">
    <w:p>
      <w:pPr>
        <w:pStyle w:val="FootnoteText"/>
      </w:pPr>
      <w:r>
        <w:rPr>
          <w:rStyle w:val="FootnoteReference"/>
        </w:rPr>
        <w:footnoteRef/>
      </w:r>
      <w:r>
        <w:t xml:space="preserve"> </w:t>
      </w:r>
      <w:r>
        <w:t xml:space="preserve">Gupta, C. K.; Krishnamurthy, N.</w:t>
      </w:r>
      <w:r>
        <w:t xml:space="preserve"> </w:t>
      </w:r>
      <w:r>
        <w:rPr>
          <w:i/>
          <w:iCs/>
        </w:rPr>
        <w:t xml:space="preserve">Extractive Metallurgy of Rare Earths</w:t>
      </w:r>
      <w:r>
        <w:t xml:space="preserve">, 2nd ed.; CRC Press: Boca Raton, FL, 2005.</w:t>
      </w:r>
    </w:p>
  </w:footnote>
  <w:footnote w:id="16">
    <w:p>
      <w:pPr>
        <w:pStyle w:val="FootnoteText"/>
      </w:pPr>
      <w:r>
        <w:rPr>
          <w:rStyle w:val="FootnoteReference"/>
        </w:rPr>
        <w:footnoteRef/>
      </w:r>
      <w:r>
        <w:t xml:space="preserve"> </w:t>
      </w:r>
      <w:r>
        <w:t xml:space="preserve">Xie, F.; Zhang, T. A.; Dreisinger, D.; Doyle, F. A Critical Review on Solvent Extraction of Rare Earths from Aqueous Solutions.</w:t>
      </w:r>
      <w:r>
        <w:t xml:space="preserve"> </w:t>
      </w:r>
      <w:r>
        <w:rPr>
          <w:i/>
          <w:iCs/>
        </w:rPr>
        <w:t xml:space="preserve">Miner. Eng.</w:t>
      </w:r>
      <w:r>
        <w:t xml:space="preserve"> </w:t>
      </w:r>
      <w:r>
        <w:rPr>
          <w:b/>
          <w:bCs/>
        </w:rPr>
        <w:t xml:space="preserve">2014</w:t>
      </w:r>
      <w:r>
        <w:t xml:space="preserve">,</w:t>
      </w:r>
      <w:r>
        <w:t xml:space="preserve"> </w:t>
      </w:r>
      <w:r>
        <w:rPr>
          <w:i/>
          <w:iCs/>
        </w:rPr>
        <w:t xml:space="preserve">56</w:t>
      </w:r>
      <w:r>
        <w:t xml:space="preserve">, 10-28. https://doi.org/10.1016/j.mineng.2013.10.021</w:t>
      </w:r>
    </w:p>
  </w:footnote>
  <w:footnote w:id="17">
    <w:p>
      <w:pPr>
        <w:pStyle w:val="FootnoteText"/>
      </w:pPr>
      <w:r>
        <w:rPr>
          <w:rStyle w:val="FootnoteReference"/>
        </w:rPr>
        <w:footnoteRef/>
      </w:r>
      <w:r>
        <w:t xml:space="preserve"> </w:t>
      </w:r>
      <w:r>
        <w:t xml:space="preserve">Jorjani, E.; Shahbazi, M. The Production of Rare Earth Elements Group via Tributyl Phosphate Extraction and Precipitation Stripping Using Oxalic Acid.</w:t>
      </w:r>
      <w:r>
        <w:t xml:space="preserve"> </w:t>
      </w:r>
      <w:r>
        <w:rPr>
          <w:i/>
          <w:iCs/>
        </w:rPr>
        <w:t xml:space="preserve">Arab. J. Chem.</w:t>
      </w:r>
      <w:r>
        <w:t xml:space="preserve"> </w:t>
      </w:r>
      <w:r>
        <w:rPr>
          <w:b/>
          <w:bCs/>
        </w:rPr>
        <w:t xml:space="preserve">2016</w:t>
      </w:r>
      <w:r>
        <w:t xml:space="preserve">,</w:t>
      </w:r>
      <w:r>
        <w:t xml:space="preserve"> </w:t>
      </w:r>
      <w:r>
        <w:rPr>
          <w:i/>
          <w:iCs/>
        </w:rPr>
        <w:t xml:space="preserve">9</w:t>
      </w:r>
      <w:r>
        <w:t xml:space="preserve">, S1532-S1539.</w:t>
      </w:r>
    </w:p>
  </w:footnote>
  <w:footnote w:id="18">
    <w:p>
      <w:pPr>
        <w:pStyle w:val="FootnoteText"/>
      </w:pPr>
      <w:r>
        <w:rPr>
          <w:rStyle w:val="FootnoteReference"/>
        </w:rPr>
        <w:footnoteRef/>
      </w:r>
      <w:r>
        <w:t xml:space="preserve"> </w:t>
      </w:r>
      <w:r>
        <w:t xml:space="preserve">Florez, D. H. A.; et al. Simulation of Solvent Extraction Circuits for the Separation of Rare Earth Elements.</w:t>
      </w:r>
      <w:r>
        <w:t xml:space="preserve"> </w:t>
      </w:r>
      <w:r>
        <w:rPr>
          <w:i/>
          <w:iCs/>
        </w:rPr>
        <w:t xml:space="preserve">Minerals</w:t>
      </w:r>
      <w:r>
        <w:t xml:space="preserve"> </w:t>
      </w:r>
      <w:r>
        <w:rPr>
          <w:b/>
          <w:bCs/>
        </w:rPr>
        <w:t xml:space="preserve">2023</w:t>
      </w:r>
      <w:r>
        <w:t xml:space="preserve">,</w:t>
      </w:r>
      <w:r>
        <w:t xml:space="preserve"> </w:t>
      </w:r>
      <w:r>
        <w:rPr>
          <w:i/>
          <w:iCs/>
        </w:rPr>
        <w:t xml:space="preserve">13</w:t>
      </w:r>
      <w:r>
        <w:t xml:space="preserve">, 714. https://doi.org/10.3390/min13060714</w:t>
      </w:r>
    </w:p>
  </w:footnote>
  <w:footnote w:id="19">
    <w:p>
      <w:pPr>
        <w:pStyle w:val="FootnoteText"/>
      </w:pPr>
      <w:r>
        <w:rPr>
          <w:rStyle w:val="FootnoteReference"/>
        </w:rPr>
        <w:footnoteRef/>
      </w:r>
      <w:r>
        <w:t xml:space="preserve"> </w:t>
      </w:r>
      <w:r>
        <w:t xml:space="preserve">Gensch, T.; et al. Advancing Rare-Earth Separation by Machine Learning.</w:t>
      </w:r>
      <w:r>
        <w:t xml:space="preserve"> </w:t>
      </w:r>
      <w:r>
        <w:rPr>
          <w:i/>
          <w:iCs/>
        </w:rPr>
        <w:t xml:space="preserve">JACS Au</w:t>
      </w:r>
      <w:r>
        <w:t xml:space="preserve"> </w:t>
      </w:r>
      <w:r>
        <w:rPr>
          <w:b/>
          <w:bCs/>
        </w:rPr>
        <w:t xml:space="preserve">2022</w:t>
      </w:r>
      <w:r>
        <w:t xml:space="preserve">,</w:t>
      </w:r>
      <w:r>
        <w:t xml:space="preserve"> </w:t>
      </w:r>
      <w:r>
        <w:rPr>
          <w:i/>
          <w:iCs/>
        </w:rPr>
        <w:t xml:space="preserve">2</w:t>
      </w:r>
      <w:r>
        <w:t xml:space="preserve">, 1615-1623. https://doi.org/10.1021/jacsau.2c00122</w:t>
      </w:r>
    </w:p>
  </w:footnote>
  <w:footnote w:id="20">
    <w:p>
      <w:pPr>
        <w:pStyle w:val="FootnoteText"/>
      </w:pPr>
      <w:r>
        <w:rPr>
          <w:rStyle w:val="FootnoteReference"/>
        </w:rPr>
        <w:footnoteRef/>
      </w:r>
      <w:r>
        <w:t xml:space="preserve"> </w:t>
      </w:r>
      <w:r>
        <w:t xml:space="preserve">Lee, A.; Ghouse, J. H.; Eslick, J. C.; Laird, C. D.; Siirola, J. D.; Zamarripa, M. A.; Gunter, D.; Shinn, J. H.; Dowling, A. W.; Bhattacharyya, D.; Biegler, L. T.; Burgard, A. P.; Miller, D. C. The IDAES Process Modeling Framework and Model Library—Flexibility for Process Simulation and Optimization.</w:t>
      </w:r>
      <w:r>
        <w:t xml:space="preserve"> </w:t>
      </w:r>
      <w:r>
        <w:rPr>
          <w:i/>
          <w:iCs/>
        </w:rPr>
        <w:t xml:space="preserve">J. Adv. Manuf. Process.</w:t>
      </w:r>
      <w:r>
        <w:t xml:space="preserve"> </w:t>
      </w:r>
      <w:r>
        <w:rPr>
          <w:b/>
          <w:bCs/>
        </w:rPr>
        <w:t xml:space="preserve">2021</w:t>
      </w:r>
      <w:r>
        <w:t xml:space="preserve">,</w:t>
      </w:r>
      <w:r>
        <w:t xml:space="preserve"> </w:t>
      </w:r>
      <w:r>
        <w:rPr>
          <w:i/>
          <w:iCs/>
        </w:rPr>
        <w:t xml:space="preserve">3</w:t>
      </w:r>
      <w:r>
        <w:t xml:space="preserve">, e10095. https://doi.org/10.1002/amp2.10095</w:t>
      </w:r>
    </w:p>
  </w:footnote>
  <w:footnote w:id="23">
    <w:p>
      <w:pPr>
        <w:pStyle w:val="FootnoteText"/>
      </w:pPr>
      <w:r>
        <w:rPr>
          <w:rStyle w:val="FootnoteReference"/>
        </w:rPr>
        <w:footnoteRef/>
      </w:r>
      <w:r>
        <w:t xml:space="preserve"> </w:t>
      </w:r>
      <w:r>
        <w:t xml:space="preserve">Bradbury, J.; Frostig, R.; Hawkins, P.; Johnson, M. J.; Leary, C.; Maclaurin, D.; Necula, G.; Paszke, A.; VanderPlas, J.; Wanderman-Milne, S.; Zhang, Q. JAX: Composable Transformations of Python+NumPy Programs, 2018. http://github.com/google/jax</w:t>
      </w:r>
    </w:p>
  </w:footnote>
  <w:footnote w:id="30">
    <w:p>
      <w:pPr>
        <w:pStyle w:val="FootnoteText"/>
      </w:pPr>
      <w:r>
        <w:rPr>
          <w:rStyle w:val="FootnoteReference"/>
        </w:rPr>
        <w:footnoteRef/>
      </w:r>
      <w:r>
        <w:t xml:space="preserve"> </w:t>
      </w:r>
      <w:r>
        <w:t xml:space="preserve">Gupta, C. K.; Krishnamurthy, N.</w:t>
      </w:r>
      <w:r>
        <w:t xml:space="preserve"> </w:t>
      </w:r>
      <w:r>
        <w:rPr>
          <w:i/>
          <w:iCs/>
        </w:rPr>
        <w:t xml:space="preserve">Extractive Metallurgy of Rare Earths</w:t>
      </w:r>
      <w:r>
        <w:t xml:space="preserve">, 2nd ed.; CRC Press: Boca Raton, FL, 2005.</w:t>
      </w:r>
    </w:p>
  </w:footnote>
  <w:footnote w:id="31">
    <w:p>
      <w:pPr>
        <w:pStyle w:val="FootnoteText"/>
      </w:pPr>
      <w:r>
        <w:rPr>
          <w:rStyle w:val="FootnoteReference"/>
        </w:rPr>
        <w:footnoteRef/>
      </w:r>
      <w:r>
        <w:t xml:space="preserve"> </w:t>
      </w:r>
      <w:r>
        <w:t xml:space="preserve">Correlation parameters fitted to reproduce literature D values. See notebook</w:t>
      </w:r>
      <w:r>
        <w:t xml:space="preserve"> </w:t>
      </w:r>
      <w:r>
        <w:rPr>
          <w:rStyle w:val="VerbatimChar"/>
        </w:rPr>
        <w:t xml:space="preserve">02_distribution_coefficients.ipynb</w:t>
      </w:r>
      <w:r>
        <w:t xml:space="preserve">.</w:t>
      </w:r>
    </w:p>
  </w:footnote>
  <w:footnote w:id="34">
    <w:p>
      <w:pPr>
        <w:pStyle w:val="FootnoteText"/>
      </w:pPr>
      <w:r>
        <w:rPr>
          <w:rStyle w:val="FootnoteReference"/>
        </w:rPr>
        <w:footnoteRef/>
      </w:r>
      <w:r>
        <w:t xml:space="preserve"> </w:t>
      </w:r>
      <w:r>
        <w:t xml:space="preserve">Bradbury, J.; Frostig, R.; Hawkins, P.; Johnson, M. J.; Leary, C.; Maclaurin, D.; Necula, G.; Paszke, A.; VanderPlas, J.; Wanderman-Milne, S.; Zhang, Q. JAX: Composable Transformations of Python+NumPy Programs, 2018. http://github.com/google/jax</w:t>
      </w:r>
    </w:p>
  </w:footnote>
  <w:footnote w:id="38">
    <w:p>
      <w:pPr>
        <w:pStyle w:val="FootnoteText"/>
      </w:pPr>
      <w:r>
        <w:rPr>
          <w:rStyle w:val="FootnoteReference"/>
        </w:rPr>
        <w:footnoteRef/>
      </w:r>
      <w:r>
        <w:t xml:space="preserve"> </w:t>
      </w:r>
      <w:r>
        <w:t xml:space="preserve">Turton, R.; Shaeiwitz, J. A.; Bhattacharyya, D.; Whiting, W. B.</w:t>
      </w:r>
      <w:r>
        <w:t xml:space="preserve"> </w:t>
      </w:r>
      <w:r>
        <w:rPr>
          <w:i/>
          <w:iCs/>
        </w:rPr>
        <w:t xml:space="preserve">Analysis, Synthesis, and Design of Chemical Processes</w:t>
      </w:r>
      <w:r>
        <w:t xml:space="preserve">, 5th ed.; Prentice Hall: Boston, 2018.</w:t>
      </w:r>
    </w:p>
  </w:footnote>
  <w:footnote w:id="41">
    <w:p>
      <w:pPr>
        <w:pStyle w:val="FootnoteText"/>
      </w:pPr>
      <w:r>
        <w:rPr>
          <w:rStyle w:val="FootnoteReference"/>
        </w:rPr>
        <w:footnoteRef/>
      </w:r>
      <w:r>
        <w:t xml:space="preserve"> </w:t>
      </w:r>
      <w:r>
        <w:t xml:space="preserve">Results from notebook</w:t>
      </w:r>
      <w:r>
        <w:t xml:space="preserve"> </w:t>
      </w:r>
      <w:r>
        <w:rPr>
          <w:rStyle w:val="VerbatimChar"/>
        </w:rPr>
        <w:t xml:space="preserve">01_single_stage_model.ipynb</w:t>
      </w:r>
      <w:r>
        <w:t xml:space="preserve">.</w:t>
      </w:r>
    </w:p>
  </w:footnote>
  <w:footnote w:id="45">
    <w:p>
      <w:pPr>
        <w:pStyle w:val="FootnoteText"/>
      </w:pPr>
      <w:r>
        <w:rPr>
          <w:rStyle w:val="FootnoteReference"/>
        </w:rPr>
        <w:footnoteRef/>
      </w:r>
      <w:r>
        <w:t xml:space="preserve"> </w:t>
      </w:r>
      <w:r>
        <w:t xml:space="preserve">Results from notebook</w:t>
      </w:r>
      <w:r>
        <w:t xml:space="preserve"> </w:t>
      </w:r>
      <w:r>
        <w:rPr>
          <w:rStyle w:val="VerbatimChar"/>
        </w:rPr>
        <w:t xml:space="preserve">02_distribution_coefficients.ipynb</w:t>
      </w:r>
      <w:r>
        <w:t xml:space="preserve">.</w:t>
      </w:r>
    </w:p>
  </w:footnote>
  <w:footnote w:id="47">
    <w:p>
      <w:pPr>
        <w:pStyle w:val="FootnoteText"/>
      </w:pPr>
      <w:r>
        <w:rPr>
          <w:rStyle w:val="FootnoteReference"/>
        </w:rPr>
        <w:footnoteRef/>
      </w:r>
      <w:r>
        <w:t xml:space="preserve"> </w:t>
      </w:r>
      <w:r>
        <w:t xml:space="preserve">Results from notebook</w:t>
      </w:r>
      <w:r>
        <w:t xml:space="preserve"> </w:t>
      </w:r>
      <w:r>
        <w:rPr>
          <w:rStyle w:val="VerbatimChar"/>
        </w:rPr>
        <w:t xml:space="preserve">03_sensitivity_analysis.ipynb</w:t>
      </w:r>
      <w:r>
        <w:t xml:space="preserve">.</w:t>
      </w:r>
    </w:p>
  </w:footnote>
  <w:footnote w:id="51">
    <w:p>
      <w:pPr>
        <w:pStyle w:val="FootnoteText"/>
      </w:pPr>
      <w:r>
        <w:rPr>
          <w:rStyle w:val="FootnoteReference"/>
        </w:rPr>
        <w:footnoteRef/>
      </w:r>
      <w:r>
        <w:t xml:space="preserve"> </w:t>
      </w:r>
      <w:r>
        <w:t xml:space="preserve">Results from notebook</w:t>
      </w:r>
      <w:r>
        <w:t xml:space="preserve"> </w:t>
      </w:r>
      <w:r>
        <w:rPr>
          <w:rStyle w:val="VerbatimChar"/>
        </w:rPr>
        <w:t xml:space="preserve">03_sensitivity_analysis.ipynb</w:t>
      </w:r>
      <w:r>
        <w:t xml:space="preserve">.</w:t>
      </w:r>
    </w:p>
  </w:footnote>
  <w:footnote w:id="53">
    <w:p>
      <w:pPr>
        <w:pStyle w:val="FootnoteText"/>
      </w:pPr>
      <w:r>
        <w:rPr>
          <w:rStyle w:val="FootnoteReference"/>
        </w:rPr>
        <w:footnoteRef/>
      </w:r>
      <w:r>
        <w:t xml:space="preserve"> </w:t>
      </w:r>
      <w:r>
        <w:t xml:space="preserve">Results from notebook</w:t>
      </w:r>
      <w:r>
        <w:t xml:space="preserve"> </w:t>
      </w:r>
      <w:r>
        <w:rPr>
          <w:rStyle w:val="VerbatimChar"/>
        </w:rPr>
        <w:t xml:space="preserve">04_optimization.ipynb</w:t>
      </w:r>
      <w:r>
        <w:t xml:space="preserve">.</w:t>
      </w:r>
    </w:p>
  </w:footnote>
  <w:footnote w:id="57">
    <w:p>
      <w:pPr>
        <w:pStyle w:val="FootnoteText"/>
      </w:pPr>
      <w:r>
        <w:rPr>
          <w:rStyle w:val="FootnoteReference"/>
        </w:rPr>
        <w:footnoteRef/>
      </w:r>
      <w:r>
        <w:t xml:space="preserve"> </w:t>
      </w:r>
      <w:r>
        <w:t xml:space="preserve">Results from notebook</w:t>
      </w:r>
      <w:r>
        <w:t xml:space="preserve"> </w:t>
      </w:r>
      <w:r>
        <w:rPr>
          <w:rStyle w:val="VerbatimChar"/>
        </w:rPr>
        <w:t xml:space="preserve">04_optimization.ipynb</w:t>
      </w:r>
      <w:r>
        <w:t xml:space="preserve">.</w:t>
      </w:r>
    </w:p>
  </w:footnote>
  <w:footnote w:id="62">
    <w:p>
      <w:pPr>
        <w:pStyle w:val="FootnoteText"/>
      </w:pPr>
      <w:r>
        <w:rPr>
          <w:rStyle w:val="FootnoteReference"/>
        </w:rPr>
        <w:footnoteRef/>
      </w:r>
      <w:r>
        <w:t xml:space="preserve"> </w:t>
      </w:r>
      <w:r>
        <w:t xml:space="preserve">Results from notebook</w:t>
      </w:r>
      <w:r>
        <w:t xml:space="preserve"> </w:t>
      </w:r>
      <w:r>
        <w:rPr>
          <w:rStyle w:val="VerbatimChar"/>
        </w:rPr>
        <w:t xml:space="preserve">05_pareto_front.ipynb</w:t>
      </w:r>
      <w:r>
        <w:t xml:space="preserve">.</w:t>
      </w:r>
    </w:p>
  </w:footnote>
  <w:footnote w:id="64">
    <w:p>
      <w:pPr>
        <w:pStyle w:val="FootnoteText"/>
      </w:pPr>
      <w:r>
        <w:rPr>
          <w:rStyle w:val="FootnoteReference"/>
        </w:rPr>
        <w:footnoteRef/>
      </w:r>
      <w:r>
        <w:t xml:space="preserve"> </w:t>
      </w:r>
      <w:r>
        <w:t xml:space="preserve">Results from notebook</w:t>
      </w:r>
      <w:r>
        <w:t xml:space="preserve"> </w:t>
      </w:r>
      <w:r>
        <w:rPr>
          <w:rStyle w:val="VerbatimChar"/>
        </w:rPr>
        <w:t xml:space="preserve">06_uncertainty_propagation.ipynb</w:t>
      </w:r>
      <w:r>
        <w:t xml:space="preserve">.</w:t>
      </w:r>
    </w:p>
  </w:footnote>
  <w:footnote w:id="68">
    <w:p>
      <w:pPr>
        <w:pStyle w:val="FootnoteText"/>
      </w:pPr>
      <w:r>
        <w:rPr>
          <w:rStyle w:val="FootnoteReference"/>
        </w:rPr>
        <w:footnoteRef/>
      </w:r>
      <w:r>
        <w:t xml:space="preserve"> </w:t>
      </w:r>
      <w:r>
        <w:t xml:space="preserve">Results from notebook</w:t>
      </w:r>
      <w:r>
        <w:t xml:space="preserve"> </w:t>
      </w:r>
      <w:r>
        <w:rPr>
          <w:rStyle w:val="VerbatimChar"/>
        </w:rPr>
        <w:t xml:space="preserve">06_uncertainty_propagation.ipynb</w:t>
      </w:r>
      <w:r>
        <w:t xml:space="preserve">.</w:t>
      </w:r>
    </w:p>
  </w:footnote>
  <w:footnote w:id="70">
    <w:p>
      <w:pPr>
        <w:pStyle w:val="FootnoteText"/>
      </w:pPr>
      <w:r>
        <w:rPr>
          <w:rStyle w:val="FootnoteReference"/>
        </w:rPr>
        <w:footnoteRef/>
      </w:r>
      <w:r>
        <w:t xml:space="preserve"> </w:t>
      </w:r>
      <w:r>
        <w:t xml:space="preserve">Results from notebook</w:t>
      </w:r>
      <w:r>
        <w:t xml:space="preserve"> </w:t>
      </w:r>
      <w:r>
        <w:rPr>
          <w:rStyle w:val="VerbatimChar"/>
        </w:rPr>
        <w:t xml:space="preserve">07_technoeconomic_analysis.ipynb</w:t>
      </w:r>
      <w:r>
        <w:t xml:space="preserve">.</w:t>
      </w:r>
    </w:p>
  </w:footnote>
  <w:footnote w:id="75">
    <w:p>
      <w:pPr>
        <w:pStyle w:val="FootnoteText"/>
      </w:pPr>
      <w:r>
        <w:rPr>
          <w:rStyle w:val="FootnoteReference"/>
        </w:rPr>
        <w:footnoteRef/>
      </w:r>
      <w:r>
        <w:t xml:space="preserve"> </w:t>
      </w:r>
      <w:r>
        <w:t xml:space="preserve">Lee, A.; Ghouse, J. H.; Eslick, J. C.; Laird, C. D.; Siirola, J. D.; Zamarripa, M. A.; Gunter, D.; Shinn, J. H.; Dowling, A. W.; Bhattacharyya, D.; Biegler, L. T.; Burgard, A. P.; Miller, D. C. The IDAES Process Modeling Framework and Model Library—Flexibility for Process Simulation and Optimization.</w:t>
      </w:r>
      <w:r>
        <w:t xml:space="preserve"> </w:t>
      </w:r>
      <w:r>
        <w:rPr>
          <w:i/>
          <w:iCs/>
        </w:rPr>
        <w:t xml:space="preserve">J. Adv. Manuf. Process.</w:t>
      </w:r>
      <w:r>
        <w:t xml:space="preserve"> </w:t>
      </w:r>
      <w:r>
        <w:rPr>
          <w:b/>
          <w:bCs/>
        </w:rPr>
        <w:t xml:space="preserve">2021</w:t>
      </w:r>
      <w:r>
        <w:t xml:space="preserve">,</w:t>
      </w:r>
      <w:r>
        <w:t xml:space="preserve"> </w:t>
      </w:r>
      <w:r>
        <w:rPr>
          <w:i/>
          <w:iCs/>
        </w:rPr>
        <w:t xml:space="preserve">3</w:t>
      </w:r>
      <w:r>
        <w:t xml:space="preserve">, e10095. https://doi.org/10.1002/amp2.10095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48" Target="media/rId48.png" /><Relationship Type="http://schemas.openxmlformats.org/officeDocument/2006/relationships/image" Id="rId65" Target="media/rId65.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2026-01-04T22:59:36Z</dcterms:created>
  <dcterms:modified xsi:type="dcterms:W3CDTF">2026-01-04T22:59:36Z</dcterms:modified>
</cp:coreProperties>
</file>

<file path=docProps/custom.xml><?xml version="1.0" encoding="utf-8"?>
<Properties xmlns="http://schemas.openxmlformats.org/officeDocument/2006/custom-properties" xmlns:vt="http://schemas.openxmlformats.org/officeDocument/2006/docPropsVTypes"/>
</file>