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0CF1" w14:textId="77777777" w:rsidR="00AA3605" w:rsidRDefault="00000000">
      <w:pPr>
        <w:pStyle w:val="Title"/>
      </w:pPr>
      <w:r>
        <w:t>difflow: A JAX-Based Differentiable Framework for Chemical Process Simulation and Optimization</w:t>
      </w:r>
    </w:p>
    <w:p w14:paraId="6E792E5F" w14:textId="77777777" w:rsidR="00AA3605" w:rsidRDefault="00000000">
      <w:pPr>
        <w:pStyle w:val="Date"/>
      </w:pPr>
      <w:r>
        <w:t>5 January 2026</w:t>
      </w:r>
    </w:p>
    <w:p w14:paraId="39F4F4E3" w14:textId="77777777" w:rsidR="00AA3605" w:rsidRDefault="00000000">
      <w:pPr>
        <w:pStyle w:val="Heading1"/>
      </w:pPr>
      <w:bookmarkStart w:id="0" w:name="summary"/>
      <w:r>
        <w:t>Summary</w:t>
      </w:r>
    </w:p>
    <w:p w14:paraId="05638468" w14:textId="77777777" w:rsidR="00AA3605" w:rsidRDefault="00000000">
      <w:pPr>
        <w:pStyle w:val="FirstParagraph"/>
      </w:pPr>
      <w:r>
        <w:t xml:space="preserve">Chemical process simulation is fundamental to the design and optimization of industrial plants, yet most existing tools rely on finite-difference approximations or derivative-free methods for optimization. </w:t>
      </w:r>
      <w:r>
        <w:rPr>
          <w:rStyle w:val="VerbatimChar"/>
        </w:rPr>
        <w:t>difflow</w:t>
      </w:r>
      <w:r>
        <w:t xml:space="preserve"> is a Python framework that enables fully differentiable simulation of chemical processes using JAX [@jax2018github], providing exact gradients through automatic differentiation for gradient-based optimization, sensitivity analysis, and uncertainty quantification.</w:t>
      </w:r>
    </w:p>
    <w:p w14:paraId="55DB3863" w14:textId="77777777" w:rsidR="00AA3605" w:rsidRDefault="00000000">
      <w:pPr>
        <w:pStyle w:val="BodyText"/>
      </w:pPr>
      <w:r>
        <w:t>The framework implements common unit operations—reactors (CSTR, PFR, fed-batch), separators (flash, distillation, liquid-liquid extraction), and heat exchangers—with thermodynamic models ranging from ideal mixtures to cubic equations of state (Peng-Robinson, SRK). Flowsheets with recycle streams are solved using acceleration methods (Anderson, Wegstein), with gradients computed through implicit differentiation of the converged solution. A technoeconomic analysis module provides differentiable capital and operating cost correlations, enabling simultaneous technical and economic optimization.</w:t>
      </w:r>
    </w:p>
    <w:p w14:paraId="560F070E" w14:textId="77777777" w:rsidR="00AA3605" w:rsidRDefault="00000000">
      <w:pPr>
        <w:pStyle w:val="Heading1"/>
      </w:pPr>
      <w:bookmarkStart w:id="1" w:name="statement-of-need"/>
      <w:bookmarkEnd w:id="0"/>
      <w:r>
        <w:t>Statement of Need</w:t>
      </w:r>
    </w:p>
    <w:p w14:paraId="198E7CCE" w14:textId="77777777" w:rsidR="00AA3605" w:rsidRDefault="00000000">
      <w:pPr>
        <w:pStyle w:val="FirstParagraph"/>
      </w:pPr>
      <w:r>
        <w:t>Process systems engineers routinely optimize designs involving thousands of decision variables subject to complex constraints. Traditional simulators like Aspen Plus and HYSYS are powerful but closed-source, expensive, and provide only finite-difference gradients. Open-source alternatives such as DWSIM and COCO lack automatic differentiation entirely. IDAES [@idaes] built on Pyomo [@pyomo] offers equation-oriented modeling with symbolic derivatives but requires algebraic problem formulations rather than the procedural simulation approach familiar to most engineers.</w:t>
      </w:r>
    </w:p>
    <w:p w14:paraId="0A56A0B7" w14:textId="77777777" w:rsidR="00AA3605" w:rsidRDefault="00000000">
      <w:pPr>
        <w:pStyle w:val="BodyText"/>
      </w:pPr>
      <w:r>
        <w:rPr>
          <w:rStyle w:val="VerbatimChar"/>
        </w:rPr>
        <w:t>difflow</w:t>
      </w:r>
      <w:r>
        <w:t xml:space="preserve"> fills this gap by combining the intuitive sequential-modular simulation paradigm with JAX’s automatic differentiation. Users define unit operations as Python functions, compose them into flowsheets, and obtain exact gradients automatically. This enables:</w:t>
      </w:r>
    </w:p>
    <w:p w14:paraId="38603099" w14:textId="77777777" w:rsidR="00AA36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Gradient-based optimization</w:t>
      </w:r>
      <w:r>
        <w:t xml:space="preserve"> of reactor volumes, separation stages, and operating conditions</w:t>
      </w:r>
    </w:p>
    <w:p w14:paraId="5D352630" w14:textId="77777777" w:rsidR="00AA36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Sensitivity analysis</w:t>
      </w:r>
      <w:r>
        <w:t xml:space="preserve"> computing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x</m:t>
        </m:r>
      </m:oMath>
      <w:r>
        <w:t xml:space="preserve"> for any output with respect to any input</w:t>
      </w:r>
    </w:p>
    <w:p w14:paraId="5B06D9A6" w14:textId="77777777" w:rsidR="00AA36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Uncertainty propagation</w:t>
      </w:r>
      <w:r>
        <w:t xml:space="preserve"> through linear (Jacobian-based) or Monte Carlo methods</w:t>
      </w:r>
    </w:p>
    <w:p w14:paraId="30D8A9D2" w14:textId="77777777" w:rsidR="00AA360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Integration with machine learning</w:t>
      </w:r>
      <w:r>
        <w:t xml:space="preserve"> frameworks for hybrid physics-ML models</w:t>
      </w:r>
    </w:p>
    <w:p w14:paraId="02F7A214" w14:textId="77777777" w:rsidR="00AA3605" w:rsidRDefault="00000000">
      <w:pPr>
        <w:pStyle w:val="FirstParagraph"/>
      </w:pPr>
      <w:r>
        <w:t>The framework includes domain-specific plugins for biopharmaceutical manufacturing (bioreactors, chromatography, membrane filtration) and rare earth element separations (solvent extraction, precipitation), demonstrating extensibility to specialized applications.</w:t>
      </w:r>
    </w:p>
    <w:p w14:paraId="711182FF" w14:textId="77777777" w:rsidR="00AA3605" w:rsidRDefault="00000000">
      <w:pPr>
        <w:pStyle w:val="Heading1"/>
      </w:pPr>
      <w:bookmarkStart w:id="2" w:name="key-features"/>
      <w:bookmarkEnd w:id="1"/>
      <w:r>
        <w:t>Key Features</w:t>
      </w:r>
    </w:p>
    <w:p w14:paraId="47DB7783" w14:textId="77777777" w:rsidR="00AA3605" w:rsidRDefault="00000000">
      <w:pPr>
        <w:pStyle w:val="FirstParagraph"/>
      </w:pPr>
      <w:r>
        <w:rPr>
          <w:b/>
          <w:bCs/>
        </w:rPr>
        <w:t>Differentiable Unit Operations.</w:t>
      </w:r>
      <w:r>
        <w:t xml:space="preserve"> All operations support </w:t>
      </w:r>
      <w:r>
        <w:rPr>
          <w:rStyle w:val="VerbatimChar"/>
        </w:rPr>
        <w:t>jax.grad</w:t>
      </w:r>
      <w:r>
        <w:t xml:space="preserve">, </w:t>
      </w:r>
      <w:r>
        <w:rPr>
          <w:rStyle w:val="VerbatimChar"/>
        </w:rPr>
        <w:t>jax.jacobian</w:t>
      </w:r>
      <w:r>
        <w:t xml:space="preserve">, and </w:t>
      </w:r>
      <w:r>
        <w:rPr>
          <w:rStyle w:val="VerbatimChar"/>
        </w:rPr>
        <w:t>jax.jit</w:t>
      </w:r>
      <w:r>
        <w:t>:</w:t>
      </w:r>
    </w:p>
    <w:p w14:paraId="63F79269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Create base params (V will be replaced)</w:t>
      </w:r>
    </w:p>
    <w:p w14:paraId="2BB8A2AF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base_params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CSTRParams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</w:p>
    <w:p w14:paraId="6545D390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V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1.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Placeholder</w:t>
      </w:r>
    </w:p>
    <w:p w14:paraId="42D219CC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rate_fn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rate_fn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113482D3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stoich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stoich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268B98B8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rate_params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rate_params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546E89EF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species_order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species_order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2FAE6D6B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51A8624F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3D052A1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conversion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volume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29FED3D7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base_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update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volume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011A16B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reactor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CSTR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F6A5632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outlet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info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reactor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inlet_stream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1D798B37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info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"conversion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][</w:t>
      </w:r>
      <w:proofErr w:type="gramEnd"/>
      <w:r>
        <w:rPr>
          <w:rFonts w:ascii="Menlo" w:hAnsi="Menlo" w:cs="Menlo"/>
          <w:color w:val="CE9178"/>
          <w:sz w:val="18"/>
          <w:szCs w:val="18"/>
        </w:rPr>
        <w:t>"A"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5ADE88A8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2D8068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Exact gradient via automatic differentiation</w:t>
      </w:r>
    </w:p>
    <w:p w14:paraId="3AA3D46C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dX_dV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jax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grad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conversion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2.0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)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dConversion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/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dVolume</w:t>
      </w:r>
      <w:proofErr w:type="spellEnd"/>
    </w:p>
    <w:p w14:paraId="00C24962" w14:textId="77777777" w:rsidR="00AA3605" w:rsidRDefault="00000000">
      <w:pPr>
        <w:pStyle w:val="FirstParagraph"/>
      </w:pPr>
      <w:r>
        <w:rPr>
          <w:b/>
          <w:bCs/>
        </w:rPr>
        <w:t>Flowsheets with Recycles.</w:t>
      </w:r>
      <w:r>
        <w:t xml:space="preserve"> Implicit differentiation enables gradients through converged recycle loops without differentiating through iteration history.</w:t>
      </w:r>
    </w:p>
    <w:p w14:paraId="3885DC64" w14:textId="77777777" w:rsidR="00AA3605" w:rsidRDefault="00000000">
      <w:pPr>
        <w:pStyle w:val="BodyText"/>
      </w:pPr>
      <w:r>
        <w:rPr>
          <w:b/>
          <w:bCs/>
        </w:rPr>
        <w:t>Differentiable Economics.</w:t>
      </w:r>
      <w:r>
        <w:t xml:space="preserve"> Capital costs, operating costs, NPV, and minimum selling price are all JAX-compatible, enabling optimization of economic objectives directly.</w:t>
      </w:r>
    </w:p>
    <w:p w14:paraId="0264AD1E" w14:textId="77777777" w:rsidR="00AA3605" w:rsidRDefault="00000000">
      <w:pPr>
        <w:pStyle w:val="Heading1"/>
      </w:pPr>
      <w:bookmarkStart w:id="3" w:name="example-sensitivity-analysis"/>
      <w:bookmarkEnd w:id="2"/>
      <w:r>
        <w:t>Example: Sensitivity Analysis</w:t>
      </w:r>
    </w:p>
    <w:p w14:paraId="6B520D18" w14:textId="77777777" w:rsidR="00AA3605" w:rsidRDefault="00000000">
      <w:pPr>
        <w:pStyle w:val="FirstParagraph"/>
      </w:pPr>
      <w:r>
        <w:t>The following demonstrates computing the sensitivity of reactor conversion to both volume and rate constant simultaneously:</w:t>
      </w:r>
    </w:p>
    <w:p w14:paraId="7BFF03A3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experiment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013B7EBA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"""Returns conversion as function of (V, A) parameters."""</w:t>
      </w:r>
    </w:p>
    <w:p w14:paraId="62795872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cstr_params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base_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update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442F411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reactor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CSTR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cstr_params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779A0FA2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outlet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info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reactor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inlet_stream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6C56A36C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info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"conversion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][</w:t>
      </w:r>
      <w:proofErr w:type="gramEnd"/>
      <w:r>
        <w:rPr>
          <w:rFonts w:ascii="Menlo" w:hAnsi="Menlo" w:cs="Menlo"/>
          <w:color w:val="CE9178"/>
          <w:sz w:val="18"/>
          <w:szCs w:val="18"/>
        </w:rPr>
        <w:t>"A"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52C863E3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ACECD4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Parameters to differentiate with respect to</w:t>
      </w:r>
    </w:p>
    <w:p w14:paraId="41067A66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'V'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rate_params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CE9178"/>
          <w:sz w:val="18"/>
          <w:szCs w:val="18"/>
        </w:rPr>
        <w:t>'A'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1000.0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Ea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5000.0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8.314</w:t>
      </w:r>
      <w:r>
        <w:rPr>
          <w:rFonts w:ascii="Menlo" w:hAnsi="Menlo" w:cs="Menlo"/>
          <w:color w:val="CCCCCC"/>
          <w:sz w:val="18"/>
          <w:szCs w:val="18"/>
        </w:rPr>
        <w:t>}}</w:t>
      </w:r>
    </w:p>
    <w:p w14:paraId="30927EC9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16B5CA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Compute gradient with respect to all parameters</w:t>
      </w:r>
    </w:p>
    <w:p w14:paraId="2548FF3E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sensitivities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jax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grad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experiment</w:t>
      </w:r>
      <w:r>
        <w:rPr>
          <w:rFonts w:ascii="Menlo" w:hAnsi="Menlo" w:cs="Menlo"/>
          <w:color w:val="CCCCCC"/>
          <w:sz w:val="18"/>
          <w:szCs w:val="18"/>
        </w:rPr>
        <w:t>)(</w:t>
      </w:r>
      <w:r>
        <w:rPr>
          <w:rFonts w:ascii="Menlo" w:hAnsi="Menlo" w:cs="Menlo"/>
          <w:color w:val="9CDCFE"/>
          <w:sz w:val="18"/>
          <w:szCs w:val="18"/>
        </w:rPr>
        <w:t>params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C74C6E9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"dX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/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dV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sensitivities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'V'</w:t>
      </w:r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569CD6"/>
          <w:sz w:val="18"/>
          <w:szCs w:val="18"/>
        </w:rPr>
        <w:t>:.6f}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6FFCD3C" w14:textId="77777777" w:rsidR="00711960" w:rsidRDefault="00711960" w:rsidP="007119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"dX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/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dA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sensitivities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rate_params</w:t>
      </w:r>
      <w:proofErr w:type="spellEnd"/>
      <w:proofErr w:type="gramStart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][</w:t>
      </w:r>
      <w:proofErr w:type="gramEnd"/>
      <w:r>
        <w:rPr>
          <w:rFonts w:ascii="Menlo" w:hAnsi="Menlo" w:cs="Menlo"/>
          <w:color w:val="CE9178"/>
          <w:sz w:val="18"/>
          <w:szCs w:val="18"/>
        </w:rPr>
        <w:t>'A'</w:t>
      </w:r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569CD6"/>
          <w:sz w:val="18"/>
          <w:szCs w:val="18"/>
        </w:rPr>
        <w:t>:.6f}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098F5BC" w14:textId="77777777" w:rsidR="00AA3605" w:rsidRDefault="00000000">
      <w:pPr>
        <w:pStyle w:val="FirstParagraph"/>
      </w:pPr>
      <w:r>
        <w:t>These gradients match analytical derivatives exactly and are computed efficiently via reverse-mode automatic differentiation.</w:t>
      </w:r>
    </w:p>
    <w:p w14:paraId="37182170" w14:textId="77777777" w:rsidR="00AA3605" w:rsidRDefault="00000000">
      <w:pPr>
        <w:pStyle w:val="Heading1"/>
      </w:pPr>
      <w:bookmarkStart w:id="4" w:name="availability"/>
      <w:bookmarkEnd w:id="3"/>
      <w:r>
        <w:t>Availability</w:t>
      </w:r>
    </w:p>
    <w:p w14:paraId="33C78DFF" w14:textId="77777777" w:rsidR="00AA3605" w:rsidRDefault="00000000">
      <w:pPr>
        <w:pStyle w:val="FirstParagraph"/>
      </w:pPr>
      <w:r>
        <w:rPr>
          <w:rStyle w:val="VerbatimChar"/>
        </w:rPr>
        <w:t>difflow</w:t>
      </w:r>
      <w:r>
        <w:t xml:space="preserve"> is available on GitHub at </w:t>
      </w:r>
      <w:hyperlink r:id="rId5">
        <w:r>
          <w:rPr>
            <w:rStyle w:val="Hyperlink"/>
          </w:rPr>
          <w:t>https://github.com/jkitchin/differentiable-flowsheets</w:t>
        </w:r>
      </w:hyperlink>
      <w:r>
        <w:t xml:space="preserve"> under the MIT license. Documentation and example notebooks covering reactors, separations, optimization, uncertainty quantification, and technoeconomic analysis are included.</w:t>
      </w:r>
    </w:p>
    <w:p w14:paraId="099F2DFB" w14:textId="77777777" w:rsidR="00AA3605" w:rsidRDefault="00000000">
      <w:pPr>
        <w:pStyle w:val="Heading1"/>
      </w:pPr>
      <w:bookmarkStart w:id="5" w:name="ai-disclosure"/>
      <w:bookmarkEnd w:id="4"/>
      <w:r>
        <w:t>AI Disclosure</w:t>
      </w:r>
    </w:p>
    <w:p w14:paraId="3AB3AE75" w14:textId="77777777" w:rsidR="00AA3605" w:rsidRDefault="00000000">
      <w:pPr>
        <w:pStyle w:val="FirstParagraph"/>
      </w:pPr>
      <w:r>
        <w:t>This software was developed with assistance from Claude Code (Anthropic), an AI coding assistant. The author directed the development, made architectural decisions, and reviewed all generated code.</w:t>
      </w:r>
    </w:p>
    <w:p w14:paraId="1A3881CB" w14:textId="77777777" w:rsidR="00AA3605" w:rsidRDefault="00000000">
      <w:pPr>
        <w:pStyle w:val="Heading1"/>
      </w:pPr>
      <w:bookmarkStart w:id="6" w:name="references"/>
      <w:bookmarkEnd w:id="5"/>
      <w:r>
        <w:t>References</w:t>
      </w:r>
      <w:bookmarkEnd w:id="6"/>
    </w:p>
    <w:sectPr w:rsidR="00AA36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F042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869F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6822723">
    <w:abstractNumId w:val="0"/>
  </w:num>
  <w:num w:numId="2" w16cid:durableId="4044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605"/>
    <w:rsid w:val="00711960"/>
    <w:rsid w:val="00AA3605"/>
    <w:rsid w:val="00D0593F"/>
    <w:rsid w:val="00F1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6DC8C"/>
  <w15:docId w15:val="{11CB3581-FBB3-5547-A40C-C67296EE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960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ibliography">
    <w:name w:val="Bibliography"/>
    <w:basedOn w:val="Normal"/>
    <w:qFormat/>
    <w:pPr>
      <w:spacing w:after="200"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200"/>
    </w:pPr>
    <w:rPr>
      <w:rFonts w:asciiTheme="minorHAnsi" w:eastAsiaTheme="minorHAnsi" w:hAnsiTheme="minorHAnsi" w:cstheme="minorBidi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rFonts w:asciiTheme="minorHAnsi" w:eastAsiaTheme="minorHAnsi" w:hAnsiTheme="minorHAnsi" w:cstheme="minorBidi"/>
      <w:b/>
    </w:rPr>
  </w:style>
  <w:style w:type="paragraph" w:customStyle="1" w:styleId="Definition">
    <w:name w:val="Definition"/>
    <w:basedOn w:val="Normal"/>
    <w:pPr>
      <w:spacing w:after="200"/>
    </w:pPr>
    <w:rPr>
      <w:rFonts w:asciiTheme="minorHAnsi" w:eastAsiaTheme="minorHAnsi" w:hAnsiTheme="minorHAnsi" w:cstheme="minorBidi"/>
    </w:rPr>
  </w:style>
  <w:style w:type="paragraph" w:styleId="Caption">
    <w:name w:val="caption"/>
    <w:basedOn w:val="Normal"/>
    <w:link w:val="CaptionChar"/>
    <w:pPr>
      <w:spacing w:after="120"/>
    </w:pPr>
    <w:rPr>
      <w:rFonts w:asciiTheme="minorHAnsi" w:eastAsiaTheme="minorHAnsi" w:hAnsiTheme="minorHAnsi" w:cstheme="minorBidi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  <w:spacing w:after="200"/>
    </w:pPr>
    <w:rPr>
      <w:rFonts w:asciiTheme="minorHAnsi" w:eastAsiaTheme="minorHAnsi" w:hAnsiTheme="minorHAnsi" w:cstheme="minorBidi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kitchin/differentiable-flowshe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573</Words>
  <Characters>4369</Characters>
  <Application>Microsoft Office Word</Application>
  <DocSecurity>0</DocSecurity>
  <Lines>91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difflow: A JAX-Based Differentiable Framework for Chemical Process Simulation and Optimization</vt:lpstr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difflow: A JAX-Based Differentiable Framework for Chemical Process Simulation and Optimization</dc:title>
  <dc:creator/>
  <cp:keywords/>
  <cp:lastModifiedBy>John Kitchin</cp:lastModifiedBy>
  <cp:revision>2</cp:revision>
  <dcterms:created xsi:type="dcterms:W3CDTF">2026-01-06T12:41:00Z</dcterms:created>
  <dcterms:modified xsi:type="dcterms:W3CDTF">2026-01-07T12:52:00Z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paper.bib</vt:lpwstr>
  </property>
  <property fmtid="{D5CDD505-2E9C-101B-9397-08002B2CF9AE}" pid="5" name="date">
    <vt:lpwstr>5 January 2026</vt:lpwstr>
  </property>
  <property fmtid="{D5CDD505-2E9C-101B-9397-08002B2CF9AE}" pid="6" name="tags">
    <vt:lpwstr/>
  </property>
</Properties>
</file>