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one-ox-pandoc---org-mode-org-ref-to-docx-with-bibliographies"/>
      <w:bookmarkEnd w:id="21"/>
      <w:r>
        <w:t xml:space="preserve">DONE ox-pandoc - org-mode + org-ref to docx with bibliographies</w:t>
      </w:r>
    </w:p>
    <w:p>
      <w:r>
        <w:t xml:space="preserve">There is a new org-mode exporter:</w:t>
      </w:r>
      <w:r>
        <w:t xml:space="preserve"> </w:t>
      </w:r>
      <w:hyperlink r:id="rId22">
        <w:r>
          <w:rPr>
            <w:rStyle w:val="Link"/>
          </w:rPr>
          <w:t xml:space="preserve">ox-pandoc</w:t>
        </w:r>
      </w:hyperlink>
      <w:r>
        <w:t xml:space="preserve">. It seems like it makes it easy to convert org-mode to other formats, including docx, and including references in a bibliography. Let us try it out.</w:t>
      </w:r>
    </w:p>
    <w:p>
      <w:pPr>
        <w:pStyle w:val="Heading2"/>
      </w:pPr>
      <w:bookmarkStart w:id="23" w:name="the-setup"/>
      <w:bookmarkEnd w:id="23"/>
      <w:r>
        <w:t xml:space="preserve">The setup</w:t>
      </w:r>
    </w:p>
    <w:p>
      <w:r>
        <w:rPr>
          <w:strike/>
        </w:rPr>
        <w:t xml:space="preserve">We have to modify org-ref</w:t>
      </w:r>
      <w:r>
        <w:t xml:space="preserve"> </w:t>
      </w:r>
      <w:r>
        <w:t xml:space="preserve">org-ref modifies helm-bibtex to insert citation links. We have to undo that here to insert LaTeX style citations. We do that here so that the key binding for inserting references from org-ref inserts the LaTeX citations. This is necessary for pandoc to convert the reference citations to the bibliography in the docx format. You could, of course, type the citations in by hand.</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helm-bibtex-format-citation-functions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'((org-mode . (</w:t>
      </w:r>
      <w:r>
        <w:rPr>
          <w:rStyle w:val="KeywordTok"/>
        </w:rPr>
        <w:t xml:space="preserve">lambda</w:t>
      </w:r>
      <w:r>
        <w:rPr>
          <w:rStyle w:val="NormalTok"/>
        </w:rPr>
        <w:t xml:space="preserve"> </w:t>
      </w:r>
      <w:r>
        <w:rPr>
          <w:rStyle w:val="NormalTok"/>
        </w:rPr>
        <w:t xml:space="preserve">(x) (insert (concat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NormalTok"/>
        </w:rPr>
        <w:t xml:space="preserve">\\</w:t>
      </w:r>
      <w:r>
        <w:rPr>
          <w:rStyle w:val="StringTok"/>
        </w:rPr>
        <w:t xml:space="preserve">cite{"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(mapconcat 'identity x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p>
    <w:tbl>
      <w:tblPr>
        <w:tblStyle w:val="TableNormal"/>
        <w:tblW w:type="pct" w:w="0.0"/>
      </w:tblPr>
      <w:tblGrid/>
      <w:tr>
        <w:tc>
          <w:p>
            <w:pPr>
              <w:pStyle w:val="Compact"/>
              <w:jc w:val="left"/>
            </w:pPr>
            <w:r>
              <w:t xml:space="preserve">org-mode</w:t>
            </w:r>
          </w:p>
        </w:tc>
        <w:tc>
          <w:p>
            <w:pPr>
              <w:pStyle w:val="Compact"/>
              <w:jc w:val="left"/>
            </w:pPr>
            <w:r>
              <w:t xml:space="preserve">lambda</w:t>
            </w:r>
          </w:p>
        </w:tc>
        <w:tc>
          <w:p>
            <w:pPr>
              <w:pStyle w:val="Compact"/>
              <w:jc w:val="left"/>
            </w:pPr>
            <w:r>
              <w:t xml:space="preserve">(x)</w:t>
            </w:r>
          </w:p>
        </w:tc>
        <w:tc>
          <w:p>
            <w:pPr>
              <w:pStyle w:val="Compact"/>
              <w:jc w:val="left"/>
            </w:pPr>
            <w:r>
              <w:t xml:space="preserve">(insert (concat</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p>
        </w:tc>
      </w:tr>
    </w:tbl>
    <w:p>
      <w:r>
        <w:t xml:space="preserve">We have to add ox-pandoc and require it.</w:t>
      </w:r>
    </w:p>
    <w:p>
      <w:pPr>
        <w:pStyle w:val="SourceCode"/>
      </w:pPr>
      <w:r>
        <w:rPr>
          <w:rStyle w:val="NormalTok"/>
        </w:rPr>
        <w:t xml:space="preserve">(add-to-list 'load-path (expand-file-name </w:t>
      </w:r>
      <w:r>
        <w:rPr>
          <w:rStyle w:val="StringTok"/>
        </w:rPr>
        <w:t xml:space="preserve">"ox-pandoc"</w:t>
      </w:r>
      <w:r>
        <w:rPr>
          <w:rStyle w:val="NormalTok"/>
        </w:rPr>
        <w:t xml:space="preserve"> </w:t>
      </w:r>
      <w:r>
        <w:rPr>
          <w:rStyle w:val="NormalTok"/>
        </w:rPr>
        <w:t xml:space="preserve">starter-kit-dir))</w:t>
      </w:r>
      <w:r>
        <w:br w:type="textWrapping"/>
      </w:r>
      <w:r>
        <w:rPr>
          <w:rStyle w:val="NormalTok"/>
        </w:rPr>
        <w:t xml:space="preserve">(</w:t>
      </w:r>
      <w:r>
        <w:rPr>
          <w:rStyle w:val="KeywordTok"/>
        </w:rPr>
        <w:t xml:space="preserve">require</w:t>
      </w:r>
      <w:r>
        <w:rPr>
          <w:rStyle w:val="NormalTok"/>
        </w:rPr>
        <w:t xml:space="preserve"> </w:t>
      </w:r>
      <w:r>
        <w:rPr>
          <w:rStyle w:val="NormalTok"/>
        </w:rPr>
        <w:t xml:space="preserve">'ox-pandoc)</w:t>
      </w:r>
    </w:p>
    <w:p>
      <w:pPr>
        <w:pStyle w:val="Heading2"/>
      </w:pPr>
      <w:bookmarkStart w:id="24" w:name="the-document"/>
      <w:bookmarkEnd w:id="24"/>
      <w:r>
        <w:t xml:space="preserve">The document</w:t>
      </w:r>
    </w:p>
    <w:p>
      <w:r>
        <w:t xml:space="preserve">Now, for some text. Grindy wrote this nice paper on approaching chemical accuracy with density functional calculations</w:t>
      </w:r>
      <w:r>
        <w:t xml:space="preserve"> </w:t>
      </w:r>
      <w:r>
        <w:t xml:space="preserve">Grindy et al. (2013)</w:t>
      </w:r>
      <w:r>
        <w:t xml:space="preserve">. Two other interesting papers include these ones</w:t>
      </w:r>
      <w:r>
        <w:t xml:space="preserve"> </w:t>
      </w:r>
      <w:r>
        <w:t xml:space="preserve">Guldner (1961; Guerrini et al. 2008)</w:t>
      </w:r>
      <w:r>
        <w:t xml:space="preserve">.</w:t>
      </w:r>
    </w:p>
    <w:p>
      <w:r>
        <w:t xml:space="preserve">An equation:</w:t>
      </w:r>
      <w:r>
        <w:t xml:space="preserve"> </w:t>
      </w:r>
      <m:oMath>
        <m:sSup>
          <m:e>
            <m:r>
              <m:rPr>
                <m:sty m:val="p"/>
              </m:rPr>
              <m:t>e</m:t>
            </m:r>
          </m:e>
          <m:sup>
            <m:r>
              <m:rPr>
                <m:sty m:val="p"/>
              </m:rPr>
              <m:t>x</m:t>
            </m:r>
          </m:sup>
        </m:sSup>
        <m:r>
          <m:rPr>
            <m:sty m:val="p"/>
          </m:rPr>
          <m:t>=</m:t>
        </m:r>
        <m:r>
          <m:rPr>
            <m:sty m:val="p"/>
          </m:rPr>
          <m:t>4</m:t>
        </m:r>
      </m:oMath>
      <w:r>
        <w:t xml:space="preserve">.</w:t>
      </w:r>
    </w:p>
    <w:p>
      <w:r>
        <w:t xml:space="preserve">And a figure with a caption:</w:t>
      </w:r>
    </w:p>
    <w:p>
      <w:r>
        <w:drawing>
          <wp:inline>
            <wp:extent cx="2730500" cy="279400"/>
            <wp:effectExtent b="0" l="0" r="0" t="0"/>
            <wp:docPr descr="" id="1" name="Picture"/>
            <a:graphic>
              <a:graphicData uri="http://schemas.openxmlformats.org/drawingml/2006/picture">
                <pic:pic>
                  <pic:nvPicPr>
                    <pic:cNvPr descr="./bib.png" id="0" name="Picture"/>
                    <pic:cNvPicPr>
                      <a:picLocks noChangeArrowheads="1" noChangeAspect="1"/>
                    </pic:cNvPicPr>
                  </pic:nvPicPr>
                  <pic:blipFill>
                    <a:blip r:embed="rId25"/>
                    <a:stretch>
                      <a:fillRect/>
                    </a:stretch>
                  </pic:blipFill>
                  <pic:spPr bwMode="auto">
                    <a:xfrm>
                      <a:off x="0" y="0"/>
                      <a:ext cx="2730500" cy="279400"/>
                    </a:xfrm>
                    <a:prstGeom prst="rect">
                      <a:avLst/>
                    </a:prstGeom>
                    <a:noFill/>
                    <a:ln w="9525">
                      <a:noFill/>
                      <a:headEnd/>
                      <a:tailEnd/>
                    </a:ln>
                  </pic:spPr>
                </pic:pic>
              </a:graphicData>
            </a:graphic>
          </wp:inline>
        </w:drawing>
      </w:r>
    </w:p>
    <w:p>
      <w:pPr>
        <w:pStyle w:val="Heading2"/>
      </w:pPr>
      <w:bookmarkStart w:id="26" w:name="summary"/>
      <w:bookmarkEnd w:id="26"/>
      <w:r>
        <w:t xml:space="preserve">Summary</w:t>
      </w:r>
    </w:p>
    <w:p>
      <w:r>
        <w:t xml:space="preserve">This is better than what I have seen in the past. ox-pandoc has some options that might tailor the bibliography to specific formats. You lose some functionality of org-ref cite links by using raw LaTeX, but if that is not a deal breaker this might be a good way to go for some purposes.</w:t>
      </w:r>
    </w:p>
    <w:p>
      <w:r>
        <w:t xml:space="preserve">Here is the word document that results from this file:</w:t>
      </w:r>
      <w:r>
        <w:t xml:space="preserve"> </w:t>
      </w:r>
      <w:hyperlink r:id="rId27">
        <w:r>
          <w:rPr>
            <w:rStyle w:val="Link"/>
          </w:rPr>
          <w:t xml:space="preserve">file:test-doc.docx</w:t>
        </w:r>
      </w:hyperlink>
    </w:p>
    <w:p>
      <w:pPr>
        <w:pStyle w:val="Bibliography"/>
      </w:pPr>
      <w:r>
        <w:t xml:space="preserve">Grindy, Scott, Bryce Meredig, Scott Kirklin, James E. Saal, and C. Wolverton. 2013. “Approaching Chemical Accuracy with Density Functional Calculations: Diatomic Energy Corrections.”</w:t>
      </w:r>
      <w:r>
        <w:t xml:space="preserve"> </w:t>
      </w:r>
      <w:r>
        <w:rPr>
          <w:i/>
        </w:rPr>
        <w:t xml:space="preserve">Phys. Rev. B</w:t>
      </w:r>
      <w:r>
        <w:t xml:space="preserve"> </w:t>
      </w:r>
      <w:r>
        <w:t xml:space="preserve">87 (7). American Physical Society: 075150. doi:</w:t>
      </w:r>
      <w:hyperlink r:id="rId28">
        <w:r>
          <w:rPr>
            <w:rStyle w:val="Link"/>
          </w:rPr>
          <w:t xml:space="preserve">10.1103/PhysRevB.87.075150</w:t>
        </w:r>
      </w:hyperlink>
      <w:r>
        <w:t xml:space="preserve">.</w:t>
      </w:r>
    </w:p>
    <w:p>
      <w:pPr>
        <w:pStyle w:val="Bibliography"/>
      </w:pPr>
      <w:r>
        <w:t xml:space="preserve">Guerrini, E., M. Piozzini, A. Castelli, A. Colombo, and S. Trasatti. 2008. “Effect of FeO</w:t>
      </w:r>
      <w:r>
        <w:rPr>
          <w:vertAlign w:val="subscript"/>
        </w:rPr>
        <w:t xml:space="preserve">x</w:t>
      </w:r>
      <w:r>
        <w:t xml:space="preserve"> </w:t>
      </w:r>
      <w:r>
        <w:t xml:space="preserve">on the Electrocatalytic Properties of NiCo</w:t>
      </w:r>
      <w:r>
        <w:rPr>
          <w:vertAlign w:val="subscript"/>
        </w:rPr>
        <w:t xml:space="preserve">2</w:t>
      </w:r>
      <w:r>
        <w:t xml:space="preserve">O</w:t>
      </w:r>
      <w:r>
        <w:rPr>
          <w:vertAlign w:val="subscript"/>
        </w:rPr>
        <w:t xml:space="preserve">4</w:t>
      </w:r>
      <w:r>
        <w:t xml:space="preserve"> </w:t>
      </w:r>
      <w:r>
        <w:t xml:space="preserve">for O</w:t>
      </w:r>
      <w:r>
        <w:rPr>
          <w:vertAlign w:val="subscript"/>
        </w:rPr>
        <w:t xml:space="preserve">2</w:t>
      </w:r>
      <w:r>
        <w:t xml:space="preserve"> </w:t>
      </w:r>
      <w:r>
        <w:t xml:space="preserve">Evolution from Alkaline Solutions.”</w:t>
      </w:r>
      <w:r>
        <w:t xml:space="preserve"> </w:t>
      </w:r>
      <w:r>
        <w:rPr>
          <w:i/>
        </w:rPr>
        <w:t xml:space="preserve">Journal of Solid State Electrochemistry</w:t>
      </w:r>
      <w:r>
        <w:t xml:space="preserve"> </w:t>
      </w:r>
      <w:r>
        <w:t xml:space="preserve">12 (4). Springer-Verlag: 363–73. doi:</w:t>
      </w:r>
      <w:hyperlink r:id="rId29">
        <w:r>
          <w:rPr>
            <w:rStyle w:val="Link"/>
          </w:rPr>
          <w:t xml:space="preserve">10.1007/s10008-007-0406-1</w:t>
        </w:r>
      </w:hyperlink>
      <w:r>
        <w:t xml:space="preserve">.</w:t>
      </w:r>
    </w:p>
    <w:p>
      <w:pPr>
        <w:pStyle w:val="Bibliography"/>
      </w:pPr>
      <w:r>
        <w:t xml:space="preserve">Guldner, W.G. 1961. “The Determination of Oxygen, Hydrogen, Nitrogen and Carbon in Metals: A Review.”</w:t>
      </w:r>
      <w:r>
        <w:t xml:space="preserve"> </w:t>
      </w:r>
      <w:r>
        <w:rPr>
          <w:i/>
        </w:rPr>
        <w:t xml:space="preserve">Talanta</w:t>
      </w:r>
      <w:r>
        <w:t xml:space="preserve"> </w:t>
      </w:r>
      <w:r>
        <w:t xml:space="preserve">8 (4): 191–202. doi:</w:t>
      </w:r>
      <w:hyperlink r:id="rId30">
        <w:r>
          <w:rPr>
            <w:rStyle w:val="Link"/>
          </w:rPr>
          <w:t xml:space="preserve">10.1016/0039-9140(61)80064-7</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2b86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9" Target="http://dx.doi.org/10.1007/s10008-007-0406-1" TargetMode="External" /><Relationship Type="http://schemas.openxmlformats.org/officeDocument/2006/relationships/hyperlink" Id="rId30" Target="http://dx.doi.org/10.1016/0039-9140(61)80064-7" TargetMode="External" /><Relationship Type="http://schemas.openxmlformats.org/officeDocument/2006/relationships/hyperlink" Id="rId28" Target="http://dx.doi.org/10.1103/PhysRevB.87.075150" TargetMode="External" /><Relationship Type="http://schemas.openxmlformats.org/officeDocument/2006/relationships/hyperlink" Id="rId22" Target="https://github.com/kawabata/ox-pandoc" TargetMode="External" /><Relationship Type="http://schemas.openxmlformats.org/officeDocument/2006/relationships/hyperlink" Id="rId27" Target="test-doc.docx" TargetMode="External" /></Relationships>
</file>

<file path=word/_rels/footnotes.xml.rels><?xml version="1.0" encoding="UTF-8"?>
<Relationships xmlns="http://schemas.openxmlformats.org/package/2006/relationships"><Relationship Type="http://schemas.openxmlformats.org/officeDocument/2006/relationships/hyperlink" Id="rId29" Target="http://dx.doi.org/10.1007/s10008-007-0406-1" TargetMode="External" /><Relationship Type="http://schemas.openxmlformats.org/officeDocument/2006/relationships/hyperlink" Id="rId30" Target="http://dx.doi.org/10.1016/0039-9140(61)80064-7" TargetMode="External" /><Relationship Type="http://schemas.openxmlformats.org/officeDocument/2006/relationships/hyperlink" Id="rId28" Target="http://dx.doi.org/10.1103/PhysRevB.87.075150" TargetMode="External" /><Relationship Type="http://schemas.openxmlformats.org/officeDocument/2006/relationships/hyperlink" Id="rId22" Target="https://github.com/kawabata/ox-pandoc" TargetMode="External" /><Relationship Type="http://schemas.openxmlformats.org/officeDocument/2006/relationships/hyperlink" Id="rId27" Target="test-doc.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