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63A5" w:rsidRDefault="009663A5" w:rsidP="009663A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 xml:space="preserve">Student Notes: </w:t>
      </w:r>
      <w:r w:rsidRPr="009663A5">
        <w:rPr>
          <w:rFonts w:ascii="Times New Roman" w:eastAsia="Times New Roman" w:hAnsi="Times New Roman" w:cs="Times New Roman"/>
          <w:b/>
          <w:bCs/>
          <w:kern w:val="36"/>
          <w:sz w:val="36"/>
          <w:szCs w:val="36"/>
          <w:lang w:eastAsia="en-IN"/>
        </w:rPr>
        <w:t>Data Collection and Ingestion</w:t>
      </w:r>
    </w:p>
    <w:p w:rsidR="009663A5" w:rsidRDefault="009663A5" w:rsidP="009663A5">
      <w:pPr>
        <w:jc w:val="both"/>
        <w:rPr>
          <w:rFonts w:ascii="Times New Roman" w:hAnsi="Times New Roman" w:cs="Times New Roman"/>
          <w:color w:val="FF0000"/>
          <w:sz w:val="32"/>
          <w:szCs w:val="32"/>
        </w:rPr>
      </w:pPr>
      <w:r>
        <w:rPr>
          <w:rFonts w:ascii="Times New Roman" w:hAnsi="Times New Roman" w:cs="Times New Roman"/>
          <w:color w:val="FF0000"/>
          <w:sz w:val="32"/>
          <w:szCs w:val="32"/>
        </w:rPr>
        <w:t>AI Generated Notes (Not allowed in exam centres)</w:t>
      </w:r>
    </w:p>
    <w:p w:rsidR="009663A5" w:rsidRDefault="009663A5" w:rsidP="009663A5">
      <w:r>
        <w:rPr>
          <w:rFonts w:ascii="Times New Roman" w:eastAsia="Times New Roman" w:hAnsi="Times New Roman" w:cs="Times New Roman"/>
          <w:sz w:val="24"/>
          <w:szCs w:val="24"/>
          <w:lang w:eastAsia="en-IN"/>
        </w:rPr>
        <w:pict>
          <v:rect id="_x0000_i1025" style="width:451.3pt;height:1.5pt" o:hralign="center" o:hrstd="t" o:hr="t" fillcolor="#a0a0a0" stroked="f"/>
        </w:pic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1. Introduction to Data Collection and Ingestion</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Data collection and ingestion form the backbone of modern data and machine-learning systems. Every ML pipeline begins with understanding where data originates, how it is produced, and what characteristics it carries. Real-world systems rarely rely on a single dataset; instead, they ingest multiple data types—user-generated data, system logs, </w:t>
      </w:r>
      <w:proofErr w:type="spellStart"/>
      <w:r w:rsidRPr="009663A5">
        <w:rPr>
          <w:rFonts w:ascii="Times New Roman" w:eastAsia="Times New Roman" w:hAnsi="Times New Roman" w:cs="Times New Roman"/>
          <w:sz w:val="24"/>
          <w:szCs w:val="24"/>
          <w:lang w:eastAsia="en-IN"/>
        </w:rPr>
        <w:t>behavioral</w:t>
      </w:r>
      <w:proofErr w:type="spellEnd"/>
      <w:r w:rsidRPr="009663A5">
        <w:rPr>
          <w:rFonts w:ascii="Times New Roman" w:eastAsia="Times New Roman" w:hAnsi="Times New Roman" w:cs="Times New Roman"/>
          <w:sz w:val="24"/>
          <w:szCs w:val="24"/>
          <w:lang w:eastAsia="en-IN"/>
        </w:rPr>
        <w:t xml:space="preserve"> events, metadata, and external datasets. The Netflix case study illustrates this diversity, showing how billions of ratings, social signals, device-level events, and title metadata collectively fuel a recommendation engine. This highlights the need to understand not just what data exists, but also its type, structure, freshness, and purpose.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2. Categories and Nature of Data Sources</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Data sources can be categorized by creation, location, and creator. From a creation standpoint, analog data—like speech or handwriting—must be digitized, whereas digital-native data emerges directly from apps and sensors. By location, first-party data comes from an organization’s interactions with its customers; second-party data is shared directly between partners; and third-party data is aggregated commercially for broader use. Considering </w:t>
      </w:r>
      <w:r w:rsidRPr="009663A5">
        <w:rPr>
          <w:rFonts w:ascii="Times New Roman" w:eastAsia="Times New Roman" w:hAnsi="Times New Roman" w:cs="Times New Roman"/>
          <w:i/>
          <w:iCs/>
          <w:sz w:val="24"/>
          <w:szCs w:val="24"/>
          <w:lang w:eastAsia="en-IN"/>
        </w:rPr>
        <w:t>creator</w:t>
      </w:r>
      <w:r w:rsidRPr="009663A5">
        <w:rPr>
          <w:rFonts w:ascii="Times New Roman" w:eastAsia="Times New Roman" w:hAnsi="Times New Roman" w:cs="Times New Roman"/>
          <w:sz w:val="24"/>
          <w:szCs w:val="24"/>
          <w:lang w:eastAsia="en-IN"/>
        </w:rPr>
        <w:t xml:space="preserve">, user-entered data tends to be noisy and unpredictable and therefore requires strong validation and low-latency feedback, whereas system-generated data (like logs) is automated, structured, and continuously produced. However, logs grow quickly, may mix important signals with noise, and require careful storage and retention policies. System-generated user </w:t>
      </w:r>
      <w:proofErr w:type="spellStart"/>
      <w:r w:rsidRPr="009663A5">
        <w:rPr>
          <w:rFonts w:ascii="Times New Roman" w:eastAsia="Times New Roman" w:hAnsi="Times New Roman" w:cs="Times New Roman"/>
          <w:sz w:val="24"/>
          <w:szCs w:val="24"/>
          <w:lang w:eastAsia="en-IN"/>
        </w:rPr>
        <w:t>behavior</w:t>
      </w:r>
      <w:proofErr w:type="spellEnd"/>
      <w:r w:rsidRPr="009663A5">
        <w:rPr>
          <w:rFonts w:ascii="Times New Roman" w:eastAsia="Times New Roman" w:hAnsi="Times New Roman" w:cs="Times New Roman"/>
          <w:sz w:val="24"/>
          <w:szCs w:val="24"/>
          <w:lang w:eastAsia="en-IN"/>
        </w:rPr>
        <w:t xml:space="preserve"> data—clicks, scrolls, location data—also raises privacy concerns and must meet regulatory requirements.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3. Data Formats and Their Implications</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Data may be structured, semi-structured, or unstructured. Structured data conforms to a predefined schema, semi-structured formats such as JSON allow flexible nesting of values, and unstructured formats—including text, audio, and video—require additional preprocessing. The format of a dataset affects how ingestion pipelines must be designed, how transformations take place, and what storage systems can support its analytical or operational use. In ML pipelines, accommodating all formats is essential, as data sources often evolve over time.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4. How Source Systems Generate and Store Data</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ML systems often sit downstream of operational systems, making it important to understand how those systems store and manage data. Relational databases provide structured schemas, ACID guarantees, and normalized tables linked by primary and foreign keys, making them suitable for transactional workloads. NoSQL systems such as key-value stores, document </w:t>
      </w:r>
      <w:r w:rsidRPr="009663A5">
        <w:rPr>
          <w:rFonts w:ascii="Times New Roman" w:eastAsia="Times New Roman" w:hAnsi="Times New Roman" w:cs="Times New Roman"/>
          <w:sz w:val="24"/>
          <w:szCs w:val="24"/>
          <w:lang w:eastAsia="en-IN"/>
        </w:rPr>
        <w:lastRenderedPageBreak/>
        <w:t xml:space="preserve">stores, wide-column databases, search databases, and time-series databases prioritize scalability, flexibility, and low-latency writes. While these systems support massive volumes and high-speed ingestion, they often lack strict schemas, joins, or complex query support, which shapes how ingestion pipelines must be designed for reliability, consistency, and performance.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5. APIs and External Data Access Methods</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APIs provide an essential mechanism for accessing third-party or partner data. REST APIs enable stateless data retrieval, while client libraries abstract away boilerplate code. </w:t>
      </w:r>
      <w:proofErr w:type="spellStart"/>
      <w:r w:rsidRPr="009663A5">
        <w:rPr>
          <w:rFonts w:ascii="Times New Roman" w:eastAsia="Times New Roman" w:hAnsi="Times New Roman" w:cs="Times New Roman"/>
          <w:sz w:val="24"/>
          <w:szCs w:val="24"/>
          <w:lang w:eastAsia="en-IN"/>
        </w:rPr>
        <w:t>GraphQL</w:t>
      </w:r>
      <w:proofErr w:type="spellEnd"/>
      <w:r w:rsidRPr="009663A5">
        <w:rPr>
          <w:rFonts w:ascii="Times New Roman" w:eastAsia="Times New Roman" w:hAnsi="Times New Roman" w:cs="Times New Roman"/>
          <w:sz w:val="24"/>
          <w:szCs w:val="24"/>
          <w:lang w:eastAsia="en-IN"/>
        </w:rPr>
        <w:t xml:space="preserve"> allows nested, flexible queries through a single endpoint. Webhooks reverse the data flow by letting providers push data to consumers when events occur. </w:t>
      </w:r>
      <w:proofErr w:type="spellStart"/>
      <w:r w:rsidRPr="009663A5">
        <w:rPr>
          <w:rFonts w:ascii="Times New Roman" w:eastAsia="Times New Roman" w:hAnsi="Times New Roman" w:cs="Times New Roman"/>
          <w:sz w:val="24"/>
          <w:szCs w:val="24"/>
          <w:lang w:eastAsia="en-IN"/>
        </w:rPr>
        <w:t>gRPC</w:t>
      </w:r>
      <w:proofErr w:type="spellEnd"/>
      <w:r w:rsidRPr="009663A5">
        <w:rPr>
          <w:rFonts w:ascii="Times New Roman" w:eastAsia="Times New Roman" w:hAnsi="Times New Roman" w:cs="Times New Roman"/>
          <w:sz w:val="24"/>
          <w:szCs w:val="24"/>
          <w:lang w:eastAsia="en-IN"/>
        </w:rPr>
        <w:t xml:space="preserve"> enables highly efficient bidirectional communication based on protocol buffers. Beyond APIs, cloud data-sharing capabilities allow secure, permissioned access to datasets without transferring raw files. Organizations frequently integrate third-party datasets—such as government open data, CRM systems, or social signals—directly into ML workflows. Message queues and event-streaming platforms like Kafka and Kinesis extend these capabilities by enabling continuous ingestion of real-time events from applications, IoT devices, and user activities.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6. Understanding Data Ingestion</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Data ingestion involves moving data from its source into a landing zone or storage environment where analytics and ML workflows operate. While batch processing remains common—either via time-based or size-based triggers—modern data platforms increasingly prefer streaming ingestion to capture events continuously. Batch ingestion may extract full snapshots or differential changes, but must consider database performance constraints. Streaming ingestion introduces additional challenges, such as late-arriving events, message ordering issues, duplicate delivery, message size limits, and retention windows (TTL). Platforms provide mechanisms like replay, dead-letter queues, and pull/push subscription models to ensure robust and recoverable pipelines.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7. Techniques and Tools for Ingesting Data</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A wide range of ingestion mechanisms exist, and selecting one depends on system architecture and business needs. Direct database connections via ODBC/JDBC allow extraction of data over networks. Change Data Capture (CDC) provides incremental ingestion by detecting database changes; log-based CDC tools such as </w:t>
      </w:r>
      <w:proofErr w:type="spellStart"/>
      <w:r w:rsidRPr="009663A5">
        <w:rPr>
          <w:rFonts w:ascii="Times New Roman" w:eastAsia="Times New Roman" w:hAnsi="Times New Roman" w:cs="Times New Roman"/>
          <w:sz w:val="24"/>
          <w:szCs w:val="24"/>
          <w:lang w:eastAsia="en-IN"/>
        </w:rPr>
        <w:t>Debezium</w:t>
      </w:r>
      <w:proofErr w:type="spellEnd"/>
      <w:r w:rsidRPr="009663A5">
        <w:rPr>
          <w:rFonts w:ascii="Times New Roman" w:eastAsia="Times New Roman" w:hAnsi="Times New Roman" w:cs="Times New Roman"/>
          <w:sz w:val="24"/>
          <w:szCs w:val="24"/>
          <w:lang w:eastAsia="en-IN"/>
        </w:rPr>
        <w:t xml:space="preserve"> read binary logs to produce event streams. APIs and message queues also serve as ingestion sources, while object storage acts as a scalable staging layer for file-based ingestion. Additional mechanisms—such as SFTP/SCP transfers, shell scripting, file exports, web scraping, and data-sharing platforms—support more specialized scenarios. For massive datasets, physical data transfer appliances provide a practical solution for bulk migration.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8. Data Contracts, Lineage, and Governance</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Reliable ingestion requires strong data management frameworks. Data contracts formalize agreements between source owners and ingestion teams, specifying what data is extracted, how frequently, and by which methods. Data lineage traces data flow from origin to consumption, enabling debugging, transparency, and trust. Data governance ensures quality, security, compliance, and traceability across all stages of the data lifecycle. These practices prevent poor or inconsistent data from propagating downstream and ensure that systems adhere to regulatory standards such as GDPR or HIPAA. </w:t>
      </w:r>
    </w:p>
    <w:p w:rsidR="009663A5" w:rsidRPr="009663A5" w:rsidRDefault="009663A5" w:rsidP="009663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63A5">
        <w:rPr>
          <w:rFonts w:ascii="Times New Roman" w:eastAsia="Times New Roman" w:hAnsi="Times New Roman" w:cs="Times New Roman"/>
          <w:b/>
          <w:bCs/>
          <w:sz w:val="36"/>
          <w:szCs w:val="36"/>
          <w:lang w:eastAsia="en-IN"/>
        </w:rPr>
        <w:t>9. Engineering Considerations Before Ingestion</w:t>
      </w:r>
    </w:p>
    <w:p w:rsidR="009663A5" w:rsidRPr="009663A5" w:rsidRDefault="009663A5" w:rsidP="009663A5">
      <w:pPr>
        <w:spacing w:before="100" w:beforeAutospacing="1" w:after="100" w:afterAutospacing="1" w:line="240" w:lineRule="auto"/>
        <w:rPr>
          <w:rFonts w:ascii="Times New Roman" w:eastAsia="Times New Roman" w:hAnsi="Times New Roman" w:cs="Times New Roman"/>
          <w:sz w:val="24"/>
          <w:szCs w:val="24"/>
          <w:lang w:eastAsia="en-IN"/>
        </w:rPr>
      </w:pPr>
      <w:r w:rsidRPr="009663A5">
        <w:rPr>
          <w:rFonts w:ascii="Times New Roman" w:eastAsia="Times New Roman" w:hAnsi="Times New Roman" w:cs="Times New Roman"/>
          <w:sz w:val="24"/>
          <w:szCs w:val="24"/>
          <w:lang w:eastAsia="en-IN"/>
        </w:rPr>
        <w:t xml:space="preserve">Several key considerations must guide ingestion design. Engineers must identify the specific use case, evaluate whether existing ingested data can be reused, and determine freshness requirements. They must estimate data volume, ensure compatibility with storage formats, assess quality, and </w:t>
      </w:r>
      <w:proofErr w:type="spellStart"/>
      <w:r w:rsidRPr="009663A5">
        <w:rPr>
          <w:rFonts w:ascii="Times New Roman" w:eastAsia="Times New Roman" w:hAnsi="Times New Roman" w:cs="Times New Roman"/>
          <w:sz w:val="24"/>
          <w:szCs w:val="24"/>
          <w:lang w:eastAsia="en-IN"/>
        </w:rPr>
        <w:t>analyze</w:t>
      </w:r>
      <w:proofErr w:type="spellEnd"/>
      <w:r w:rsidRPr="009663A5">
        <w:rPr>
          <w:rFonts w:ascii="Times New Roman" w:eastAsia="Times New Roman" w:hAnsi="Times New Roman" w:cs="Times New Roman"/>
          <w:sz w:val="24"/>
          <w:szCs w:val="24"/>
          <w:lang w:eastAsia="en-IN"/>
        </w:rPr>
        <w:t xml:space="preserve"> risks such as schema drift or malformed records. Understanding data velocity helps differentiate between batch and streaming needs. Thoughtful planning minimizes rework, reduces pipeline failures, and supports a scalable environment where analysts and ML practitioners can rapidly extract insights. </w:t>
      </w:r>
    </w:p>
    <w:p w:rsidR="00E81AD6" w:rsidRPr="009663A5" w:rsidRDefault="00E81AD6" w:rsidP="009663A5">
      <w:pPr>
        <w:jc w:val="center"/>
      </w:pPr>
      <w:bookmarkStart w:id="0" w:name="_GoBack"/>
      <w:bookmarkEnd w:id="0"/>
    </w:p>
    <w:sectPr w:rsidR="00E81AD6" w:rsidRPr="00966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A5"/>
    <w:rsid w:val="009663A5"/>
    <w:rsid w:val="00E8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D595"/>
  <w15:chartTrackingRefBased/>
  <w15:docId w15:val="{35D2A74E-B17A-4ABB-BD1B-21387C96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63A5"/>
    <w:pPr>
      <w:spacing w:line="256" w:lineRule="auto"/>
    </w:pPr>
  </w:style>
  <w:style w:type="paragraph" w:styleId="Heading2">
    <w:name w:val="heading 2"/>
    <w:basedOn w:val="Normal"/>
    <w:link w:val="Heading2Char"/>
    <w:uiPriority w:val="9"/>
    <w:qFormat/>
    <w:rsid w:val="009663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63A5"/>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663A5"/>
    <w:rPr>
      <w:b/>
      <w:bCs/>
    </w:rPr>
  </w:style>
  <w:style w:type="paragraph" w:styleId="NormalWeb">
    <w:name w:val="Normal (Web)"/>
    <w:basedOn w:val="Normal"/>
    <w:uiPriority w:val="99"/>
    <w:semiHidden/>
    <w:unhideWhenUsed/>
    <w:rsid w:val="009663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9663A5"/>
  </w:style>
  <w:style w:type="paragraph" w:customStyle="1" w:styleId="not-prose">
    <w:name w:val="not-prose"/>
    <w:basedOn w:val="Normal"/>
    <w:rsid w:val="009663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663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482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1</cp:revision>
  <dcterms:created xsi:type="dcterms:W3CDTF">2025-12-11T14:08:00Z</dcterms:created>
  <dcterms:modified xsi:type="dcterms:W3CDTF">2025-12-11T14:11:00Z</dcterms:modified>
</cp:coreProperties>
</file>