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Persivia:</w:t>
      </w:r>
      <w:r>
        <w:t xml:space="preserve"> </w:t>
      </w:r>
      <w:r>
        <w:t xml:space="preserve">Foundational</w:t>
      </w:r>
      <w:r>
        <w:t xml:space="preserve"> </w:t>
      </w:r>
      <w:r>
        <w:t xml:space="preserve">Positioning</w:t>
      </w:r>
      <w:r>
        <w:t xml:space="preserve"> </w:t>
      </w:r>
      <w:r>
        <w:t xml:space="preserve">&amp;</w:t>
      </w:r>
      <w:r>
        <w:t xml:space="preserve"> </w:t>
      </w:r>
      <w:r>
        <w:t xml:space="preserve">Execution</w:t>
      </w:r>
      <w:r>
        <w:t xml:space="preserve"> </w:t>
      </w:r>
      <w:r>
        <w:t xml:space="preserve">Layer</w:t>
      </w:r>
    </w:p>
    <w:p>
      <w:pPr>
        <w:pStyle w:val="Subtitle"/>
      </w:pPr>
      <w:r>
        <w:t xml:space="preserve">Internal</w:t>
      </w:r>
      <w:r>
        <w:t xml:space="preserve"> </w:t>
      </w:r>
      <w:r>
        <w:t xml:space="preserve">Messaging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part-1-foundational-positioning"/>
      <w:r>
        <w:t xml:space="preserve">Part 1: Foundational Positioning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ositioning-statement"/>
      <w:r>
        <w:t xml:space="preserve">Positioning Statement</w:t>
      </w:r>
      <w:bookmarkEnd w:id="21"/>
    </w:p>
    <w:p>
      <w:pPr>
        <w:pStyle w:val="FirstParagraph"/>
      </w:pPr>
      <w:r>
        <w:rPr>
          <w:i/>
        </w:rPr>
        <w:t xml:space="preserve">For internal use only — not customer-facing.</w:t>
      </w:r>
    </w:p>
    <w:p>
      <w:pPr>
        <w:pStyle w:val="BodyText"/>
      </w:pPr>
      <w:r>
        <w:rPr>
          <w:b/>
        </w:rPr>
        <w:t xml:space="preserve">For</w:t>
      </w:r>
      <w:r>
        <w:t xml:space="preserve"> </w:t>
      </w:r>
      <w:r>
        <w:t xml:space="preserve">healthcare organizations seeking to improve quality, reduce cost, and coordinate care across their patient population —</w:t>
      </w:r>
    </w:p>
    <w:p>
      <w:pPr>
        <w:pStyle w:val="BodyText"/>
      </w:pPr>
      <w:r>
        <w:rPr>
          <w:b/>
        </w:rPr>
        <w:t xml:space="preserve">Persivia</w:t>
      </w:r>
      <w:r>
        <w:t xml:space="preserve"> </w:t>
      </w:r>
      <w:r>
        <w:t xml:space="preserve">is the care intelligence platform</w:t>
      </w:r>
    </w:p>
    <w:p>
      <w:pPr>
        <w:pStyle w:val="BodyText"/>
      </w:pPr>
      <w:r>
        <w:rPr>
          <w:b/>
        </w:rPr>
        <w:t xml:space="preserve">that</w:t>
      </w:r>
      <w:r>
        <w:t xml:space="preserve"> </w:t>
      </w:r>
      <w:r>
        <w:t xml:space="preserve">unifies fragmented data into a single operating foundation, surfaces real-time clinical insights at every point of care, and gives care teams the workflows to act on them —</w:t>
      </w:r>
    </w:p>
    <w:p>
      <w:pPr>
        <w:pStyle w:val="BodyText"/>
      </w:pPr>
      <w:r>
        <w:rPr>
          <w:b/>
        </w:rPr>
        <w:t xml:space="preserve">unlike</w:t>
      </w:r>
      <w:r>
        <w:t xml:space="preserve"> </w:t>
      </w:r>
      <w:r>
        <w:t xml:space="preserve">point solutions and analytics-only platforms that show you the problem but leave execution to you.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ategory-definition"/>
      <w:r>
        <w:t xml:space="preserve">Category Definition</w:t>
      </w:r>
      <w:bookmarkEnd w:id="22"/>
    </w:p>
    <w:p>
      <w:pPr>
        <w:pStyle w:val="FirstParagraph"/>
      </w:pPr>
      <w:r>
        <w:rPr>
          <w:b/>
        </w:rPr>
        <w:t xml:space="preserve">What Persivia is claiming:</w:t>
      </w:r>
      <w:r>
        <w:t xml:space="preserve"> </w:t>
      </w:r>
      <w:r>
        <w:t xml:space="preserve">Care Intelligence Platform</w:t>
      </w:r>
    </w:p>
    <w:p>
      <w:pPr>
        <w:pStyle w:val="BodyText"/>
      </w:pPr>
      <w:r>
        <w:t xml:space="preserve">This positions Persivia above point solutions (e.g., single-use risk stratification or care gap tools) and below legacy EHR platforms. It signals that Persivia is the connective intelligence layer — not a data warehouse, not a dashboard tool, and not a services firm.</w:t>
      </w:r>
    </w:p>
    <w:p>
      <w:pPr>
        <w:pStyle w:val="BodyText"/>
      </w:pPr>
      <w:r>
        <w:rPr>
          <w:b/>
        </w:rPr>
        <w:t xml:space="preserve">What Persivia is NOT claiming:</w:t>
      </w:r>
    </w:p>
    <w:p>
      <w:pPr>
        <w:numPr>
          <w:ilvl w:val="0"/>
          <w:numId w:val="1001"/>
        </w:numPr>
        <w:pStyle w:val="Compact"/>
      </w:pPr>
      <w:r>
        <w:t xml:space="preserve">Population health analytics tool (too narrow, too reporting-focused)</w:t>
      </w:r>
    </w:p>
    <w:p>
      <w:pPr>
        <w:numPr>
          <w:ilvl w:val="0"/>
          <w:numId w:val="1001"/>
        </w:numPr>
        <w:pStyle w:val="Compact"/>
      </w:pPr>
      <w:r>
        <w:t xml:space="preserve">Value-based care platform (too contract-model specific)</w:t>
      </w:r>
    </w:p>
    <w:p>
      <w:pPr>
        <w:numPr>
          <w:ilvl w:val="0"/>
          <w:numId w:val="1001"/>
        </w:numPr>
        <w:pStyle w:val="Compact"/>
      </w:pPr>
      <w:r>
        <w:t xml:space="preserve">EHR replacement (too broad, creates the wrong competitive frame)</w:t>
      </w:r>
    </w:p>
    <w:p>
      <w:pPr>
        <w:numPr>
          <w:ilvl w:val="0"/>
          <w:numId w:val="1001"/>
        </w:numPr>
        <w:pStyle w:val="Compact"/>
      </w:pPr>
      <w:r>
        <w:t xml:space="preserve">AI platform (too generic, doesn’t differentiate)</w:t>
      </w:r>
    </w:p>
    <w:p>
      <w:pPr>
        <w:pStyle w:val="FirstParagraph"/>
      </w:pPr>
      <w:r>
        <w:rPr>
          <w:b/>
        </w:rPr>
        <w:t xml:space="preserve">Category positioning sentence:</w:t>
      </w:r>
      <w:r>
        <w:t xml:space="preserve"> </w:t>
      </w:r>
      <w:r>
        <w:t xml:space="preserve">&gt; Persivia is the care intelligence platform that turns fragmented healthcare data into coordinated, real-time action — at every point of care.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ingle-most-important-thing-smit"/>
      <w:r>
        <w:t xml:space="preserve">Single Most Important Thing (SMIT)</w:t>
      </w:r>
      <w:bookmarkEnd w:id="23"/>
    </w:p>
    <w:p>
      <w:pPr>
        <w:pStyle w:val="FirstParagraph"/>
      </w:pPr>
      <w:r>
        <w:rPr>
          <w:b/>
        </w:rPr>
        <w:t xml:space="preserve">The one idea Persivia owns:</w:t>
      </w:r>
    </w:p>
    <w:p>
      <w:pPr>
        <w:pStyle w:val="BlockText"/>
      </w:pPr>
      <w:r>
        <w:rPr>
          <w:i/>
        </w:rPr>
        <w:t xml:space="preserve">Persivia is the only platform that closes the gap between clinical intelligence and care team action — at scale, across the entire care continuum.</w:t>
      </w:r>
    </w:p>
    <w:p>
      <w:pPr>
        <w:pStyle w:val="FirstParagraph"/>
      </w:pPr>
      <w:r>
        <w:t xml:space="preserve">Everything else ladders up to this. Competitors either stop at insight (analytics dashboards, reporting tools) or operate at the workflow level without the intelligence layer. Persivia is the bridge — and that bridge is the category Persivia should own.</w:t>
      </w:r>
    </w:p>
    <w:p>
      <w:pPr>
        <w:pStyle w:val="BodyText"/>
      </w:pPr>
      <w:r>
        <w:rPr>
          <w:b/>
        </w:rPr>
        <w:t xml:space="preserve">SMIT test:</w:t>
      </w:r>
      <w:r>
        <w:t xml:space="preserve"> </w:t>
      </w:r>
      <w:r>
        <w:t xml:space="preserve">If a health system CMO or CIO remembered only one thing after seeing Persivia’s homepage, it should be: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They’re the platform that actually gets you from data to action.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part-2-execution-layer"/>
      <w:r>
        <w:t xml:space="preserve">Part 2: Execution Layer</w:t>
      </w:r>
      <w:bookmarkEnd w:id="24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essaging-hierarchy"/>
      <w:r>
        <w:t xml:space="preserve">Messaging Hierarchy</w:t>
      </w:r>
      <w:bookmarkEnd w:id="25"/>
    </w:p>
    <w:p>
      <w:pPr>
        <w:pStyle w:val="FirstParagraph"/>
      </w:pPr>
      <w:r>
        <w:t xml:space="preserve">How every message Persivia puts in market ladders up and down.</w:t>
      </w:r>
    </w:p>
    <w:p>
      <w:pPr>
        <w:pStyle w:val="SourceCode"/>
      </w:pPr>
      <w:r>
        <w:rPr>
          <w:rStyle w:val="VerbatimChar"/>
        </w:rPr>
        <w:t xml:space="preserve">MASTER NARRATIVE (why Persivia exists)</w:t>
      </w:r>
      <w:r>
        <w:br/>
      </w:r>
      <w:r>
        <w:rPr>
          <w:rStyle w:val="VerbatimChar"/>
        </w:rPr>
        <w:t xml:space="preserve">└── Persivia is the care intelligence platform that turns fragmented</w:t>
      </w:r>
      <w:r>
        <w:br/>
      </w:r>
      <w:r>
        <w:rPr>
          <w:rStyle w:val="VerbatimChar"/>
        </w:rPr>
        <w:t xml:space="preserve">    healthcare data into coordinated, real-time action at every point of care.</w:t>
      </w:r>
      <w:r>
        <w:br/>
      </w:r>
      <w:r>
        <w:br/>
      </w:r>
      <w:r>
        <w:rPr>
          <w:rStyle w:val="VerbatimChar"/>
        </w:rPr>
        <w:t xml:space="preserve">    PILLAR 1: TRUST FIRST</w:t>
      </w:r>
      <w:r>
        <w:br/>
      </w:r>
      <w:r>
        <w:rPr>
          <w:rStyle w:val="VerbatimChar"/>
        </w:rPr>
        <w:t xml:space="preserve">    └── Trusted intelligence that powers confident decisions</w:t>
      </w:r>
      <w:r>
        <w:br/>
      </w:r>
      <w:r>
        <w:rPr>
          <w:rStyle w:val="VerbatimChar"/>
        </w:rPr>
        <w:t xml:space="preserve">        ├── Proof: unified data from [X] source types</w:t>
      </w:r>
      <w:r>
        <w:br/>
      </w:r>
      <w:r>
        <w:rPr>
          <w:rStyle w:val="VerbatimChar"/>
        </w:rPr>
        <w:t xml:space="preserve">        ├── Proof: [customer] reduced data reconciliation time by X%</w:t>
      </w:r>
      <w:r>
        <w:br/>
      </w:r>
      <w:r>
        <w:rPr>
          <w:rStyle w:val="VerbatimChar"/>
        </w:rPr>
        <w:t xml:space="preserve">        └── Audience: CFO, CIO, conservative enterprise buyers</w:t>
      </w:r>
      <w:r>
        <w:br/>
      </w:r>
      <w:r>
        <w:br/>
      </w:r>
      <w:r>
        <w:rPr>
          <w:rStyle w:val="VerbatimChar"/>
        </w:rPr>
        <w:t xml:space="preserve">    PILLAR 2: SCALABLE SIMPLICITY</w:t>
      </w:r>
      <w:r>
        <w:br/>
      </w:r>
      <w:r>
        <w:rPr>
          <w:rStyle w:val="VerbatimChar"/>
        </w:rPr>
        <w:t xml:space="preserve">    └── Make complexity simple. Scale it everywhere.</w:t>
      </w:r>
      <w:r>
        <w:br/>
      </w:r>
      <w:r>
        <w:rPr>
          <w:rStyle w:val="VerbatimChar"/>
        </w:rPr>
        <w:t xml:space="preserve">        ├── Proof: deployed at health systems with [X] care sites</w:t>
      </w:r>
      <w:r>
        <w:br/>
      </w:r>
      <w:r>
        <w:rPr>
          <w:rStyle w:val="VerbatimChar"/>
        </w:rPr>
        <w:t xml:space="preserve">        ├── Proof: [customer] went live in [X] weeks</w:t>
      </w:r>
      <w:r>
        <w:br/>
      </w:r>
      <w:r>
        <w:rPr>
          <w:rStyle w:val="VerbatimChar"/>
        </w:rPr>
        <w:t xml:space="preserve">        └── Audience: COO, VP Care Management, Homepage</w:t>
      </w:r>
      <w:r>
        <w:br/>
      </w:r>
      <w:r>
        <w:br/>
      </w:r>
      <w:r>
        <w:rPr>
          <w:rStyle w:val="VerbatimChar"/>
        </w:rPr>
        <w:t xml:space="preserve">    PILLAR 3: CARE CONTINUUM</w:t>
      </w:r>
      <w:r>
        <w:br/>
      </w:r>
      <w:r>
        <w:rPr>
          <w:rStyle w:val="VerbatimChar"/>
        </w:rPr>
        <w:t xml:space="preserve">    └── Activate at every point of care. Close the gaps that matter.</w:t>
      </w:r>
      <w:r>
        <w:br/>
      </w:r>
      <w:r>
        <w:rPr>
          <w:rStyle w:val="VerbatimChar"/>
        </w:rPr>
        <w:t xml:space="preserve">        ├── Proof: [X] patient touchpoints covered</w:t>
      </w:r>
      <w:r>
        <w:br/>
      </w:r>
      <w:r>
        <w:rPr>
          <w:rStyle w:val="VerbatimChar"/>
        </w:rPr>
        <w:t xml:space="preserve">        ├── Proof: [customer] improved gap closure rate by X%</w:t>
      </w:r>
      <w:r>
        <w:br/>
      </w:r>
      <w:r>
        <w:rPr>
          <w:rStyle w:val="VerbatimChar"/>
        </w:rPr>
        <w:t xml:space="preserve">        └── Audience: CMO, CNO, Care Management Leaders</w:t>
      </w:r>
      <w:r>
        <w:br/>
      </w:r>
      <w:r>
        <w:br/>
      </w:r>
      <w:r>
        <w:rPr>
          <w:rStyle w:val="VerbatimChar"/>
        </w:rPr>
        <w:t xml:space="preserve">USE-CASE LEVEL (most specific)</w:t>
      </w:r>
      <w:r>
        <w:br/>
      </w:r>
      <w:r>
        <w:rPr>
          <w:rStyle w:val="VerbatimChar"/>
        </w:rPr>
        <w:t xml:space="preserve">└── E.g., "Risk stratification that surfaces the right patients</w:t>
      </w:r>
      <w:r>
        <w:br/>
      </w:r>
      <w:r>
        <w:rPr>
          <w:rStyle w:val="VerbatimChar"/>
        </w:rPr>
        <w:t xml:space="preserve">    before they deteriorate" — maps to Care Continuum pillar</w:t>
      </w:r>
    </w:p>
    <w:p>
      <w:pPr>
        <w:pStyle w:val="FirstParagraph"/>
      </w:pPr>
      <w:r>
        <w:rPr>
          <w:b/>
        </w:rPr>
        <w:t xml:space="preserve">Rule:</w:t>
      </w:r>
      <w:r>
        <w:t xml:space="preserve"> </w:t>
      </w:r>
      <w:r>
        <w:t xml:space="preserve">Every asset — a blog post, a sales one-pager, a conference banner — should be traceable to one pillar, which traces to the master narrative. If it doesn’t fit, it shouldn’t ship.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hannel-guidance"/>
      <w:r>
        <w:t xml:space="preserve">Channel Guidance</w:t>
      </w:r>
      <w:bookmarkEnd w:id="26"/>
    </w:p>
    <w:p>
      <w:pPr>
        <w:pStyle w:val="FirstParagraph"/>
      </w:pPr>
      <w:r>
        <w:t xml:space="preserve">How the messaging hierarchy maps to specific channels.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Pillar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Homepage Hero</w:t>
            </w:r>
          </w:p>
        </w:tc>
        <w:tc>
          <w:p>
            <w:pPr>
              <w:pStyle w:val="Compact"/>
              <w:jc w:val="left"/>
            </w:pPr>
            <w:r>
              <w:t xml:space="preserve">Scalable Simplicity</w:t>
            </w:r>
          </w:p>
        </w:tc>
        <w:tc>
          <w:p>
            <w:pPr>
              <w:pStyle w:val="Compact"/>
              <w:jc w:val="left"/>
            </w:pPr>
            <w:r>
              <w:t xml:space="preserve">Bold, confident</w:t>
            </w:r>
          </w:p>
        </w:tc>
        <w:tc>
          <w:p>
            <w:pPr>
              <w:pStyle w:val="Compact"/>
              <w:jc w:val="left"/>
            </w:pPr>
            <w:r>
              <w:t xml:space="preserve">Master narrative + H1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Homepage</w:t>
            </w:r>
            <w:r>
              <w:t xml:space="preserve"> </w:t>
            </w:r>
            <w:r>
              <w:t xml:space="preserve">“</w:t>
            </w:r>
            <w:r>
              <w:t xml:space="preserve">Why Persivia</w:t>
            </w:r>
            <w:r>
              <w:t xml:space="preserve">”</w:t>
            </w:r>
            <w:r>
              <w:t xml:space="preserve"> </w:t>
            </w: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All 3 pillars</w:t>
            </w:r>
          </w:p>
        </w:tc>
        <w:tc>
          <w:p>
            <w:pPr>
              <w:pStyle w:val="Compact"/>
              <w:jc w:val="left"/>
            </w:pPr>
            <w:r>
              <w:t xml:space="preserve">Clear, structured</w:t>
            </w:r>
          </w:p>
        </w:tc>
        <w:tc>
          <w:p>
            <w:pPr>
              <w:pStyle w:val="Compact"/>
              <w:jc w:val="left"/>
            </w:pPr>
            <w:r>
              <w:t xml:space="preserve">Pillar overview with 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Outbound sales email</w:t>
            </w:r>
          </w:p>
        </w:tc>
        <w:tc>
          <w:p>
            <w:pPr>
              <w:pStyle w:val="Compact"/>
              <w:jc w:val="left"/>
            </w:pPr>
            <w:r>
              <w:t xml:space="preserve">Trust First</w:t>
            </w:r>
          </w:p>
        </w:tc>
        <w:tc>
          <w:p>
            <w:pPr>
              <w:pStyle w:val="Compact"/>
              <w:jc w:val="left"/>
            </w:pPr>
            <w:r>
              <w:t xml:space="preserve">Credible, direct</w:t>
            </w:r>
          </w:p>
        </w:tc>
        <w:tc>
          <w:p>
            <w:pPr>
              <w:pStyle w:val="Compact"/>
              <w:jc w:val="left"/>
            </w:pPr>
            <w:r>
              <w:t xml:space="preserve">Data trust + outcomes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deck (C-suite)</w:t>
            </w:r>
          </w:p>
        </w:tc>
        <w:tc>
          <w:p>
            <w:pPr>
              <w:pStyle w:val="Compact"/>
              <w:jc w:val="left"/>
            </w:pPr>
            <w:r>
              <w:t xml:space="preserve">Trust First + Scalable Simplicity</w:t>
            </w:r>
          </w:p>
        </w:tc>
        <w:tc>
          <w:p>
            <w:pPr>
              <w:pStyle w:val="Compact"/>
              <w:jc w:val="left"/>
            </w:pPr>
            <w:r>
              <w:t xml:space="preserve">Executive, strategic</w:t>
            </w:r>
          </w:p>
        </w:tc>
        <w:tc>
          <w:p>
            <w:pPr>
              <w:pStyle w:val="Compact"/>
              <w:jc w:val="left"/>
            </w:pPr>
            <w:r>
              <w:t xml:space="preserve">ROI + scalability 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deck (clinical)</w:t>
            </w:r>
          </w:p>
        </w:tc>
        <w:tc>
          <w:p>
            <w:pPr>
              <w:pStyle w:val="Compact"/>
              <w:jc w:val="left"/>
            </w:pPr>
            <w:r>
              <w:t xml:space="preserve">Care Continuum</w:t>
            </w:r>
          </w:p>
        </w:tc>
        <w:tc>
          <w:p>
            <w:pPr>
              <w:pStyle w:val="Compact"/>
              <w:jc w:val="left"/>
            </w:pPr>
            <w:r>
              <w:t xml:space="preserve">Clinical, outcome-led</w:t>
            </w:r>
          </w:p>
        </w:tc>
        <w:tc>
          <w:p>
            <w:pPr>
              <w:pStyle w:val="Compact"/>
              <w:jc w:val="left"/>
            </w:pPr>
            <w:r>
              <w:t xml:space="preserve">Patient inflection 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Conference / event</w:t>
            </w:r>
          </w:p>
        </w:tc>
        <w:tc>
          <w:p>
            <w:pPr>
              <w:pStyle w:val="Compact"/>
              <w:jc w:val="left"/>
            </w:pPr>
            <w:r>
              <w:t xml:space="preserve">Scalable Simplicity</w:t>
            </w:r>
          </w:p>
        </w:tc>
        <w:tc>
          <w:p>
            <w:pPr>
              <w:pStyle w:val="Compact"/>
              <w:jc w:val="left"/>
            </w:pPr>
            <w:r>
              <w:t xml:space="preserve">High-energy, visual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From data to action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studies</w:t>
            </w:r>
          </w:p>
        </w:tc>
        <w:tc>
          <w:p>
            <w:pPr>
              <w:pStyle w:val="Compact"/>
              <w:jc w:val="left"/>
            </w:pPr>
            <w:r>
              <w:t xml:space="preserve">Care Continuum</w:t>
            </w:r>
          </w:p>
        </w:tc>
        <w:tc>
          <w:p>
            <w:pPr>
              <w:pStyle w:val="Compact"/>
              <w:jc w:val="left"/>
            </w:pPr>
            <w:r>
              <w:t xml:space="preserve">Story-driven, specific</w:t>
            </w:r>
          </w:p>
        </w:tc>
        <w:tc>
          <w:p>
            <w:pPr>
              <w:pStyle w:val="Compact"/>
              <w:jc w:val="left"/>
            </w:pPr>
            <w:r>
              <w:t xml:space="preserve">Patient outcome 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 / press releases</w:t>
            </w:r>
          </w:p>
        </w:tc>
        <w:tc>
          <w:p>
            <w:pPr>
              <w:pStyle w:val="Compact"/>
              <w:jc w:val="left"/>
            </w:pPr>
            <w:r>
              <w:t xml:space="preserve">Master narrative</w:t>
            </w:r>
          </w:p>
        </w:tc>
        <w:tc>
          <w:p>
            <w:pPr>
              <w:pStyle w:val="Compact"/>
              <w:jc w:val="left"/>
            </w:pPr>
            <w:r>
              <w:t xml:space="preserve">Neutral, credible</w:t>
            </w:r>
          </w:p>
        </w:tc>
        <w:tc>
          <w:p>
            <w:pPr>
              <w:pStyle w:val="Compact"/>
              <w:jc w:val="left"/>
            </w:pPr>
            <w:r>
              <w:t xml:space="preserve">Category leadership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LinkedIn (company)</w:t>
            </w:r>
          </w:p>
        </w:tc>
        <w:tc>
          <w:p>
            <w:pPr>
              <w:pStyle w:val="Compact"/>
              <w:jc w:val="left"/>
            </w:pPr>
            <w:r>
              <w:t xml:space="preserve">All 3, rotating</w:t>
            </w:r>
          </w:p>
        </w:tc>
        <w:tc>
          <w:p>
            <w:pPr>
              <w:pStyle w:val="Compact"/>
              <w:jc w:val="left"/>
            </w:pPr>
            <w:r>
              <w:t xml:space="preserve">Thought leadership</w:t>
            </w:r>
          </w:p>
        </w:tc>
        <w:tc>
          <w:p>
            <w:pPr>
              <w:pStyle w:val="Compact"/>
              <w:jc w:val="left"/>
            </w:pPr>
            <w:r>
              <w:t xml:space="preserve">Pillar content + proof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Analyst briefings</w:t>
            </w:r>
          </w:p>
        </w:tc>
        <w:tc>
          <w:p>
            <w:pPr>
              <w:pStyle w:val="Compact"/>
              <w:jc w:val="left"/>
            </w:pPr>
            <w:r>
              <w:t xml:space="preserve">Trust First</w:t>
            </w:r>
          </w:p>
        </w:tc>
        <w:tc>
          <w:p>
            <w:pPr>
              <w:pStyle w:val="Compact"/>
              <w:jc w:val="left"/>
            </w:pPr>
            <w:r>
              <w:t xml:space="preserve">Rigorous, data-backed</w:t>
            </w:r>
          </w:p>
        </w:tc>
        <w:tc>
          <w:p>
            <w:pPr>
              <w:pStyle w:val="Compact"/>
              <w:jc w:val="left"/>
            </w:pPr>
            <w:r>
              <w:t xml:space="preserve">Category definition + differentiation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RFP / procurement responses</w:t>
            </w:r>
          </w:p>
        </w:tc>
        <w:tc>
          <w:p>
            <w:pPr>
              <w:pStyle w:val="Compact"/>
              <w:jc w:val="left"/>
            </w:pPr>
            <w:r>
              <w:t xml:space="preserve">Trust First + Scalable Simplicity</w:t>
            </w:r>
          </w:p>
        </w:tc>
        <w:tc>
          <w:p>
            <w:pPr>
              <w:pStyle w:val="Compact"/>
              <w:jc w:val="left"/>
            </w:pPr>
            <w:r>
              <w:t xml:space="preserve">Formal, proof-heavy</w:t>
            </w:r>
          </w:p>
        </w:tc>
        <w:tc>
          <w:p>
            <w:pPr>
              <w:pStyle w:val="Compact"/>
              <w:jc w:val="left"/>
            </w:pPr>
            <w:r>
              <w:t xml:space="preserve">Claims + evidence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what-we-are-not-saying"/>
      <w:r>
        <w:t xml:space="preserve">What We Are NOT Saying</w:t>
      </w:r>
      <w:bookmarkEnd w:id="27"/>
    </w:p>
    <w:p>
      <w:pPr>
        <w:pStyle w:val="FirstParagraph"/>
      </w:pPr>
      <w:r>
        <w:t xml:space="preserve">These are explicit out-of-scope messages. Keeping them out protects differentiation and prevents brand drift.</w:t>
      </w:r>
    </w:p>
    <w:p>
      <w:pPr>
        <w:pStyle w:val="BodyText"/>
      </w:pPr>
      <w:r>
        <w:rPr>
          <w:b/>
        </w:rPr>
        <w:t xml:space="preserve">We do not lead with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AI.</w:t>
      </w:r>
      <w:r>
        <w:rPr>
          <w:b/>
        </w:rPr>
        <w:t xml:space="preserve">”</w:t>
      </w:r>
      <w:r>
        <w:t xml:space="preserve"> </w:t>
      </w:r>
      <w:r>
        <w:t xml:space="preserve">Persivia uses AI/ML throughout the platform, but leading with</w:t>
      </w:r>
      <w:r>
        <w:t xml:space="preserve"> </w:t>
      </w:r>
      <w:r>
        <w:t xml:space="preserve">“</w:t>
      </w:r>
      <w:r>
        <w:t xml:space="preserve">AI-powered</w:t>
      </w:r>
      <w:r>
        <w:t xml:space="preserve">”</w:t>
      </w:r>
      <w:r>
        <w:t xml:space="preserve"> </w:t>
      </w:r>
      <w:r>
        <w:t xml:space="preserve">is table stakes in 2026. It invites comparison to generic AI vendors and distracts from the outcome story. AI is proof, not positioning.</w:t>
      </w:r>
    </w:p>
    <w:p>
      <w:pPr>
        <w:pStyle w:val="BodyText"/>
      </w:pPr>
      <w:r>
        <w:rPr>
          <w:b/>
        </w:rPr>
        <w:t xml:space="preserve">We do not say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value-based care platform.</w:t>
      </w:r>
      <w:r>
        <w:rPr>
          <w:b/>
        </w:rPr>
        <w:t xml:space="preserve">”</w:t>
      </w:r>
      <w:r>
        <w:t xml:space="preserve"> </w:t>
      </w:r>
      <w:r>
        <w:t xml:space="preserve">As established, this narrows the addressable market and mis-signals to health systems earlier in their VBC journey. The platform delivers outcomes regardless of payer model.</w:t>
      </w:r>
    </w:p>
    <w:p>
      <w:pPr>
        <w:pStyle w:val="BodyText"/>
      </w:pPr>
      <w:r>
        <w:rPr>
          <w:b/>
        </w:rPr>
        <w:t xml:space="preserve">We do not say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population health.</w:t>
      </w:r>
      <w:r>
        <w:rPr>
          <w:b/>
        </w:rPr>
        <w:t xml:space="preserve">”</w:t>
      </w:r>
      <w:r>
        <w:t xml:space="preserve"> </w:t>
      </w:r>
      <w:r>
        <w:t xml:space="preserve">This category is crowded, mature, and associated with legacy reporting tools. Claiming it would work against Persivia’s modernization and differentiation narrative.</w:t>
      </w:r>
    </w:p>
    <w:p>
      <w:pPr>
        <w:pStyle w:val="BodyText"/>
      </w:pPr>
      <w:r>
        <w:rPr>
          <w:b/>
        </w:rPr>
        <w:t xml:space="preserve">We do not use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simple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alone.</w:t>
      </w:r>
      <w:r>
        <w:t xml:space="preserve"> </w:t>
      </w:r>
      <w:r>
        <w:t xml:space="preserve">“</w:t>
      </w:r>
      <w:r>
        <w:t xml:space="preserve">Simple</w:t>
      </w:r>
      <w: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t xml:space="preserve">“</w:t>
      </w:r>
      <w:r>
        <w:t xml:space="preserve">scalable</w:t>
      </w:r>
      <w:r>
        <w:t xml:space="preserve">”</w:t>
      </w:r>
      <w:r>
        <w:t xml:space="preserve"> </w:t>
      </w:r>
      <w:r>
        <w:t xml:space="preserve">undersells the enterprise capability and may create skepticism among large health system buyers. Always pair:</w:t>
      </w:r>
      <w:r>
        <w:t xml:space="preserve"> </w:t>
      </w:r>
      <w:r>
        <w:t xml:space="preserve">“</w:t>
      </w:r>
      <w:r>
        <w:t xml:space="preserve">simple to adopt, scalable to grow.</w:t>
      </w:r>
      <w:r>
        <w:t xml:space="preserve">”</w:t>
      </w:r>
    </w:p>
    <w:p>
      <w:pPr>
        <w:pStyle w:val="BodyText"/>
      </w:pPr>
      <w:r>
        <w:rPr>
          <w:b/>
        </w:rPr>
        <w:t xml:space="preserve">We do not promise replacement of existing systems.</w:t>
      </w:r>
      <w:r>
        <w:t xml:space="preserve"> </w:t>
      </w:r>
      <w:r>
        <w:t xml:space="preserve">Persivia is the intelligence and workflow layer — it integrates with and enhances existing infrastructure (EHR, claims, ADT). Positioning as a replacement creates unnecessary competitive friction and extends sales cycles.</w:t>
      </w:r>
    </w:p>
    <w:p>
      <w:pPr>
        <w:pStyle w:val="BodyText"/>
      </w:pPr>
      <w:r>
        <w:rPr>
          <w:b/>
        </w:rPr>
        <w:t xml:space="preserve">We do not make unsubstantiated superlatives.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the only,</w:t>
      </w:r>
      <w:r>
        <w:t xml:space="preserve">”</w:t>
      </w:r>
      <w:r>
        <w:t xml:space="preserve"> </w:t>
      </w:r>
      <w:r>
        <w:t xml:space="preserve">“</w:t>
      </w:r>
      <w:r>
        <w:t xml:space="preserve">the best,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most</w:t>
      </w:r>
      <w:r>
        <w:t xml:space="preserve">”</w:t>
      </w:r>
      <w:r>
        <w:t xml:space="preserve"> </w:t>
      </w:r>
      <w:r>
        <w:t xml:space="preserve">without supporting proof. Every headline claim in any external asset must have a corresponding proof point approved by the messaging owner.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essaging-ownership-change-management"/>
      <w:r>
        <w:t xml:space="preserve">Messaging Ownership &amp; Change Management</w:t>
      </w:r>
      <w:bookmarkEnd w:id="28"/>
    </w:p>
    <w:p>
      <w:pPr>
        <w:pStyle w:val="FirstParagraph"/>
      </w:pPr>
      <w:r>
        <w:rPr>
          <w:b/>
        </w:rPr>
        <w:t xml:space="preserve">Who owns messaging:</w:t>
      </w:r>
      <w:r>
        <w:t xml:space="preserve"> </w:t>
      </w:r>
      <w:r>
        <w:t xml:space="preserve">[CMO / Head of Marketing — name to be confirmed]</w:t>
      </w:r>
    </w:p>
    <w:p>
      <w:pPr>
        <w:pStyle w:val="BodyText"/>
      </w:pPr>
      <w:r>
        <w:rPr>
          <w:b/>
        </w:rPr>
        <w:t xml:space="preserve">How updates get approved:</w:t>
      </w:r>
      <w:r>
        <w:t xml:space="preserve"> </w:t>
      </w:r>
      <w:r>
        <w:t xml:space="preserve">1. Proposed change submitted to messaging owner with rationale</w:t>
      </w:r>
      <w:r>
        <w:t xml:space="preserve"> </w:t>
      </w:r>
      <w:r>
        <w:t xml:space="preserve">2. Messaging owner reviews against SMIT and pillar architecture</w:t>
      </w:r>
      <w:r>
        <w:t xml:space="preserve"> </w:t>
      </w:r>
      <w:r>
        <w:t xml:space="preserve">3. If a pillar-level change or above: requires executive sign-off before rollout</w:t>
      </w:r>
      <w:r>
        <w:t xml:space="preserve"> </w:t>
      </w:r>
      <w:r>
        <w:t xml:space="preserve">4. If use-case or channel-level: messaging owner approval sufficient</w:t>
      </w:r>
      <w:r>
        <w:t xml:space="preserve"> </w:t>
      </w:r>
      <w:r>
        <w:t xml:space="preserve">5. All approved changes logged in the messaging changelog [link to be added]</w:t>
      </w:r>
    </w:p>
    <w:p>
      <w:pPr>
        <w:pStyle w:val="BodyText"/>
      </w:pPr>
      <w:r>
        <w:rPr>
          <w:b/>
        </w:rPr>
        <w:t xml:space="preserve">Cadence:</w:t>
      </w:r>
      <w:r>
        <w:t xml:space="preserve"> </w:t>
      </w:r>
      <w:r>
        <w:t xml:space="preserve">Full messaging review quarterly, or triggered by a significant market event (competitor move, product expansion, new ICP).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Persivia | Confidential | March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Persivia: Foundational Positioning &amp; Execution Layer</dc:title>
  <dc:creator/>
  <cp:keywords/>
  <dcterms:created xsi:type="dcterms:W3CDTF">2026-03-26T19:10:28Z</dcterms:created>
  <dcterms:modified xsi:type="dcterms:W3CDTF">2026-03-26T19:10:28Z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Internal Messaging Architecture</vt:lpwstr>
  </property>
</Properties>
</file>