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Inter" w:cs="Inter" w:eastAsia="Inter" w:hAnsi="Inter"/>
          <w:b/>
          <w:bCs/>
          <w:color w:val="134D67"/>
          <w:spacing w:val="80"/>
          <w:sz w:val="56"/>
          <w:szCs w:val="56"/>
        </w:rPr>
        <w:t xml:space="preserve">PERSIVIA</w:t>
      </w:r>
    </w:p>
    <w:p>
      <w:pPr>
        <w:spacing w:after="40" w:before="0"/>
      </w:pPr>
      <w:r>
        <w:rPr>
          <w:rFonts w:ascii="Inter" w:cs="Inter" w:eastAsia="Inter" w:hAnsi="Inter"/>
          <w:b w:val="false"/>
          <w:bCs w:val="false"/>
          <w:color w:val="3D5566"/>
          <w:sz w:val="36"/>
          <w:szCs w:val="36"/>
        </w:rPr>
        <w:t xml:space="preserve">Interim HubSpot Website</w:t>
      </w:r>
    </w:p>
    <w:p>
      <w:pPr>
        <w:spacing w:after="80" w:before="0"/>
      </w:pPr>
      <w:r>
        <w:rPr>
          <w:rFonts w:ascii="Inter" w:cs="Inter" w:eastAsia="Inter" w:hAnsi="Inter"/>
          <w:b w:val="false"/>
          <w:bCs w:val="false"/>
          <w:color w:val="3D5566"/>
          <w:sz w:val="36"/>
          <w:szCs w:val="36"/>
        </w:rPr>
        <w:t xml:space="preserve">Copy &amp; Content Reference</w:t>
      </w:r>
    </w:p>
    <w:p>
      <w:pPr>
        <w:pBdr>
          <w:bottom w:val="single" w:color="D0DCE4" w:sz="4" w:space="1"/>
        </w:pBdr>
        <w:spacing w:after="120" w:before="120"/>
      </w:pPr>
    </w:p>
    <w:p>
      <w:pPr>
        <w:spacing w:after="40" w:before="80"/>
      </w:pPr>
      <w:r>
        <w:rPr>
          <w:rFonts w:ascii="Inter" w:cs="Inter" w:eastAsia="Inter" w:hAnsi="Inter"/>
          <w:color w:val="6B8599"/>
          <w:sz w:val="18"/>
          <w:szCs w:val="18"/>
        </w:rPr>
        <w:t xml:space="preserve">Version 1.0  |  April 2026  |  Confidential</w:t>
      </w:r>
    </w:p>
    <w:p>
      <w:pPr>
        <w:spacing w:after="40" w:before="40"/>
      </w:pPr>
      <w:r>
        <w:rPr>
          <w:rFonts w:ascii="Inter" w:cs="Inter" w:eastAsia="Inter" w:hAnsi="Inter"/>
          <w:color w:val="6B8599"/>
          <w:sz w:val="18"/>
          <w:szCs w:val="18"/>
        </w:rPr>
        <w:t xml:space="preserve">Prepared for: Persivia GTM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CC93" w:sz="18"/>
              <w:bottom w:val="none" w:color="FFFFFF" w:sz="0"/>
              <w:right w:val="none" w:color="FFFFFF" w:sz="0"/>
            </w:tcBorders>
            <w:shd w:fill="F0FBF7" w:val="clear"/>
            <w:tcMar>
              <w:top w:type="dxa" w:w="80"/>
              <w:left w:type="dxa" w:w="160"/>
              <w:bottom w:type="dxa" w:w="80"/>
              <w:right w:type="dxa" w:w="160"/>
            </w:tcMar>
          </w:tcPr>
          <w:p>
            <w:r>
              <w:rPr>
                <w:rFonts w:ascii="Inter" w:cs="Inter" w:eastAsia="Inter" w:hAnsi="Inter"/>
                <w:i/>
                <w:iCs/>
                <w:color w:val="1A6B4A"/>
                <w:sz w:val="18"/>
                <w:szCs w:val="18"/>
              </w:rPr>
              <w:t xml:space="preserve">This document contains all copy, headlines, CTAs, and editorial notes for each section of the interim Persivia landing page. Use this as the source of truth when building in HubSpot. Placeholders are clearly marked in yellow.</w:t>
            </w:r>
          </w:p>
        </w:tc>
      </w:tr>
    </w:tbl>
    <w:p>
      <w:r>
        <w:br w:type="page"/>
      </w:r>
    </w:p>
    <w:p>
      <w:pPr>
        <w:pStyle w:val="Heading1"/>
        <w:spacing w:after="120" w:before="360"/>
      </w:pPr>
      <w:r>
        <w:rPr>
          <w:rFonts w:ascii="Inter" w:cs="Inter" w:eastAsia="Inter" w:hAnsi="Inter"/>
          <w:b/>
          <w:bCs/>
          <w:color w:val="0D1F2D"/>
          <w:sz w:val="36"/>
          <w:szCs w:val="36"/>
        </w:rPr>
        <w:t xml:space="preserve">How to Use This Document</w:t>
      </w:r>
    </w:p>
    <w:p>
      <w:pPr>
        <w:spacing w:after="80" w:before="40"/>
      </w:pPr>
      <w:r>
        <w:rPr>
          <w:rFonts w:ascii="Inter" w:cs="Inter" w:eastAsia="Inter" w:hAnsi="Inter"/>
          <w:b w:val="false"/>
          <w:bCs w:val="false"/>
          <w:color w:val="3D5566"/>
          <w:sz w:val="20"/>
          <w:szCs w:val="20"/>
        </w:rPr>
        <w:t xml:space="preserve">This document is organized section-by-section to mirror the landing page layout. Each section includes:</w:t>
      </w:r>
    </w:p>
    <w:p>
      <w:pPr>
        <w:pStyle w:val="ListParagraph"/>
        <w:numPr>
          <w:ilvl w:val="0"/>
          <w:numId w:val="2"/>
        </w:numPr>
        <w:spacing w:after="40" w:before="40"/>
      </w:pPr>
      <w:r>
        <w:rPr>
          <w:rFonts w:ascii="Inter" w:cs="Inter" w:eastAsia="Inter" w:hAnsi="Inter"/>
          <w:color w:val="3D5566"/>
          <w:sz w:val="20"/>
          <w:szCs w:val="20"/>
        </w:rPr>
        <w:t xml:space="preserve">Eyebrow / Label — small uppercase tag above the headline</w:t>
      </w:r>
    </w:p>
    <w:p>
      <w:pPr>
        <w:pStyle w:val="ListParagraph"/>
        <w:numPr>
          <w:ilvl w:val="0"/>
          <w:numId w:val="2"/>
        </w:numPr>
        <w:spacing w:after="40" w:before="40"/>
      </w:pPr>
      <w:r>
        <w:rPr>
          <w:rFonts w:ascii="Inter" w:cs="Inter" w:eastAsia="Inter" w:hAnsi="Inter"/>
          <w:color w:val="3D5566"/>
          <w:sz w:val="20"/>
          <w:szCs w:val="20"/>
        </w:rPr>
        <w:t xml:space="preserve">Headline (H1/H2) — primary heading for the section</w:t>
      </w:r>
    </w:p>
    <w:p>
      <w:pPr>
        <w:pStyle w:val="ListParagraph"/>
        <w:numPr>
          <w:ilvl w:val="0"/>
          <w:numId w:val="2"/>
        </w:numPr>
        <w:spacing w:after="40" w:before="40"/>
      </w:pPr>
      <w:r>
        <w:rPr>
          <w:rFonts w:ascii="Inter" w:cs="Inter" w:eastAsia="Inter" w:hAnsi="Inter"/>
          <w:color w:val="3D5566"/>
          <w:sz w:val="20"/>
          <w:szCs w:val="20"/>
        </w:rPr>
        <w:t xml:space="preserve">Subheadline — supporting copy beneath the headline</w:t>
      </w:r>
    </w:p>
    <w:p>
      <w:pPr>
        <w:pStyle w:val="ListParagraph"/>
        <w:numPr>
          <w:ilvl w:val="0"/>
          <w:numId w:val="2"/>
        </w:numPr>
        <w:spacing w:after="40" w:before="40"/>
      </w:pPr>
      <w:r>
        <w:rPr>
          <w:rFonts w:ascii="Inter" w:cs="Inter" w:eastAsia="Inter" w:hAnsi="Inter"/>
          <w:color w:val="3D5566"/>
          <w:sz w:val="20"/>
          <w:szCs w:val="20"/>
        </w:rPr>
        <w:t xml:space="preserve">Body Copy — additional descriptive text</w:t>
      </w:r>
    </w:p>
    <w:p>
      <w:pPr>
        <w:pStyle w:val="ListParagraph"/>
        <w:numPr>
          <w:ilvl w:val="0"/>
          <w:numId w:val="2"/>
        </w:numPr>
        <w:spacing w:after="40" w:before="40"/>
      </w:pPr>
      <w:r>
        <w:rPr>
          <w:rFonts w:ascii="Inter" w:cs="Inter" w:eastAsia="Inter" w:hAnsi="Inter"/>
          <w:color w:val="3D5566"/>
          <w:sz w:val="20"/>
          <w:szCs w:val="20"/>
        </w:rPr>
        <w:t xml:space="preserve">Bullet Points — supporting proof or feature lists</w:t>
      </w:r>
    </w:p>
    <w:p>
      <w:pPr>
        <w:pStyle w:val="ListParagraph"/>
        <w:numPr>
          <w:ilvl w:val="0"/>
          <w:numId w:val="2"/>
        </w:numPr>
        <w:spacing w:after="40" w:before="40"/>
      </w:pPr>
      <w:r>
        <w:rPr>
          <w:rFonts w:ascii="Inter" w:cs="Inter" w:eastAsia="Inter" w:hAnsi="Inter"/>
          <w:color w:val="3D5566"/>
          <w:sz w:val="20"/>
          <w:szCs w:val="20"/>
        </w:rPr>
        <w:t xml:space="preserve">Micro-CTA / Button Copy — link or button text</w:t>
      </w:r>
    </w:p>
    <w:p>
      <w:pPr>
        <w:pStyle w:val="ListParagraph"/>
        <w:numPr>
          <w:ilvl w:val="0"/>
          <w:numId w:val="2"/>
        </w:numPr>
        <w:spacing w:after="40" w:before="40"/>
      </w:pPr>
      <w:r>
        <w:rPr>
          <w:rFonts w:ascii="Inter" w:cs="Inter" w:eastAsia="Inter" w:hAnsi="Inter"/>
          <w:color w:val="3D5566"/>
          <w:sz w:val="20"/>
          <w:szCs w:val="20"/>
        </w:rPr>
        <w:t xml:space="preserve">Design Notes — layout or visual guidance for the HubSpot build</w:t>
      </w:r>
    </w:p>
    <w:p>
      <w:pPr>
        <w:pStyle w:val="ListParagraph"/>
        <w:numPr>
          <w:ilvl w:val="0"/>
          <w:numId w:val="2"/>
        </w:numPr>
        <w:spacing w:after="40" w:before="40"/>
      </w:pPr>
      <w:r>
        <w:rPr>
          <w:rFonts w:ascii="Inter" w:cs="Inter" w:eastAsia="Inter" w:hAnsi="Inter"/>
          <w:color w:val="3D5566"/>
          <w:sz w:val="20"/>
          <w:szCs w:val="20"/>
        </w:rPr>
        <w:t xml:space="preserve">Placeholders — marked in yellow, must be filled in before launch</w:t>
      </w:r>
    </w:p>
    <w:p>
      <w:pPr>
        <w:pBdr>
          <w:bottom w:val="single" w:color="D0DCE4" w:sz="4" w:space="1"/>
        </w:pBdr>
        <w:spacing w:after="120" w:before="120"/>
      </w:pPr>
    </w:p>
    <w:p>
      <w:pPr>
        <w:spacing w:after="80" w:before="40"/>
      </w:pPr>
      <w:r>
        <w:rPr>
          <w:rFonts w:ascii="Inter" w:cs="Inter" w:eastAsia="Inter" w:hAnsi="Inter"/>
          <w:b/>
          <w:bCs/>
          <w:color w:val="134D67"/>
          <w:sz w:val="20"/>
          <w:szCs w:val="20"/>
        </w:rPr>
        <w:t xml:space="preserve">BRAND QUICK REFERENCE:</w:t>
      </w:r>
    </w:p>
    <w:p>
      <w:pPr>
        <w:spacing w:after="80" w:before="40"/>
      </w:pPr>
      <w:r>
        <w:rPr>
          <w:rFonts w:ascii="Inter" w:cs="Inter" w:eastAsia="Inter" w:hAnsi="Inter"/>
          <w:b w:val="false"/>
          <w:bCs w:val="false"/>
          <w:color w:val="3D5566"/>
          <w:sz w:val="20"/>
          <w:szCs w:val="20"/>
        </w:rPr>
        <w:t xml:space="preserve">Primary Navy: #134D67  |  Primary Green: #15CC93  |  Font: Inter</w:t>
      </w:r>
    </w:p>
    <w:p>
      <w:pPr>
        <w:spacing w:after="80" w:before="40"/>
      </w:pPr>
      <w:r>
        <w:rPr>
          <w:rFonts w:ascii="Inter" w:cs="Inter" w:eastAsia="Inter" w:hAnsi="Inter"/>
          <w:b w:val="false"/>
          <w:bCs w:val="false"/>
          <w:color w:val="3D5566"/>
          <w:sz w:val="20"/>
          <w:szCs w:val="20"/>
        </w:rPr>
        <w:t xml:space="preserve">CTA Style: Rounded pill button with arrow  |  Tone: Confident, outcome-first, executive-level</w:t>
      </w:r>
    </w:p>
    <w:p>
      <w:r>
        <w:br w:type="page"/>
      </w:r>
    </w:p>
    <w:p>
      <w:pPr>
        <w:spacing w:after="80" w:before="360"/>
      </w:pPr>
      <w:r>
        <w:rPr>
          <w:rFonts w:ascii="Inter" w:cs="Inter" w:eastAsia="Inter" w:hAnsi="Inter"/>
          <w:b/>
          <w:bCs/>
          <w:color w:val="15CC93"/>
          <w:spacing w:val="30"/>
          <w:sz w:val="22"/>
          <w:szCs w:val="22"/>
        </w:rPr>
        <w:t xml:space="preserve">SECTION NAV — </w:t>
      </w:r>
      <w:r>
        <w:rPr>
          <w:rFonts w:ascii="Inter" w:cs="Inter" w:eastAsia="Inter" w:hAnsi="Inter"/>
          <w:b/>
          <w:bCs/>
          <w:color w:val="134D67"/>
          <w:spacing w:val="30"/>
          <w:sz w:val="22"/>
          <w:szCs w:val="22"/>
        </w:rPr>
        <w:t xml:space="preserve">NAVIGATION BAR</w:t>
      </w:r>
    </w:p>
    <w:p>
      <w:pPr>
        <w:spacing w:after="60" w:before="40"/>
      </w:pPr>
      <w:r>
        <w:rPr>
          <w:rFonts w:ascii="Inter" w:cs="Inter" w:eastAsia="Inter" w:hAnsi="Inter"/>
          <w:b/>
          <w:bCs/>
          <w:color w:val="0D1F2D"/>
          <w:sz w:val="18"/>
          <w:szCs w:val="18"/>
        </w:rPr>
        <w:t xml:space="preserve">Purpose: </w:t>
      </w:r>
      <w:r>
        <w:rPr>
          <w:rFonts w:ascii="Inter" w:cs="Inter" w:eastAsia="Inter" w:hAnsi="Inter"/>
          <w:i/>
          <w:iCs/>
          <w:color w:val="3D5566"/>
          <w:sz w:val="18"/>
          <w:szCs w:val="18"/>
        </w:rPr>
        <w:t xml:space="preserve">Persistent navigation present on all pages. Keep minimal for the interim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FF5F8" w:val="clear"/>
            <w:tcMar>
              <w:top w:type="dxa" w:w="80"/>
              <w:left w:type="dxa" w:w="120"/>
              <w:bottom w:type="dxa" w:w="80"/>
              <w:right w:type="dxa" w:w="120"/>
            </w:tcMar>
          </w:tcPr>
          <w:p>
            <w:r>
              <w:rPr>
                <w:rFonts w:ascii="Inter" w:cs="Inter" w:eastAsia="Inter" w:hAnsi="Inter"/>
                <w:b/>
                <w:bCs/>
                <w:color w:val="134D67"/>
                <w:sz w:val="18"/>
                <w:szCs w:val="18"/>
              </w:rPr>
              <w:t xml:space="preserve">Logo</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Inter" w:cs="Inter" w:eastAsia="Inter" w:hAnsi="Inter"/>
                <w:color w:val="0D1F2D"/>
                <w:sz w:val="18"/>
                <w:szCs w:val="18"/>
              </w:rPr>
              <w:t xml:space="preserve">Persivia (with brand icon — SVG preferred)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FF5F8" w:val="clear"/>
            <w:tcMar>
              <w:top w:type="dxa" w:w="80"/>
              <w:left w:type="dxa" w:w="120"/>
              <w:bottom w:type="dxa" w:w="80"/>
              <w:right w:type="dxa" w:w="120"/>
            </w:tcMar>
          </w:tcPr>
          <w:p>
            <w:r>
              <w:rPr>
                <w:rFonts w:ascii="Inter" w:cs="Inter" w:eastAsia="Inter" w:hAnsi="Inter"/>
                <w:b/>
                <w:bCs/>
                <w:color w:val="134D67"/>
                <w:sz w:val="18"/>
                <w:szCs w:val="18"/>
              </w:rPr>
              <w:t xml:space="preserve">Nav Links</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Inter" w:cs="Inter" w:eastAsia="Inter" w:hAnsi="Inter"/>
                <w:color w:val="0D1F2D"/>
                <w:sz w:val="18"/>
                <w:szCs w:val="18"/>
              </w:rPr>
              <w:t xml:space="preserve">Platform  |  Solutions  |  Outcomes  |  About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FF5F8" w:val="clear"/>
            <w:tcMar>
              <w:top w:type="dxa" w:w="80"/>
              <w:left w:type="dxa" w:w="120"/>
              <w:bottom w:type="dxa" w:w="80"/>
              <w:right w:type="dxa" w:w="120"/>
            </w:tcMar>
          </w:tcPr>
          <w:p>
            <w:r>
              <w:rPr>
                <w:rFonts w:ascii="Inter" w:cs="Inter" w:eastAsia="Inter" w:hAnsi="Inter"/>
                <w:b/>
                <w:bCs/>
                <w:color w:val="134D67"/>
                <w:sz w:val="18"/>
                <w:szCs w:val="18"/>
              </w:rPr>
              <w:t xml:space="preserve">CTA Button</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Inter" w:cs="Inter" w:eastAsia="Inter" w:hAnsi="Inter"/>
                <w:color w:val="0D1F2D"/>
                <w:sz w:val="18"/>
                <w:szCs w:val="18"/>
              </w:rPr>
              <w:t xml:space="preserve">Start the Conversation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FF5F8" w:val="clear"/>
            <w:tcMar>
              <w:top w:type="dxa" w:w="80"/>
              <w:left w:type="dxa" w:w="120"/>
              <w:bottom w:type="dxa" w:w="80"/>
              <w:right w:type="dxa" w:w="120"/>
            </w:tcMar>
          </w:tcPr>
          <w:p>
            <w:r>
              <w:rPr>
                <w:rFonts w:ascii="Inter" w:cs="Inter" w:eastAsia="Inter" w:hAnsi="Inter"/>
                <w:b/>
                <w:bCs/>
                <w:color w:val="134D67"/>
                <w:sz w:val="18"/>
                <w:szCs w:val="18"/>
              </w:rPr>
              <w:t xml:space="preserve">Button Style</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Inter" w:cs="Inter" w:eastAsia="Inter" w:hAnsi="Inter"/>
                <w:color w:val="0D1F2D"/>
                <w:sz w:val="18"/>
                <w:szCs w:val="18"/>
              </w:rPr>
              <w:t xml:space="preserve">Green (#15CC93) pill button, right-aligned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CC93" w:sz="18"/>
              <w:bottom w:val="none" w:color="FFFFFF" w:sz="0"/>
              <w:right w:val="none" w:color="FFFFFF" w:sz="0"/>
            </w:tcBorders>
            <w:shd w:fill="F0FBF7" w:val="clear"/>
            <w:tcMar>
              <w:top w:type="dxa" w:w="80"/>
              <w:left w:type="dxa" w:w="160"/>
              <w:bottom w:type="dxa" w:w="80"/>
              <w:right w:type="dxa" w:w="160"/>
            </w:tcMar>
          </w:tcPr>
          <w:p>
            <w:r>
              <w:rPr>
                <w:rFonts w:ascii="Inter" w:cs="Inter" w:eastAsia="Inter" w:hAnsi="Inter"/>
                <w:i/>
                <w:iCs/>
                <w:color w:val="1A6B4A"/>
                <w:sz w:val="18"/>
                <w:szCs w:val="18"/>
              </w:rPr>
              <w:t xml:space="preserve">For the interim HubSpot page, navigation links can point to on-page anchor sections until full site is live.</w:t>
            </w:r>
          </w:p>
        </w:tc>
      </w:tr>
    </w:tbl>
    <w:p>
      <w:pPr>
        <w:pBdr>
          <w:bottom w:val="single" w:color="D0DCE4" w:sz="4" w:space="1"/>
        </w:pBdr>
        <w:spacing w:after="120" w:before="120"/>
      </w:pPr>
    </w:p>
    <w:p>
      <w:r>
        <w:br w:type="page"/>
      </w:r>
    </w:p>
    <w:p>
      <w:pPr>
        <w:spacing w:after="80" w:before="360"/>
      </w:pPr>
      <w:r>
        <w:rPr>
          <w:rFonts w:ascii="Inter" w:cs="Inter" w:eastAsia="Inter" w:hAnsi="Inter"/>
          <w:b/>
          <w:bCs/>
          <w:color w:val="15CC93"/>
          <w:spacing w:val="30"/>
          <w:sz w:val="22"/>
          <w:szCs w:val="22"/>
        </w:rPr>
        <w:t xml:space="preserve">SECTION 01 — </w:t>
      </w:r>
      <w:r>
        <w:rPr>
          <w:rFonts w:ascii="Inter" w:cs="Inter" w:eastAsia="Inter" w:hAnsi="Inter"/>
          <w:b/>
          <w:bCs/>
          <w:color w:val="134D67"/>
          <w:spacing w:val="30"/>
          <w:sz w:val="22"/>
          <w:szCs w:val="22"/>
        </w:rPr>
        <w:t xml:space="preserve">HERO SECTION</w:t>
      </w:r>
    </w:p>
    <w:p>
      <w:pPr>
        <w:spacing w:after="60" w:before="40"/>
      </w:pPr>
      <w:r>
        <w:rPr>
          <w:rFonts w:ascii="Inter" w:cs="Inter" w:eastAsia="Inter" w:hAnsi="Inter"/>
          <w:b/>
          <w:bCs/>
          <w:color w:val="0D1F2D"/>
          <w:sz w:val="18"/>
          <w:szCs w:val="18"/>
        </w:rPr>
        <w:t xml:space="preserve">Purpose: </w:t>
      </w:r>
      <w:r>
        <w:rPr>
          <w:rFonts w:ascii="Inter" w:cs="Inter" w:eastAsia="Inter" w:hAnsi="Inter"/>
          <w:i/>
          <w:iCs/>
          <w:color w:val="3D5566"/>
          <w:sz w:val="18"/>
          <w:szCs w:val="18"/>
        </w:rPr>
        <w:t xml:space="preserve">Immediately communicate who Persivia is and what they deliver. Lead with outcomes, not technology.</w:t>
      </w:r>
    </w:p>
    <w:p>
      <w:pPr>
        <w:spacing w:after="80" w:before="40"/>
      </w:pPr>
      <w:r>
        <w:rPr>
          <w:rFonts w:ascii="Inter" w:cs="Inter" w:eastAsia="Inter" w:hAnsi="Inter"/>
          <w:b/>
          <w:bCs/>
          <w:color w:val="134D67"/>
          <w:sz w:val="18"/>
          <w:szCs w:val="18"/>
        </w:rPr>
        <w:t xml:space="preserve">LAYOUT: 2-column, 60/40 split. Left = copy. Right = proof metrics card.</w:t>
      </w:r>
    </w:p>
    <w:p>
      <w:pPr>
        <w:spacing w:after="80" w:before="200"/>
      </w:pPr>
      <w:r>
        <w:rPr>
          <w:rFonts w:ascii="Inter" w:cs="Inter" w:eastAsia="Inter" w:hAnsi="Inter"/>
          <w:b/>
          <w:bCs/>
          <w:color w:val="134D67"/>
          <w:sz w:val="24"/>
          <w:szCs w:val="24"/>
        </w:rPr>
        <w:t xml:space="preserve">Eyebrow Label</w:t>
      </w:r>
    </w:p>
    <w:p>
      <w:pPr>
        <w:spacing w:after="80" w:before="40"/>
      </w:pPr>
      <w:r>
        <w:rPr>
          <w:rFonts w:ascii="Inter" w:cs="Inter" w:eastAsia="Inter" w:hAnsi="Inter"/>
          <w:b w:val="false"/>
          <w:bCs w:val="false"/>
          <w:color w:val="0D1F2D"/>
          <w:sz w:val="20"/>
          <w:szCs w:val="20"/>
        </w:rPr>
        <w:t xml:space="preserve">Value-Based Care Intelligence</w:t>
      </w:r>
    </w:p>
    <w:p>
      <w:pPr>
        <w:spacing w:after="80" w:before="200"/>
      </w:pPr>
      <w:r>
        <w:rPr>
          <w:rFonts w:ascii="Inter" w:cs="Inter" w:eastAsia="Inter" w:hAnsi="Inter"/>
          <w:b/>
          <w:bCs/>
          <w:color w:val="134D67"/>
          <w:sz w:val="24"/>
          <w:szCs w:val="24"/>
        </w:rPr>
        <w:t xml:space="preserve">Headline (H1)</w:t>
      </w:r>
    </w:p>
    <w:p>
      <w:pPr>
        <w:spacing w:after="80" w:before="60"/>
      </w:pPr>
      <w:r>
        <w:rPr>
          <w:rFonts w:ascii="Inter" w:cs="Inter" w:eastAsia="Inter" w:hAnsi="Inter"/>
          <w:b/>
          <w:bCs/>
          <w:color w:val="FFFFFF"/>
          <w:sz w:val="44"/>
          <w:szCs w:val="44"/>
        </w:rPr>
        <w:t xml:space="preserve">Turn Fragmented Data into Real-Time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CC93" w:sz="18"/>
              <w:bottom w:val="none" w:color="FFFFFF" w:sz="0"/>
              <w:right w:val="none" w:color="FFFFFF" w:sz="0"/>
            </w:tcBorders>
            <w:shd w:fill="F0FBF7" w:val="clear"/>
            <w:tcMar>
              <w:top w:type="dxa" w:w="80"/>
              <w:left w:type="dxa" w:w="160"/>
              <w:bottom w:type="dxa" w:w="80"/>
              <w:right w:type="dxa" w:w="160"/>
            </w:tcMar>
          </w:tcPr>
          <w:p>
            <w:r>
              <w:rPr>
                <w:rFonts w:ascii="Inter" w:cs="Inter" w:eastAsia="Inter" w:hAnsi="Inter"/>
                <w:i/>
                <w:iCs/>
                <w:color w:val="1A6B4A"/>
                <w:sz w:val="18"/>
                <w:szCs w:val="18"/>
              </w:rPr>
              <w:t xml:space="preserve">Set H1 on dark navy background (#134D67). Highlight 'Real-Time Action' in brand green (#15CC93).</w:t>
            </w:r>
          </w:p>
        </w:tc>
      </w:tr>
    </w:tbl>
    <w:p>
      <w:pPr>
        <w:spacing w:after="80" w:before="200"/>
      </w:pPr>
      <w:r>
        <w:rPr>
          <w:rFonts w:ascii="Inter" w:cs="Inter" w:eastAsia="Inter" w:hAnsi="Inter"/>
          <w:b/>
          <w:bCs/>
          <w:color w:val="134D67"/>
          <w:sz w:val="24"/>
          <w:szCs w:val="24"/>
        </w:rPr>
        <w:t xml:space="preserve">Subheadline</w:t>
      </w:r>
    </w:p>
    <w:p>
      <w:pPr>
        <w:spacing w:after="80" w:before="40"/>
      </w:pPr>
      <w:r>
        <w:rPr>
          <w:rFonts w:ascii="Inter" w:cs="Inter" w:eastAsia="Inter" w:hAnsi="Inter"/>
          <w:b w:val="false"/>
          <w:bCs w:val="false"/>
          <w:color w:val="3D5566"/>
          <w:sz w:val="20"/>
          <w:szCs w:val="20"/>
        </w:rPr>
        <w:t xml:space="preserve">Persivia helps healthcare organizations improve outcomes, reduce costs, and operationalize value-based care — with actionable simplicity.</w:t>
      </w:r>
    </w:p>
    <w:p>
      <w:pPr>
        <w:spacing w:after="80" w:before="200"/>
      </w:pPr>
      <w:r>
        <w:rPr>
          <w:rFonts w:ascii="Inter" w:cs="Inter" w:eastAsia="Inter" w:hAnsi="Inter"/>
          <w:b/>
          <w:bCs/>
          <w:color w:val="134D67"/>
          <w:sz w:val="24"/>
          <w:szCs w:val="24"/>
        </w:rPr>
        <w:t xml:space="preserve">Primary CTA</w:t>
      </w:r>
    </w:p>
    <w:p>
      <w:pPr>
        <w:spacing w:after="120" w:before="120"/>
      </w:pPr>
      <w:r>
        <w:rPr>
          <w:rFonts w:ascii="Inter" w:cs="Inter" w:eastAsia="Inter" w:hAnsi="Inter"/>
          <w:b/>
          <w:bCs/>
          <w:color w:val="134D67"/>
          <w:sz w:val="18"/>
          <w:szCs w:val="18"/>
        </w:rPr>
        <w:t xml:space="preserve">CTA BUTTON: </w:t>
      </w:r>
      <w:r>
        <w:rPr>
          <w:rFonts w:ascii="Inter" w:cs="Inter" w:eastAsia="Inter" w:hAnsi="Inter"/>
          <w:b/>
          <w:bCs/>
          <w:color w:val="15CC93"/>
          <w:sz w:val="18"/>
          <w:szCs w:val="18"/>
        </w:rPr>
        <w:t xml:space="preserve">Start the Conversation →</w:t>
      </w:r>
    </w:p>
    <w:p>
      <w:pPr>
        <w:spacing w:after="120" w:before="120"/>
      </w:pPr>
      <w:r>
        <w:rPr>
          <w:rFonts w:ascii="Inter" w:cs="Inter" w:eastAsia="Inter" w:hAnsi="Inter"/>
          <w:b/>
          <w:bCs/>
          <w:color w:val="134D67"/>
          <w:sz w:val="18"/>
          <w:szCs w:val="18"/>
        </w:rPr>
        <w:t xml:space="preserve">CTA BUTTON: </w:t>
      </w:r>
      <w:r>
        <w:rPr>
          <w:rFonts w:ascii="Inter" w:cs="Inter" w:eastAsia="Inter" w:hAnsi="Inter"/>
          <w:b/>
          <w:bCs/>
          <w:color w:val="15CC93"/>
          <w:sz w:val="18"/>
          <w:szCs w:val="18"/>
        </w:rPr>
        <w:t xml:space="preserve">See Proven Outcomes  (secondary, outline style)</w:t>
      </w:r>
    </w:p>
    <w:p>
      <w:pPr>
        <w:spacing w:after="80" w:before="200"/>
      </w:pPr>
      <w:r>
        <w:rPr>
          <w:rFonts w:ascii="Inter" w:cs="Inter" w:eastAsia="Inter" w:hAnsi="Inter"/>
          <w:b/>
          <w:bCs/>
          <w:color w:val="134D67"/>
          <w:sz w:val="24"/>
          <w:szCs w:val="24"/>
        </w:rPr>
        <w:t xml:space="preserve">Right Column — Proof Metrics Card</w:t>
      </w:r>
    </w:p>
    <w:p>
      <w:pPr>
        <w:spacing w:after="80" w:before="40"/>
      </w:pPr>
      <w:r>
        <w:rPr>
          <w:rFonts w:ascii="Inter" w:cs="Inter" w:eastAsia="Inter" w:hAnsi="Inter"/>
          <w:b/>
          <w:bCs/>
          <w:color w:val="134D67"/>
          <w:sz w:val="18"/>
          <w:szCs w:val="18"/>
        </w:rPr>
        <w:t xml:space="preserve">Display as a 2x2 grid of metrics inside a frosted glass card on the dark hero background:</w:t>
      </w:r>
    </w:p>
    <w:p>
      <w:pPr>
        <w:pStyle w:val="ListParagraph"/>
        <w:numPr>
          <w:ilvl w:val="0"/>
          <w:numId w:val="2"/>
        </w:numPr>
        <w:spacing w:after="40" w:before="40"/>
      </w:pPr>
      <w:r>
        <w:rPr>
          <w:rFonts w:ascii="Inter" w:cs="Inter" w:eastAsia="Inter" w:hAnsi="Inter"/>
          <w:color w:val="3D5566"/>
          <w:sz w:val="20"/>
          <w:szCs w:val="20"/>
        </w:rPr>
        <w:t xml:space="preserve">$34M — Savings achieved in first year</w:t>
      </w:r>
    </w:p>
    <w:p>
      <w:pPr>
        <w:pStyle w:val="ListParagraph"/>
        <w:numPr>
          <w:ilvl w:val="0"/>
          <w:numId w:val="2"/>
        </w:numPr>
        <w:spacing w:after="40" w:before="40"/>
      </w:pPr>
      <w:r>
        <w:rPr>
          <w:rFonts w:ascii="Inter" w:cs="Inter" w:eastAsia="Inter" w:hAnsi="Inter"/>
          <w:color w:val="3D5566"/>
          <w:sz w:val="20"/>
          <w:szCs w:val="20"/>
        </w:rPr>
        <w:t xml:space="preserve">9 wks — Time-to-value at go-live</w:t>
      </w:r>
    </w:p>
    <w:p>
      <w:pPr>
        <w:pStyle w:val="ListParagraph"/>
        <w:numPr>
          <w:ilvl w:val="0"/>
          <w:numId w:val="2"/>
        </w:numPr>
        <w:spacing w:after="40" w:before="40"/>
      </w:pPr>
      <w:r>
        <w:rPr>
          <w:rFonts w:ascii="Inter" w:cs="Inter" w:eastAsia="Inter" w:hAnsi="Inter"/>
          <w:color w:val="3D5566"/>
          <w:sz w:val="20"/>
          <w:szCs w:val="20"/>
        </w:rPr>
        <w:t xml:space="preserve">30+ — Data sources unified at launch</w:t>
      </w:r>
    </w:p>
    <w:p>
      <w:pPr>
        <w:pStyle w:val="ListParagraph"/>
        <w:numPr>
          <w:ilvl w:val="0"/>
          <w:numId w:val="2"/>
        </w:numPr>
        <w:spacing w:after="40" w:before="40"/>
      </w:pPr>
      <w:r>
        <w:rPr>
          <w:rFonts w:ascii="Inter" w:cs="Inter" w:eastAsia="Inter" w:hAnsi="Inter"/>
          <w:color w:val="3D5566"/>
          <w:sz w:val="20"/>
          <w:szCs w:val="20"/>
        </w:rPr>
        <w:t xml:space="preserve">5–6x — Point solutions replaced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CC93" w:sz="18"/>
              <w:bottom w:val="none" w:color="FFFFFF" w:sz="0"/>
              <w:right w:val="none" w:color="FFFFFF" w:sz="0"/>
            </w:tcBorders>
            <w:shd w:fill="F0FBF7" w:val="clear"/>
            <w:tcMar>
              <w:top w:type="dxa" w:w="80"/>
              <w:left w:type="dxa" w:w="160"/>
              <w:bottom w:type="dxa" w:w="80"/>
              <w:right w:type="dxa" w:w="160"/>
            </w:tcMar>
          </w:tcPr>
          <w:p>
            <w:r>
              <w:rPr>
                <w:rFonts w:ascii="Inter" w:cs="Inter" w:eastAsia="Inter" w:hAnsi="Inter"/>
                <w:i/>
                <w:iCs/>
                <w:color w:val="1A6B4A"/>
                <w:sz w:val="18"/>
                <w:szCs w:val="18"/>
              </w:rPr>
              <w:t xml:space="preserve">Card label above metrics: 'PROVEN CLIENT IMPACT' in small green uppercase. Source: McLaren Health Care implementation data.</w:t>
            </w:r>
          </w:p>
        </w:tc>
      </w:tr>
    </w:tbl>
    <w:p>
      <w:pPr>
        <w:pBdr>
          <w:bottom w:val="single" w:color="D0DCE4" w:sz="4" w:space="1"/>
        </w:pBdr>
        <w:spacing w:after="120" w:before="120"/>
      </w:pPr>
    </w:p>
    <w:p>
      <w:pPr>
        <w:spacing w:after="80" w:before="360"/>
      </w:pPr>
      <w:r>
        <w:rPr>
          <w:rFonts w:ascii="Inter" w:cs="Inter" w:eastAsia="Inter" w:hAnsi="Inter"/>
          <w:b/>
          <w:bCs/>
          <w:color w:val="15CC93"/>
          <w:spacing w:val="30"/>
          <w:sz w:val="22"/>
          <w:szCs w:val="22"/>
        </w:rPr>
        <w:t xml:space="preserve">SECTION 02 — </w:t>
      </w:r>
      <w:r>
        <w:rPr>
          <w:rFonts w:ascii="Inter" w:cs="Inter" w:eastAsia="Inter" w:hAnsi="Inter"/>
          <w:b/>
          <w:bCs/>
          <w:color w:val="134D67"/>
          <w:spacing w:val="30"/>
          <w:sz w:val="22"/>
          <w:szCs w:val="22"/>
        </w:rPr>
        <w:t xml:space="preserve">PROOF STRIP — STATS ROW</w:t>
      </w:r>
    </w:p>
    <w:p>
      <w:pPr>
        <w:spacing w:after="60" w:before="40"/>
      </w:pPr>
      <w:r>
        <w:rPr>
          <w:rFonts w:ascii="Inter" w:cs="Inter" w:eastAsia="Inter" w:hAnsi="Inter"/>
          <w:b/>
          <w:bCs/>
          <w:color w:val="0D1F2D"/>
          <w:sz w:val="18"/>
          <w:szCs w:val="18"/>
        </w:rPr>
        <w:t xml:space="preserve">Purpose: </w:t>
      </w:r>
      <w:r>
        <w:rPr>
          <w:rFonts w:ascii="Inter" w:cs="Inter" w:eastAsia="Inter" w:hAnsi="Inter"/>
          <w:i/>
          <w:iCs/>
          <w:color w:val="3D5566"/>
          <w:sz w:val="18"/>
          <w:szCs w:val="18"/>
        </w:rPr>
        <w:t xml:space="preserve">Immediately after the hero, anchor credibility with hard numbers. Full-width dark navy band.</w:t>
      </w:r>
    </w:p>
    <w:p>
      <w:pPr>
        <w:spacing w:after="80" w:before="40"/>
      </w:pPr>
      <w:r>
        <w:rPr>
          <w:rFonts w:ascii="Inter" w:cs="Inter" w:eastAsia="Inter" w:hAnsi="Inter"/>
          <w:b/>
          <w:bCs/>
          <w:color w:val="134D67"/>
          <w:sz w:val="18"/>
          <w:szCs w:val="18"/>
        </w:rPr>
        <w:t xml:space="preserve">LAYOUT: 4 columns, full-width, dark navy (#134D67) background. Add movement/animation if possible in HubSpot.</w:t>
      </w:r>
    </w:p>
    <w:p>
      <w:pPr>
        <w:spacing w:after="80" w:before="200"/>
      </w:pPr>
      <w:r>
        <w:rPr>
          <w:rFonts w:ascii="Inter" w:cs="Inter" w:eastAsia="Inter" w:hAnsi="Inter"/>
          <w:b/>
          <w:bCs/>
          <w:color w:val="134D67"/>
          <w:sz w:val="24"/>
          <w:szCs w:val="24"/>
        </w:rPr>
        <w:t xml:space="preserve">Stat 1</w:t>
      </w:r>
    </w:p>
    <w:p>
      <w:pPr>
        <w:spacing w:after="80" w:before="40"/>
      </w:pPr>
      <w:r>
        <w:rPr>
          <w:rFonts w:ascii="Inter" w:cs="Inter" w:eastAsia="Inter" w:hAnsi="Inter"/>
          <w:b/>
          <w:bCs/>
          <w:color w:val="0D1F2D"/>
          <w:sz w:val="20"/>
          <w:szCs w:val="20"/>
        </w:rPr>
        <w:t xml:space="preserve">Number: $34M</w:t>
      </w:r>
    </w:p>
    <w:p>
      <w:pPr>
        <w:spacing w:after="80" w:before="40"/>
      </w:pPr>
      <w:r>
        <w:rPr>
          <w:rFonts w:ascii="Inter" w:cs="Inter" w:eastAsia="Inter" w:hAnsi="Inter"/>
          <w:b w:val="false"/>
          <w:bCs w:val="false"/>
          <w:color w:val="3D5566"/>
          <w:sz w:val="20"/>
          <w:szCs w:val="20"/>
        </w:rPr>
        <w:t xml:space="preserve">Label: In savings delivered for a single health system</w:t>
      </w:r>
    </w:p>
    <w:p>
      <w:pPr>
        <w:spacing w:after="80" w:before="200"/>
      </w:pPr>
      <w:r>
        <w:rPr>
          <w:rFonts w:ascii="Inter" w:cs="Inter" w:eastAsia="Inter" w:hAnsi="Inter"/>
          <w:b/>
          <w:bCs/>
          <w:color w:val="134D67"/>
          <w:sz w:val="24"/>
          <w:szCs w:val="24"/>
        </w:rPr>
        <w:t xml:space="preserve">Stat 2</w:t>
      </w:r>
    </w:p>
    <w:p>
      <w:pPr>
        <w:spacing w:after="80" w:before="40"/>
      </w:pPr>
      <w:r>
        <w:rPr>
          <w:rFonts w:ascii="Inter" w:cs="Inter" w:eastAsia="Inter" w:hAnsi="Inter"/>
          <w:b/>
          <w:bCs/>
          <w:color w:val="0D1F2D"/>
          <w:sz w:val="20"/>
          <w:szCs w:val="20"/>
        </w:rPr>
        <w:t xml:space="preserve">Number: 9 Wks</w:t>
      </w:r>
    </w:p>
    <w:p>
      <w:pPr>
        <w:spacing w:after="80" w:before="40"/>
      </w:pPr>
      <w:r>
        <w:rPr>
          <w:rFonts w:ascii="Inter" w:cs="Inter" w:eastAsia="Inter" w:hAnsi="Inter"/>
          <w:b w:val="false"/>
          <w:bCs w:val="false"/>
          <w:color w:val="3D5566"/>
          <w:sz w:val="20"/>
          <w:szCs w:val="20"/>
        </w:rPr>
        <w:t xml:space="preserve">Label: Average time-to-value at implementation</w:t>
      </w:r>
    </w:p>
    <w:p>
      <w:pPr>
        <w:spacing w:after="80" w:before="200"/>
      </w:pPr>
      <w:r>
        <w:rPr>
          <w:rFonts w:ascii="Inter" w:cs="Inter" w:eastAsia="Inter" w:hAnsi="Inter"/>
          <w:b/>
          <w:bCs/>
          <w:color w:val="134D67"/>
          <w:sz w:val="24"/>
          <w:szCs w:val="24"/>
        </w:rPr>
        <w:t xml:space="preserve">Stat 3</w:t>
      </w:r>
    </w:p>
    <w:p>
      <w:pPr>
        <w:spacing w:after="80" w:before="40"/>
      </w:pPr>
      <w:r>
        <w:rPr>
          <w:rFonts w:ascii="Inter" w:cs="Inter" w:eastAsia="Inter" w:hAnsi="Inter"/>
          <w:b/>
          <w:bCs/>
          <w:color w:val="0D1F2D"/>
          <w:sz w:val="20"/>
          <w:szCs w:val="20"/>
        </w:rPr>
        <w:t xml:space="preserve">Number: 3,000+</w:t>
      </w:r>
    </w:p>
    <w:p>
      <w:pPr>
        <w:spacing w:after="80" w:before="40"/>
      </w:pPr>
      <w:r>
        <w:rPr>
          <w:rFonts w:ascii="Inter" w:cs="Inter" w:eastAsia="Inter" w:hAnsi="Inter"/>
          <w:b w:val="false"/>
          <w:bCs w:val="false"/>
          <w:color w:val="3D5566"/>
          <w:sz w:val="20"/>
          <w:szCs w:val="20"/>
        </w:rPr>
        <w:t xml:space="preserve">Label: Data sources supported by the longitudinal patient record</w:t>
      </w:r>
    </w:p>
    <w:p>
      <w:pPr>
        <w:spacing w:after="80" w:before="200"/>
      </w:pPr>
      <w:r>
        <w:rPr>
          <w:rFonts w:ascii="Inter" w:cs="Inter" w:eastAsia="Inter" w:hAnsi="Inter"/>
          <w:b/>
          <w:bCs/>
          <w:color w:val="134D67"/>
          <w:sz w:val="24"/>
          <w:szCs w:val="24"/>
        </w:rPr>
        <w:t xml:space="preserve">Stat 4</w:t>
      </w:r>
    </w:p>
    <w:p>
      <w:pPr>
        <w:spacing w:after="80" w:before="40"/>
      </w:pPr>
      <w:r>
        <w:rPr>
          <w:rFonts w:ascii="Inter" w:cs="Inter" w:eastAsia="Inter" w:hAnsi="Inter"/>
          <w:b/>
          <w:bCs/>
          <w:color w:val="0D1F2D"/>
          <w:sz w:val="20"/>
          <w:szCs w:val="20"/>
        </w:rPr>
        <w:t xml:space="preserve">Number: 5–6x</w:t>
      </w:r>
    </w:p>
    <w:p>
      <w:pPr>
        <w:spacing w:after="80" w:before="40"/>
      </w:pPr>
      <w:r>
        <w:rPr>
          <w:rFonts w:ascii="Inter" w:cs="Inter" w:eastAsia="Inter" w:hAnsi="Inter"/>
          <w:b w:val="false"/>
          <w:bCs w:val="false"/>
          <w:color w:val="3D5566"/>
          <w:sz w:val="20"/>
          <w:szCs w:val="20"/>
        </w:rPr>
        <w:t xml:space="preserve">Label: Point solutions replaced by one unified platform</w:t>
      </w:r>
    </w:p>
    <w:p>
      <w:pPr>
        <w:spacing w:after="80" w:before="200"/>
      </w:pPr>
      <w:r>
        <w:rPr>
          <w:rFonts w:ascii="Inter" w:cs="Inter" w:eastAsia="Inter" w:hAnsi="Inter"/>
          <w:b/>
          <w:bCs/>
          <w:color w:val="134D67"/>
          <w:sz w:val="24"/>
          <w:szCs w:val="24"/>
        </w:rPr>
        <w:t xml:space="preserve">Footnote</w:t>
      </w:r>
    </w:p>
    <w:p>
      <w:pPr>
        <w:spacing w:after="80" w:before="40"/>
      </w:pPr>
      <w:r>
        <w:rPr>
          <w:rFonts w:ascii="Inter" w:cs="Inter" w:eastAsia="Inter" w:hAnsi="Inter"/>
          <w:b w:val="false"/>
          <w:bCs w:val="false"/>
          <w:color w:val="6B8599"/>
          <w:sz w:val="16"/>
          <w:szCs w:val="16"/>
        </w:rPr>
        <w:t xml:space="preserve">Results achieved across multiple Persivia clients. See case studies for details.</w:t>
      </w:r>
    </w:p>
    <w:p>
      <w:pPr>
        <w:pBdr>
          <w:bottom w:val="single" w:color="D0DCE4" w:sz="4" w:space="1"/>
        </w:pBdr>
        <w:spacing w:after="120" w:before="120"/>
      </w:pPr>
    </w:p>
    <w:p>
      <w:r>
        <w:br w:type="page"/>
      </w:r>
    </w:p>
    <w:p>
      <w:pPr>
        <w:spacing w:after="80" w:before="360"/>
      </w:pPr>
      <w:r>
        <w:rPr>
          <w:rFonts w:ascii="Inter" w:cs="Inter" w:eastAsia="Inter" w:hAnsi="Inter"/>
          <w:b/>
          <w:bCs/>
          <w:color w:val="15CC93"/>
          <w:spacing w:val="30"/>
          <w:sz w:val="22"/>
          <w:szCs w:val="22"/>
        </w:rPr>
        <w:t xml:space="preserve">SECTION 03 — </w:t>
      </w:r>
      <w:r>
        <w:rPr>
          <w:rFonts w:ascii="Inter" w:cs="Inter" w:eastAsia="Inter" w:hAnsi="Inter"/>
          <w:b/>
          <w:bCs/>
          <w:color w:val="134D67"/>
          <w:spacing w:val="30"/>
          <w:sz w:val="22"/>
          <w:szCs w:val="22"/>
        </w:rPr>
        <w:t xml:space="preserve">CLIENT LOGO BAR</w:t>
      </w:r>
    </w:p>
    <w:p>
      <w:pPr>
        <w:spacing w:after="60" w:before="40"/>
      </w:pPr>
      <w:r>
        <w:rPr>
          <w:rFonts w:ascii="Inter" w:cs="Inter" w:eastAsia="Inter" w:hAnsi="Inter"/>
          <w:b/>
          <w:bCs/>
          <w:color w:val="0D1F2D"/>
          <w:sz w:val="18"/>
          <w:szCs w:val="18"/>
        </w:rPr>
        <w:t xml:space="preserve">Purpose: </w:t>
      </w:r>
      <w:r>
        <w:rPr>
          <w:rFonts w:ascii="Inter" w:cs="Inter" w:eastAsia="Inter" w:hAnsi="Inter"/>
          <w:i/>
          <w:iCs/>
          <w:color w:val="3D5566"/>
          <w:sz w:val="18"/>
          <w:szCs w:val="18"/>
        </w:rPr>
        <w:t xml:space="preserve">Builds immediate visual trust. Even a modest row of recognizable logos signals market credibility.</w:t>
      </w:r>
    </w:p>
    <w:p>
      <w:pPr>
        <w:spacing w:after="80" w:before="40"/>
      </w:pPr>
      <w:r>
        <w:rPr>
          <w:rFonts w:ascii="Inter" w:cs="Inter" w:eastAsia="Inter" w:hAnsi="Inter"/>
          <w:b/>
          <w:bCs/>
          <w:color w:val="134D67"/>
          <w:sz w:val="18"/>
          <w:szCs w:val="18"/>
        </w:rPr>
        <w:t xml:space="preserve">LAYOUT: Full-width, light gray background (#F4F8FB). Logos centered, muted/grayscale treatment.</w:t>
      </w:r>
    </w:p>
    <w:p>
      <w:pPr>
        <w:spacing w:after="80" w:before="200"/>
      </w:pPr>
      <w:r>
        <w:rPr>
          <w:rFonts w:ascii="Inter" w:cs="Inter" w:eastAsia="Inter" w:hAnsi="Inter"/>
          <w:b/>
          <w:bCs/>
          <w:color w:val="134D67"/>
          <w:sz w:val="24"/>
          <w:szCs w:val="24"/>
        </w:rPr>
        <w:t xml:space="preserve">Label Above Logos</w:t>
      </w:r>
    </w:p>
    <w:p>
      <w:pPr>
        <w:spacing w:after="80" w:before="40"/>
      </w:pPr>
      <w:r>
        <w:rPr>
          <w:rFonts w:ascii="Inter" w:cs="Inter" w:eastAsia="Inter" w:hAnsi="Inter"/>
          <w:b w:val="false"/>
          <w:bCs w:val="false"/>
          <w:color w:val="3D5566"/>
          <w:sz w:val="20"/>
          <w:szCs w:val="20"/>
        </w:rPr>
        <w:t xml:space="preserve">Trusted by Leading Health Systems &amp; Payers</w:t>
      </w:r>
    </w:p>
    <w:p>
      <w:pPr>
        <w:spacing w:after="80" w:before="200"/>
      </w:pPr>
      <w:r>
        <w:rPr>
          <w:rFonts w:ascii="Inter" w:cs="Inter" w:eastAsia="Inter" w:hAnsi="Inter"/>
          <w:b/>
          <w:bCs/>
          <w:color w:val="134D67"/>
          <w:sz w:val="24"/>
          <w:szCs w:val="24"/>
        </w:rPr>
        <w:t xml:space="preserve">Logo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CE4" w:sz="1"/>
              <w:left w:val="single" w:color="D0DCE4" w:sz="1"/>
              <w:bottom w:val="single" w:color="D0DCE4" w:sz="1"/>
              <w:right w:val="single" w:color="D0DCE4" w:sz="1"/>
            </w:tcBorders>
            <w:shd w:fill="FFF8E7" w:val="clear"/>
            <w:tcMar>
              <w:top w:type="dxa" w:w="100"/>
              <w:left w:type="dxa" w:w="160"/>
              <w:bottom w:type="dxa" w:w="100"/>
              <w:right w:type="dxa" w:w="160"/>
            </w:tcMar>
          </w:tcPr>
          <w:p>
            <w:r>
              <w:rPr>
                <w:rFonts w:ascii="Inter" w:cs="Inter" w:eastAsia="Inter" w:hAnsi="Inter"/>
                <w:b/>
                <w:bCs/>
                <w:color w:val="B06000"/>
                <w:sz w:val="18"/>
                <w:szCs w:val="18"/>
              </w:rPr>
              <w:t xml:space="preserve">⚠ PLACEHOLDER: </w:t>
            </w:r>
            <w:r>
              <w:rPr>
                <w:rFonts w:ascii="Inter" w:cs="Inter" w:eastAsia="Inter" w:hAnsi="Inter"/>
                <w:color w:val="B06000"/>
                <w:sz w:val="18"/>
                <w:szCs w:val="18"/>
              </w:rPr>
              <w:t xml:space="preserve">Replace placeholder boxes below with actual client logos (SVG or PNG, grayscale preferred). Confirm approval to use each logo before launch.</w:t>
            </w:r>
          </w:p>
        </w:tc>
      </w:tr>
    </w:tbl>
    <w:p>
      <w:pPr>
        <w:pStyle w:val="ListParagraph"/>
        <w:numPr>
          <w:ilvl w:val="0"/>
          <w:numId w:val="2"/>
        </w:numPr>
        <w:spacing w:after="40" w:before="40"/>
      </w:pPr>
      <w:r>
        <w:rPr>
          <w:rFonts w:ascii="Inter" w:cs="Inter" w:eastAsia="Inter" w:hAnsi="Inter"/>
          <w:color w:val="3D5566"/>
          <w:sz w:val="20"/>
          <w:szCs w:val="20"/>
        </w:rPr>
        <w:t xml:space="preserve">McLaren Health Care</w:t>
      </w:r>
    </w:p>
    <w:p>
      <w:pPr>
        <w:pStyle w:val="ListParagraph"/>
        <w:numPr>
          <w:ilvl w:val="0"/>
          <w:numId w:val="2"/>
        </w:numPr>
        <w:spacing w:after="40" w:before="40"/>
      </w:pPr>
      <w:r>
        <w:rPr>
          <w:rFonts w:ascii="Inter" w:cs="Inter" w:eastAsia="Inter" w:hAnsi="Inter"/>
          <w:color w:val="3D5566"/>
          <w:sz w:val="20"/>
          <w:szCs w:val="20"/>
        </w:rPr>
        <w:t xml:space="preserve">HCA Florida</w:t>
      </w:r>
    </w:p>
    <w:p>
      <w:pPr>
        <w:pStyle w:val="ListParagraph"/>
        <w:numPr>
          <w:ilvl w:val="0"/>
          <w:numId w:val="2"/>
        </w:numPr>
        <w:spacing w:after="40" w:before="40"/>
      </w:pPr>
      <w:r>
        <w:rPr>
          <w:rFonts w:ascii="Inter" w:cs="Inter" w:eastAsia="Inter" w:hAnsi="Inter"/>
          <w:color w:val="3D5566"/>
          <w:sz w:val="20"/>
          <w:szCs w:val="20"/>
        </w:rPr>
        <w:t xml:space="preserve">Prime Healthcare</w:t>
      </w:r>
    </w:p>
    <w:p>
      <w:pPr>
        <w:pStyle w:val="ListParagraph"/>
        <w:numPr>
          <w:ilvl w:val="0"/>
          <w:numId w:val="2"/>
        </w:numPr>
        <w:spacing w:after="40" w:before="40"/>
      </w:pPr>
      <w:r>
        <w:rPr>
          <w:rFonts w:ascii="Inter" w:cs="Inter" w:eastAsia="Inter" w:hAnsi="Inter"/>
          <w:color w:val="3D5566"/>
          <w:sz w:val="20"/>
          <w:szCs w:val="20"/>
        </w:rPr>
        <w:t xml:space="preserve">Sanitas</w:t>
      </w:r>
    </w:p>
    <w:p>
      <w:pPr>
        <w:pStyle w:val="ListParagraph"/>
        <w:numPr>
          <w:ilvl w:val="0"/>
          <w:numId w:val="2"/>
        </w:numPr>
        <w:spacing w:after="40" w:before="40"/>
      </w:pPr>
      <w:r>
        <w:rPr>
          <w:rFonts w:ascii="Inter" w:cs="Inter" w:eastAsia="Inter" w:hAnsi="Inter"/>
          <w:color w:val="3D5566"/>
          <w:sz w:val="20"/>
          <w:szCs w:val="20"/>
        </w:rPr>
        <w:t xml:space="preserve">[Additional client logos — add as approved]</w:t>
      </w:r>
    </w:p>
    <w:p>
      <w:pPr>
        <w:pBdr>
          <w:bottom w:val="single" w:color="D0DCE4" w:sz="4" w:space="1"/>
        </w:pBdr>
        <w:spacing w:after="120" w:before="120"/>
      </w:pPr>
    </w:p>
    <w:p>
      <w:pPr>
        <w:spacing w:after="80" w:before="360"/>
      </w:pPr>
      <w:r>
        <w:rPr>
          <w:rFonts w:ascii="Inter" w:cs="Inter" w:eastAsia="Inter" w:hAnsi="Inter"/>
          <w:b/>
          <w:bCs/>
          <w:color w:val="15CC93"/>
          <w:spacing w:val="30"/>
          <w:sz w:val="22"/>
          <w:szCs w:val="22"/>
        </w:rPr>
        <w:t xml:space="preserve">SECTION 04 — </w:t>
      </w:r>
      <w:r>
        <w:rPr>
          <w:rFonts w:ascii="Inter" w:cs="Inter" w:eastAsia="Inter" w:hAnsi="Inter"/>
          <w:b/>
          <w:bCs/>
          <w:color w:val="134D67"/>
          <w:spacing w:val="30"/>
          <w:sz w:val="22"/>
          <w:szCs w:val="22"/>
        </w:rPr>
        <w:t xml:space="preserve">PROBLEM SECTION</w:t>
      </w:r>
    </w:p>
    <w:p>
      <w:pPr>
        <w:spacing w:after="60" w:before="40"/>
      </w:pPr>
      <w:r>
        <w:rPr>
          <w:rFonts w:ascii="Inter" w:cs="Inter" w:eastAsia="Inter" w:hAnsi="Inter"/>
          <w:b/>
          <w:bCs/>
          <w:color w:val="0D1F2D"/>
          <w:sz w:val="18"/>
          <w:szCs w:val="18"/>
        </w:rPr>
        <w:t xml:space="preserve">Purpose: </w:t>
      </w:r>
      <w:r>
        <w:rPr>
          <w:rFonts w:ascii="Inter" w:cs="Inter" w:eastAsia="Inter" w:hAnsi="Inter"/>
          <w:i/>
          <w:iCs/>
          <w:color w:val="3D5566"/>
          <w:sz w:val="18"/>
          <w:szCs w:val="18"/>
        </w:rPr>
        <w:t xml:space="preserve">Name the pain health system buyers face — in their language. This section earns trust before asking for anything.</w:t>
      </w:r>
    </w:p>
    <w:p>
      <w:pPr>
        <w:spacing w:after="80" w:before="40"/>
      </w:pPr>
      <w:r>
        <w:rPr>
          <w:rFonts w:ascii="Inter" w:cs="Inter" w:eastAsia="Inter" w:hAnsi="Inter"/>
          <w:b/>
          <w:bCs/>
          <w:color w:val="134D67"/>
          <w:sz w:val="18"/>
          <w:szCs w:val="18"/>
        </w:rPr>
        <w:t xml:space="preserve">LAYOUT: 2-column. Left = headline + copy + CTA. Right = visual panel with pain point callouts.</w:t>
      </w:r>
    </w:p>
    <w:p>
      <w:pPr>
        <w:spacing w:after="80" w:before="200"/>
      </w:pPr>
      <w:r>
        <w:rPr>
          <w:rFonts w:ascii="Inter" w:cs="Inter" w:eastAsia="Inter" w:hAnsi="Inter"/>
          <w:b/>
          <w:bCs/>
          <w:color w:val="134D67"/>
          <w:sz w:val="24"/>
          <w:szCs w:val="24"/>
        </w:rPr>
        <w:t xml:space="preserve">Eyebrow Label</w:t>
      </w:r>
    </w:p>
    <w:p>
      <w:pPr>
        <w:spacing w:after="80" w:before="40"/>
      </w:pPr>
      <w:r>
        <w:rPr>
          <w:rFonts w:ascii="Inter" w:cs="Inter" w:eastAsia="Inter" w:hAnsi="Inter"/>
          <w:b w:val="false"/>
          <w:bCs w:val="false"/>
          <w:color w:val="3D5566"/>
          <w:sz w:val="20"/>
          <w:szCs w:val="20"/>
        </w:rPr>
        <w:t xml:space="preserve">The Challenge</w:t>
      </w:r>
    </w:p>
    <w:p>
      <w:pPr>
        <w:spacing w:after="80" w:before="200"/>
      </w:pPr>
      <w:r>
        <w:rPr>
          <w:rFonts w:ascii="Inter" w:cs="Inter" w:eastAsia="Inter" w:hAnsi="Inter"/>
          <w:b/>
          <w:bCs/>
          <w:color w:val="134D67"/>
          <w:sz w:val="24"/>
          <w:szCs w:val="24"/>
        </w:rPr>
        <w:t xml:space="preserve">Headline (H2)</w:t>
      </w:r>
    </w:p>
    <w:p>
      <w:pPr>
        <w:spacing w:after="80" w:before="40"/>
      </w:pPr>
      <w:r>
        <w:rPr>
          <w:rFonts w:ascii="Inter" w:cs="Inter" w:eastAsia="Inter" w:hAnsi="Inter"/>
          <w:b/>
          <w:bCs/>
          <w:color w:val="0D1F2D"/>
          <w:sz w:val="20"/>
          <w:szCs w:val="20"/>
        </w:rPr>
        <w:t xml:space="preserve">Value-Based Care Isn't a Data Problem. It's an Execution Problem.</w:t>
      </w:r>
    </w:p>
    <w:p>
      <w:pPr>
        <w:spacing w:after="80" w:before="200"/>
      </w:pPr>
      <w:r>
        <w:rPr>
          <w:rFonts w:ascii="Inter" w:cs="Inter" w:eastAsia="Inter" w:hAnsi="Inter"/>
          <w:b/>
          <w:bCs/>
          <w:color w:val="134D67"/>
          <w:sz w:val="24"/>
          <w:szCs w:val="24"/>
        </w:rPr>
        <w:t xml:space="preserve">Subheadline</w:t>
      </w:r>
    </w:p>
    <w:p>
      <w:pPr>
        <w:spacing w:after="80" w:before="40"/>
      </w:pPr>
      <w:r>
        <w:rPr>
          <w:rFonts w:ascii="Inter" w:cs="Inter" w:eastAsia="Inter" w:hAnsi="Inter"/>
          <w:b w:val="false"/>
          <w:bCs w:val="false"/>
          <w:color w:val="3D5566"/>
          <w:sz w:val="20"/>
          <w:szCs w:val="20"/>
        </w:rPr>
        <w:t xml:space="preserve">Healthcare organizations aren't lacking data — they're drowning in it. Disconnected systems, conflicting metrics, and manual workflows make it nearly impossible to act with confidence.</w:t>
      </w:r>
    </w:p>
    <w:p>
      <w:pPr>
        <w:spacing w:after="80" w:before="200"/>
      </w:pPr>
      <w:r>
        <w:rPr>
          <w:rFonts w:ascii="Inter" w:cs="Inter" w:eastAsia="Inter" w:hAnsi="Inter"/>
          <w:b/>
          <w:bCs/>
          <w:color w:val="134D67"/>
          <w:sz w:val="24"/>
          <w:szCs w:val="24"/>
        </w:rPr>
        <w:t xml:space="preserve">CTA</w:t>
      </w:r>
    </w:p>
    <w:p>
      <w:pPr>
        <w:spacing w:after="120" w:before="120"/>
      </w:pPr>
      <w:r>
        <w:rPr>
          <w:rFonts w:ascii="Inter" w:cs="Inter" w:eastAsia="Inter" w:hAnsi="Inter"/>
          <w:b/>
          <w:bCs/>
          <w:color w:val="134D67"/>
          <w:sz w:val="18"/>
          <w:szCs w:val="18"/>
        </w:rPr>
        <w:t xml:space="preserve">CTA BUTTON: </w:t>
      </w:r>
      <w:r>
        <w:rPr>
          <w:rFonts w:ascii="Inter" w:cs="Inter" w:eastAsia="Inter" w:hAnsi="Inter"/>
          <w:b/>
          <w:bCs/>
          <w:color w:val="15CC93"/>
          <w:sz w:val="18"/>
          <w:szCs w:val="18"/>
        </w:rPr>
        <w:t xml:space="preserve">Start the Conversation →  (outline dark style)</w:t>
      </w:r>
    </w:p>
    <w:p>
      <w:pPr>
        <w:spacing w:after="80" w:before="200"/>
      </w:pPr>
      <w:r>
        <w:rPr>
          <w:rFonts w:ascii="Inter" w:cs="Inter" w:eastAsia="Inter" w:hAnsi="Inter"/>
          <w:b/>
          <w:bCs/>
          <w:color w:val="134D67"/>
          <w:sz w:val="24"/>
          <w:szCs w:val="24"/>
        </w:rPr>
        <w:t xml:space="preserve">Right Column — Pain Point Cards (5 items)</w:t>
      </w:r>
    </w:p>
    <w:p>
      <w:pPr>
        <w:spacing w:after="80" w:before="40"/>
      </w:pPr>
      <w:r>
        <w:rPr>
          <w:rFonts w:ascii="Inter" w:cs="Inter" w:eastAsia="Inter" w:hAnsi="Inter"/>
          <w:b/>
          <w:bCs/>
          <w:color w:val="134D67"/>
          <w:sz w:val="18"/>
          <w:szCs w:val="18"/>
        </w:rPr>
        <w:t xml:space="preserve">Display as stacked card tiles with icon + text:</w:t>
      </w:r>
    </w:p>
    <w:p>
      <w:pPr>
        <w:pStyle w:val="ListParagraph"/>
        <w:numPr>
          <w:ilvl w:val="0"/>
          <w:numId w:val="2"/>
        </w:numPr>
        <w:spacing w:after="40" w:before="40"/>
      </w:pPr>
      <w:r>
        <w:rPr>
          <w:rFonts w:ascii="Inter" w:cs="Inter" w:eastAsia="Inter" w:hAnsi="Inter"/>
          <w:color w:val="3D5566"/>
          <w:sz w:val="20"/>
          <w:szCs w:val="20"/>
        </w:rPr>
        <w:t xml:space="preserve">Fragmented EHR, claims, and SDOH data creates blind spots that delay intervention</w:t>
      </w:r>
    </w:p>
    <w:p>
      <w:pPr>
        <w:pStyle w:val="ListParagraph"/>
        <w:numPr>
          <w:ilvl w:val="0"/>
          <w:numId w:val="2"/>
        </w:numPr>
        <w:spacing w:after="40" w:before="40"/>
      </w:pPr>
      <w:r>
        <w:rPr>
          <w:rFonts w:ascii="Inter" w:cs="Inter" w:eastAsia="Inter" w:hAnsi="Inter"/>
          <w:color w:val="3D5566"/>
          <w:sz w:val="20"/>
          <w:szCs w:val="20"/>
        </w:rPr>
        <w:t xml:space="preserve">High-risk patients slip through the cracks because prioritization isn't dynamic or real-time</w:t>
      </w:r>
    </w:p>
    <w:p>
      <w:pPr>
        <w:pStyle w:val="ListParagraph"/>
        <w:numPr>
          <w:ilvl w:val="0"/>
          <w:numId w:val="2"/>
        </w:numPr>
        <w:spacing w:after="40" w:before="40"/>
      </w:pPr>
      <w:r>
        <w:rPr>
          <w:rFonts w:ascii="Inter" w:cs="Inter" w:eastAsia="Inter" w:hAnsi="Inter"/>
          <w:color w:val="3D5566"/>
          <w:sz w:val="20"/>
          <w:szCs w:val="20"/>
        </w:rPr>
        <w:t xml:space="preserve">Manual workflows prevent care teams from operating at the speed and scale VBC demands</w:t>
      </w:r>
    </w:p>
    <w:p>
      <w:pPr>
        <w:pStyle w:val="ListParagraph"/>
        <w:numPr>
          <w:ilvl w:val="0"/>
          <w:numId w:val="2"/>
        </w:numPr>
        <w:spacing w:after="40" w:before="40"/>
      </w:pPr>
      <w:r>
        <w:rPr>
          <w:rFonts w:ascii="Inter" w:cs="Inter" w:eastAsia="Inter" w:hAnsi="Inter"/>
          <w:color w:val="3D5566"/>
          <w:sz w:val="20"/>
          <w:szCs w:val="20"/>
        </w:rPr>
        <w:t xml:space="preserve">Proving ROI on care management investments is nearly impossible without unified data</w:t>
      </w:r>
    </w:p>
    <w:p>
      <w:pPr>
        <w:pStyle w:val="ListParagraph"/>
        <w:numPr>
          <w:ilvl w:val="0"/>
          <w:numId w:val="2"/>
        </w:numPr>
        <w:spacing w:after="40" w:before="40"/>
      </w:pPr>
      <w:r>
        <w:rPr>
          <w:rFonts w:ascii="Inter" w:cs="Inter" w:eastAsia="Inter" w:hAnsi="Inter"/>
          <w:color w:val="3D5566"/>
          <w:sz w:val="20"/>
          <w:szCs w:val="20"/>
        </w:rPr>
        <w:t xml:space="preserve">Five or six disconnected point solutions drive up cost and complexity without improving outcomes</w:t>
      </w:r>
    </w:p>
    <w:p>
      <w:pPr>
        <w:pBdr>
          <w:bottom w:val="single" w:color="D0DCE4" w:sz="4" w:space="1"/>
        </w:pBdr>
        <w:spacing w:after="120" w:before="120"/>
      </w:pPr>
    </w:p>
    <w:p>
      <w:r>
        <w:br w:type="page"/>
      </w:r>
    </w:p>
    <w:p>
      <w:pPr>
        <w:spacing w:after="80" w:before="360"/>
      </w:pPr>
      <w:r>
        <w:rPr>
          <w:rFonts w:ascii="Inter" w:cs="Inter" w:eastAsia="Inter" w:hAnsi="Inter"/>
          <w:b/>
          <w:bCs/>
          <w:color w:val="15CC93"/>
          <w:spacing w:val="30"/>
          <w:sz w:val="22"/>
          <w:szCs w:val="22"/>
        </w:rPr>
        <w:t xml:space="preserve">SECTION 05 — </w:t>
      </w:r>
      <w:r>
        <w:rPr>
          <w:rFonts w:ascii="Inter" w:cs="Inter" w:eastAsia="Inter" w:hAnsi="Inter"/>
          <w:b/>
          <w:bCs/>
          <w:color w:val="134D67"/>
          <w:spacing w:val="30"/>
          <w:sz w:val="22"/>
          <w:szCs w:val="22"/>
        </w:rPr>
        <w:t xml:space="preserve">VALUE DRIVER PILLARS (3 PILLARS)</w:t>
      </w:r>
    </w:p>
    <w:p>
      <w:pPr>
        <w:spacing w:after="60" w:before="40"/>
      </w:pPr>
      <w:r>
        <w:rPr>
          <w:rFonts w:ascii="Inter" w:cs="Inter" w:eastAsia="Inter" w:hAnsi="Inter"/>
          <w:b/>
          <w:bCs/>
          <w:color w:val="0D1F2D"/>
          <w:sz w:val="18"/>
          <w:szCs w:val="18"/>
        </w:rPr>
        <w:t xml:space="preserve">Purpose: </w:t>
      </w:r>
      <w:r>
        <w:rPr>
          <w:rFonts w:ascii="Inter" w:cs="Inter" w:eastAsia="Inter" w:hAnsi="Inter"/>
          <w:i/>
          <w:iCs/>
          <w:color w:val="3D5566"/>
          <w:sz w:val="18"/>
          <w:szCs w:val="18"/>
        </w:rPr>
        <w:t xml:space="preserve">Connect Persivia's capabilities to buyer outcomes. Three cards anchored in executive language.</w:t>
      </w:r>
    </w:p>
    <w:p>
      <w:pPr>
        <w:spacing w:after="80" w:before="40"/>
      </w:pPr>
      <w:r>
        <w:rPr>
          <w:rFonts w:ascii="Inter" w:cs="Inter" w:eastAsia="Inter" w:hAnsi="Inter"/>
          <w:b/>
          <w:bCs/>
          <w:color w:val="134D67"/>
          <w:sz w:val="18"/>
          <w:szCs w:val="18"/>
        </w:rPr>
        <w:t xml:space="preserve">LAYOUT: 3 equal columns on light gray background (#F4F8FB). Cards with hover effect.</w:t>
      </w:r>
    </w:p>
    <w:p>
      <w:pPr>
        <w:spacing w:after="80" w:before="200"/>
      </w:pPr>
      <w:r>
        <w:rPr>
          <w:rFonts w:ascii="Inter" w:cs="Inter" w:eastAsia="Inter" w:hAnsi="Inter"/>
          <w:b/>
          <w:bCs/>
          <w:color w:val="134D67"/>
          <w:sz w:val="24"/>
          <w:szCs w:val="24"/>
        </w:rPr>
        <w:t xml:space="preserve">Section Label</w:t>
      </w:r>
    </w:p>
    <w:p>
      <w:pPr>
        <w:spacing w:after="80" w:before="40"/>
      </w:pPr>
      <w:r>
        <w:rPr>
          <w:rFonts w:ascii="Inter" w:cs="Inter" w:eastAsia="Inter" w:hAnsi="Inter"/>
          <w:b w:val="false"/>
          <w:bCs w:val="false"/>
          <w:color w:val="3D5566"/>
          <w:sz w:val="20"/>
          <w:szCs w:val="20"/>
        </w:rPr>
        <w:t xml:space="preserve">How We Help</w:t>
      </w:r>
    </w:p>
    <w:p>
      <w:pPr>
        <w:spacing w:after="80" w:before="200"/>
      </w:pPr>
      <w:r>
        <w:rPr>
          <w:rFonts w:ascii="Inter" w:cs="Inter" w:eastAsia="Inter" w:hAnsi="Inter"/>
          <w:b/>
          <w:bCs/>
          <w:color w:val="134D67"/>
          <w:sz w:val="24"/>
          <w:szCs w:val="24"/>
        </w:rPr>
        <w:t xml:space="preserve">Section Headline</w:t>
      </w:r>
    </w:p>
    <w:p>
      <w:pPr>
        <w:spacing w:after="80" w:before="40"/>
      </w:pPr>
      <w:r>
        <w:rPr>
          <w:rFonts w:ascii="Inter" w:cs="Inter" w:eastAsia="Inter" w:hAnsi="Inter"/>
          <w:b/>
          <w:bCs/>
          <w:color w:val="0D1F2D"/>
          <w:sz w:val="20"/>
          <w:szCs w:val="20"/>
        </w:rPr>
        <w:t xml:space="preserve">The Foundation for Intelligent Healthcare Operations</w:t>
      </w:r>
    </w:p>
    <w:p>
      <w:pPr>
        <w:spacing w:after="80" w:before="200"/>
      </w:pPr>
      <w:r>
        <w:rPr>
          <w:rFonts w:ascii="Inter" w:cs="Inter" w:eastAsia="Inter" w:hAnsi="Inter"/>
          <w:b/>
          <w:bCs/>
          <w:color w:val="134D67"/>
          <w:sz w:val="24"/>
          <w:szCs w:val="24"/>
        </w:rPr>
        <w:t xml:space="preserve">Section Subheadline</w:t>
      </w:r>
    </w:p>
    <w:p>
      <w:pPr>
        <w:spacing w:after="80" w:before="40"/>
      </w:pPr>
      <w:r>
        <w:rPr>
          <w:rFonts w:ascii="Inter" w:cs="Inter" w:eastAsia="Inter" w:hAnsi="Inter"/>
          <w:b w:val="false"/>
          <w:bCs w:val="false"/>
          <w:color w:val="3D5566"/>
          <w:sz w:val="20"/>
          <w:szCs w:val="20"/>
        </w:rPr>
        <w:t xml:space="preserve">CareSpace integrates your data, workflows, and decisions — delivering trusted intelligence across every critical moment in the care continuum.</w:t>
      </w:r>
    </w:p>
    <w:p>
      <w:pPr>
        <w:spacing w:after="60" w:before="240"/>
      </w:pPr>
      <w:r>
        <w:rPr>
          <w:rFonts w:ascii="Inter" w:cs="Inter" w:eastAsia="Inter" w:hAnsi="Inter"/>
          <w:b/>
          <w:bCs/>
          <w:color w:val="15CC93"/>
          <w:spacing w:val="30"/>
          <w:sz w:val="20"/>
          <w:szCs w:val="20"/>
        </w:rPr>
        <w:t xml:space="preserve">PILLAR 1: TRUSTED INTELLIGENCE</w:t>
      </w:r>
    </w:p>
    <w:p>
      <w:pPr>
        <w:spacing w:after="80" w:before="40"/>
      </w:pPr>
      <w:r>
        <w:rPr>
          <w:rFonts w:ascii="Inter" w:cs="Inter" w:eastAsia="Inter" w:hAnsi="Inter"/>
          <w:b/>
          <w:bCs/>
          <w:color w:val="0D1F2D"/>
          <w:sz w:val="20"/>
          <w:szCs w:val="20"/>
        </w:rPr>
        <w:t xml:space="preserve">Card Headline: Trusted Intelligence</w:t>
      </w:r>
    </w:p>
    <w:p>
      <w:pPr>
        <w:spacing w:after="80" w:before="40"/>
      </w:pPr>
      <w:r>
        <w:rPr>
          <w:rFonts w:ascii="Inter" w:cs="Inter" w:eastAsia="Inter" w:hAnsi="Inter"/>
          <w:b w:val="false"/>
          <w:bCs w:val="false"/>
          <w:color w:val="3D5566"/>
          <w:sz w:val="20"/>
          <w:szCs w:val="20"/>
        </w:rPr>
        <w:t xml:space="preserve">Card Body: Bad data leads to bad decisions. Persivia transforms fragmented, inconsistent data into a trusted, real-time foundation — so every decision is grounded in accuracy, context, and confidence.</w:t>
      </w:r>
    </w:p>
    <w:p>
      <w:pPr>
        <w:spacing w:after="80" w:before="40"/>
      </w:pPr>
      <w:r>
        <w:rPr>
          <w:rFonts w:ascii="Inter" w:cs="Inter" w:eastAsia="Inter" w:hAnsi="Inter"/>
          <w:b/>
          <w:bCs/>
          <w:color w:val="134D67"/>
          <w:sz w:val="18"/>
          <w:szCs w:val="18"/>
        </w:rPr>
        <w:t xml:space="preserve">Bullet Points:</w:t>
      </w:r>
    </w:p>
    <w:p>
      <w:pPr>
        <w:pStyle w:val="ListParagraph"/>
        <w:numPr>
          <w:ilvl w:val="0"/>
          <w:numId w:val="2"/>
        </w:numPr>
        <w:spacing w:after="40" w:before="40"/>
      </w:pPr>
      <w:r>
        <w:rPr>
          <w:rFonts w:ascii="Inter" w:cs="Inter" w:eastAsia="Inter" w:hAnsi="Inter"/>
          <w:color w:val="3D5566"/>
          <w:sz w:val="20"/>
          <w:szCs w:val="20"/>
        </w:rPr>
        <w:t xml:space="preserve">Unified longitudinal patient record across all sources</w:t>
      </w:r>
    </w:p>
    <w:p>
      <w:pPr>
        <w:pStyle w:val="ListParagraph"/>
        <w:numPr>
          <w:ilvl w:val="0"/>
          <w:numId w:val="2"/>
        </w:numPr>
        <w:spacing w:after="40" w:before="40"/>
      </w:pPr>
      <w:r>
        <w:rPr>
          <w:rFonts w:ascii="Inter" w:cs="Inter" w:eastAsia="Inter" w:hAnsi="Inter"/>
          <w:color w:val="3D5566"/>
          <w:sz w:val="20"/>
          <w:szCs w:val="20"/>
        </w:rPr>
        <w:t xml:space="preserve">AI + NLP that cleans, normalizes, and enriches data</w:t>
      </w:r>
    </w:p>
    <w:p>
      <w:pPr>
        <w:pStyle w:val="ListParagraph"/>
        <w:numPr>
          <w:ilvl w:val="0"/>
          <w:numId w:val="2"/>
        </w:numPr>
        <w:spacing w:after="40" w:before="40"/>
      </w:pPr>
      <w:r>
        <w:rPr>
          <w:rFonts w:ascii="Inter" w:cs="Inter" w:eastAsia="Inter" w:hAnsi="Inter"/>
          <w:color w:val="3D5566"/>
          <w:sz w:val="20"/>
          <w:szCs w:val="20"/>
        </w:rPr>
        <w:t xml:space="preserve">Real-time insights embedded directly into workflows</w:t>
      </w:r>
    </w:p>
    <w:p>
      <w:pPr>
        <w:pStyle w:val="ListParagraph"/>
        <w:numPr>
          <w:ilvl w:val="0"/>
          <w:numId w:val="2"/>
        </w:numPr>
        <w:spacing w:after="40" w:before="40"/>
      </w:pPr>
      <w:r>
        <w:rPr>
          <w:rFonts w:ascii="Inter" w:cs="Inter" w:eastAsia="Inter" w:hAnsi="Inter"/>
          <w:color w:val="3D5566"/>
          <w:sz w:val="20"/>
          <w:szCs w:val="20"/>
        </w:rPr>
        <w:t xml:space="preserve">Continuous feedback loops that improve over time</w:t>
      </w:r>
    </w:p>
    <w:p>
      <w:pPr>
        <w:spacing w:after="80" w:before="40"/>
      </w:pPr>
      <w:r>
        <w:rPr>
          <w:rFonts w:ascii="Inter" w:cs="Inter" w:eastAsia="Inter" w:hAnsi="Inter"/>
          <w:b/>
          <w:bCs/>
          <w:color w:val="134D67"/>
          <w:sz w:val="20"/>
          <w:szCs w:val="20"/>
        </w:rPr>
        <w:t xml:space="preserve">Micro-CTA: See How Trusted Data Drives Better Decisions →</w:t>
      </w:r>
    </w:p>
    <w:p>
      <w:pPr>
        <w:spacing w:after="60" w:before="240"/>
      </w:pPr>
      <w:r>
        <w:rPr>
          <w:rFonts w:ascii="Inter" w:cs="Inter" w:eastAsia="Inter" w:hAnsi="Inter"/>
          <w:b/>
          <w:bCs/>
          <w:color w:val="15CC93"/>
          <w:spacing w:val="30"/>
          <w:sz w:val="20"/>
          <w:szCs w:val="20"/>
        </w:rPr>
        <w:t xml:space="preserve">PILLAR 2: CARE CONTINUUM COORDINATION</w:t>
      </w:r>
    </w:p>
    <w:p>
      <w:pPr>
        <w:spacing w:after="80" w:before="40"/>
      </w:pPr>
      <w:r>
        <w:rPr>
          <w:rFonts w:ascii="Inter" w:cs="Inter" w:eastAsia="Inter" w:hAnsi="Inter"/>
          <w:b/>
          <w:bCs/>
          <w:color w:val="0D1F2D"/>
          <w:sz w:val="20"/>
          <w:szCs w:val="20"/>
        </w:rPr>
        <w:t xml:space="preserve">Card Headline: Care Continuum Coordination</w:t>
      </w:r>
    </w:p>
    <w:p>
      <w:pPr>
        <w:spacing w:after="80" w:before="40"/>
      </w:pPr>
      <w:r>
        <w:rPr>
          <w:rFonts w:ascii="Inter" w:cs="Inter" w:eastAsia="Inter" w:hAnsi="Inter"/>
          <w:b w:val="false"/>
          <w:bCs w:val="false"/>
          <w:color w:val="3D5566"/>
          <w:sz w:val="20"/>
          <w:szCs w:val="20"/>
        </w:rPr>
        <w:t xml:space="preserve">Card Body: From admission to post-acute care and beyond, Persivia delivers real-time insights and next-best actions directly into clinical workflows — so teams can intervene earlier and coordinate better.</w:t>
      </w:r>
    </w:p>
    <w:p>
      <w:pPr>
        <w:spacing w:after="80" w:before="40"/>
      </w:pPr>
      <w:r>
        <w:rPr>
          <w:rFonts w:ascii="Inter" w:cs="Inter" w:eastAsia="Inter" w:hAnsi="Inter"/>
          <w:b/>
          <w:bCs/>
          <w:color w:val="134D67"/>
          <w:sz w:val="18"/>
          <w:szCs w:val="18"/>
        </w:rPr>
        <w:t xml:space="preserve">Bullet Points:</w:t>
      </w:r>
    </w:p>
    <w:p>
      <w:pPr>
        <w:pStyle w:val="ListParagraph"/>
        <w:numPr>
          <w:ilvl w:val="0"/>
          <w:numId w:val="2"/>
        </w:numPr>
        <w:spacing w:after="40" w:before="40"/>
      </w:pPr>
      <w:r>
        <w:rPr>
          <w:rFonts w:ascii="Inter" w:cs="Inter" w:eastAsia="Inter" w:hAnsi="Inter"/>
          <w:color w:val="3D5566"/>
          <w:sz w:val="20"/>
          <w:szCs w:val="20"/>
        </w:rPr>
        <w:t xml:space="preserve">Intelligent patient prioritization based on real-time signals</w:t>
      </w:r>
    </w:p>
    <w:p>
      <w:pPr>
        <w:pStyle w:val="ListParagraph"/>
        <w:numPr>
          <w:ilvl w:val="0"/>
          <w:numId w:val="2"/>
        </w:numPr>
        <w:spacing w:after="40" w:before="40"/>
      </w:pPr>
      <w:r>
        <w:rPr>
          <w:rFonts w:ascii="Inter" w:cs="Inter" w:eastAsia="Inter" w:hAnsi="Inter"/>
          <w:color w:val="3D5566"/>
          <w:sz w:val="20"/>
          <w:szCs w:val="20"/>
        </w:rPr>
        <w:t xml:space="preserve">Structured team orchestration across care management workflows</w:t>
      </w:r>
    </w:p>
    <w:p>
      <w:pPr>
        <w:pStyle w:val="ListParagraph"/>
        <w:numPr>
          <w:ilvl w:val="0"/>
          <w:numId w:val="2"/>
        </w:numPr>
        <w:spacing w:after="40" w:before="40"/>
      </w:pPr>
      <w:r>
        <w:rPr>
          <w:rFonts w:ascii="Inter" w:cs="Inter" w:eastAsia="Inter" w:hAnsi="Inter"/>
          <w:color w:val="3D5566"/>
          <w:sz w:val="20"/>
          <w:szCs w:val="20"/>
        </w:rPr>
        <w:t xml:space="preserve">Program visibility, activation tracking, and outcome measurement</w:t>
      </w:r>
    </w:p>
    <w:p>
      <w:pPr>
        <w:pStyle w:val="ListParagraph"/>
        <w:numPr>
          <w:ilvl w:val="0"/>
          <w:numId w:val="2"/>
        </w:numPr>
        <w:spacing w:after="40" w:before="40"/>
      </w:pPr>
      <w:r>
        <w:rPr>
          <w:rFonts w:ascii="Inter" w:cs="Inter" w:eastAsia="Inter" w:hAnsi="Inter"/>
          <w:color w:val="3D5566"/>
          <w:sz w:val="20"/>
          <w:szCs w:val="20"/>
        </w:rPr>
        <w:t xml:space="preserve">Built-in compliance, auditability, and reporting</w:t>
      </w:r>
    </w:p>
    <w:p>
      <w:pPr>
        <w:spacing w:after="80" w:before="40"/>
      </w:pPr>
      <w:r>
        <w:rPr>
          <w:rFonts w:ascii="Inter" w:cs="Inter" w:eastAsia="Inter" w:hAnsi="Inter"/>
          <w:b/>
          <w:bCs/>
          <w:color w:val="134D67"/>
          <w:sz w:val="20"/>
          <w:szCs w:val="20"/>
        </w:rPr>
        <w:t xml:space="preserve">Micro-CTA: Explore Clinical Impact Across the Continuum →</w:t>
      </w:r>
    </w:p>
    <w:p>
      <w:pPr>
        <w:spacing w:after="60" w:before="240"/>
      </w:pPr>
      <w:r>
        <w:rPr>
          <w:rFonts w:ascii="Inter" w:cs="Inter" w:eastAsia="Inter" w:hAnsi="Inter"/>
          <w:b/>
          <w:bCs/>
          <w:color w:val="15CC93"/>
          <w:spacing w:val="30"/>
          <w:sz w:val="20"/>
          <w:szCs w:val="20"/>
        </w:rPr>
        <w:t xml:space="preserve">PILLAR 3: ACTIONABLE SIMPLICITY</w:t>
      </w:r>
    </w:p>
    <w:p>
      <w:pPr>
        <w:spacing w:after="80" w:before="40"/>
      </w:pPr>
      <w:r>
        <w:rPr>
          <w:rFonts w:ascii="Inter" w:cs="Inter" w:eastAsia="Inter" w:hAnsi="Inter"/>
          <w:b/>
          <w:bCs/>
          <w:color w:val="0D1F2D"/>
          <w:sz w:val="20"/>
          <w:szCs w:val="20"/>
        </w:rPr>
        <w:t xml:space="preserve">Card Headline: Actionable Simplicity</w:t>
      </w:r>
    </w:p>
    <w:p>
      <w:pPr>
        <w:spacing w:after="80" w:before="40"/>
      </w:pPr>
      <w:r>
        <w:rPr>
          <w:rFonts w:ascii="Inter" w:cs="Inter" w:eastAsia="Inter" w:hAnsi="Inter"/>
          <w:b w:val="false"/>
          <w:bCs w:val="false"/>
          <w:color w:val="3D5566"/>
          <w:sz w:val="20"/>
          <w:szCs w:val="20"/>
        </w:rPr>
        <w:t xml:space="preserve">Card Body: Most platforms show you the problem. Persivia tells you what to do next — and then actually helps you do it. Replace five to six point solutions with one platform built for how care teams actually operate.</w:t>
      </w:r>
    </w:p>
    <w:p>
      <w:pPr>
        <w:spacing w:after="80" w:before="40"/>
      </w:pPr>
      <w:r>
        <w:rPr>
          <w:rFonts w:ascii="Inter" w:cs="Inter" w:eastAsia="Inter" w:hAnsi="Inter"/>
          <w:b/>
          <w:bCs/>
          <w:color w:val="134D67"/>
          <w:sz w:val="18"/>
          <w:szCs w:val="18"/>
        </w:rPr>
        <w:t xml:space="preserve">Bullet Points:</w:t>
      </w:r>
    </w:p>
    <w:p>
      <w:pPr>
        <w:pStyle w:val="ListParagraph"/>
        <w:numPr>
          <w:ilvl w:val="0"/>
          <w:numId w:val="2"/>
        </w:numPr>
        <w:spacing w:after="40" w:before="40"/>
      </w:pPr>
      <w:r>
        <w:rPr>
          <w:rFonts w:ascii="Inter" w:cs="Inter" w:eastAsia="Inter" w:hAnsi="Inter"/>
          <w:color w:val="3D5566"/>
          <w:sz w:val="20"/>
          <w:szCs w:val="20"/>
        </w:rPr>
        <w:t xml:space="preserve">Next-best-action recommendations embedded in clinical workflows</w:t>
      </w:r>
    </w:p>
    <w:p>
      <w:pPr>
        <w:pStyle w:val="ListParagraph"/>
        <w:numPr>
          <w:ilvl w:val="0"/>
          <w:numId w:val="2"/>
        </w:numPr>
        <w:spacing w:after="40" w:before="40"/>
      </w:pPr>
      <w:r>
        <w:rPr>
          <w:rFonts w:ascii="Inter" w:cs="Inter" w:eastAsia="Inter" w:hAnsi="Inter"/>
          <w:color w:val="3D5566"/>
          <w:sz w:val="20"/>
          <w:szCs w:val="20"/>
        </w:rPr>
        <w:t xml:space="preserve">Succeed in value-based contracts with real-time performance insight</w:t>
      </w:r>
    </w:p>
    <w:p>
      <w:pPr>
        <w:pStyle w:val="ListParagraph"/>
        <w:numPr>
          <w:ilvl w:val="0"/>
          <w:numId w:val="2"/>
        </w:numPr>
        <w:spacing w:after="40" w:before="40"/>
      </w:pPr>
      <w:r>
        <w:rPr>
          <w:rFonts w:ascii="Inter" w:cs="Inter" w:eastAsia="Inter" w:hAnsi="Inter"/>
          <w:color w:val="3D5566"/>
          <w:sz w:val="20"/>
          <w:szCs w:val="20"/>
        </w:rPr>
        <w:t xml:space="preserve">Reduce cost and complexity by consolidating your data stack</w:t>
      </w:r>
    </w:p>
    <w:p>
      <w:pPr>
        <w:pStyle w:val="ListParagraph"/>
        <w:numPr>
          <w:ilvl w:val="0"/>
          <w:numId w:val="2"/>
        </w:numPr>
        <w:spacing w:after="40" w:before="40"/>
      </w:pPr>
      <w:r>
        <w:rPr>
          <w:rFonts w:ascii="Inter" w:cs="Inter" w:eastAsia="Inter" w:hAnsi="Inter"/>
          <w:color w:val="3D5566"/>
          <w:sz w:val="20"/>
          <w:szCs w:val="20"/>
        </w:rPr>
        <w:t xml:space="preserve">Go live in weeks, not months — with direct access to our team</w:t>
      </w:r>
    </w:p>
    <w:p>
      <w:pPr>
        <w:spacing w:after="80" w:before="40"/>
      </w:pPr>
      <w:r>
        <w:rPr>
          <w:rFonts w:ascii="Inter" w:cs="Inter" w:eastAsia="Inter" w:hAnsi="Inter"/>
          <w:b/>
          <w:bCs/>
          <w:color w:val="134D67"/>
          <w:sz w:val="20"/>
          <w:szCs w:val="20"/>
        </w:rPr>
        <w:t xml:space="preserve">Micro-CTA: See Where You Can Start →</w:t>
      </w:r>
    </w:p>
    <w:p>
      <w:pPr>
        <w:pBdr>
          <w:bottom w:val="single" w:color="D0DCE4" w:sz="4" w:space="1"/>
        </w:pBdr>
        <w:spacing w:after="120" w:before="120"/>
      </w:pPr>
    </w:p>
    <w:p>
      <w:r>
        <w:br w:type="page"/>
      </w:r>
    </w:p>
    <w:p>
      <w:pPr>
        <w:spacing w:after="80" w:before="360"/>
      </w:pPr>
      <w:r>
        <w:rPr>
          <w:rFonts w:ascii="Inter" w:cs="Inter" w:eastAsia="Inter" w:hAnsi="Inter"/>
          <w:b/>
          <w:bCs/>
          <w:color w:val="15CC93"/>
          <w:spacing w:val="30"/>
          <w:sz w:val="22"/>
          <w:szCs w:val="22"/>
        </w:rPr>
        <w:t xml:space="preserve">SECTION 06 — </w:t>
      </w:r>
      <w:r>
        <w:rPr>
          <w:rFonts w:ascii="Inter" w:cs="Inter" w:eastAsia="Inter" w:hAnsi="Inter"/>
          <w:b/>
          <w:bCs/>
          <w:color w:val="134D67"/>
          <w:spacing w:val="30"/>
          <w:sz w:val="22"/>
          <w:szCs w:val="22"/>
        </w:rPr>
        <w:t xml:space="preserve">DIFFERENTIATOR BAND</w:t>
      </w:r>
    </w:p>
    <w:p>
      <w:pPr>
        <w:spacing w:after="60" w:before="40"/>
      </w:pPr>
      <w:r>
        <w:rPr>
          <w:rFonts w:ascii="Inter" w:cs="Inter" w:eastAsia="Inter" w:hAnsi="Inter"/>
          <w:b/>
          <w:bCs/>
          <w:color w:val="0D1F2D"/>
          <w:sz w:val="18"/>
          <w:szCs w:val="18"/>
        </w:rPr>
        <w:t xml:space="preserve">Purpose: </w:t>
      </w:r>
      <w:r>
        <w:rPr>
          <w:rFonts w:ascii="Inter" w:cs="Inter" w:eastAsia="Inter" w:hAnsi="Inter"/>
          <w:i/>
          <w:iCs/>
          <w:color w:val="3D5566"/>
          <w:sz w:val="18"/>
          <w:szCs w:val="18"/>
        </w:rPr>
        <w:t xml:space="preserve">A punchy, full-width dark band with a bold statement and 3 differentiator boxes. No cards — stark and direct.</w:t>
      </w:r>
    </w:p>
    <w:p>
      <w:pPr>
        <w:spacing w:after="80" w:before="40"/>
      </w:pPr>
      <w:r>
        <w:rPr>
          <w:rFonts w:ascii="Inter" w:cs="Inter" w:eastAsia="Inter" w:hAnsi="Inter"/>
          <w:b/>
          <w:bCs/>
          <w:color w:val="134D67"/>
          <w:sz w:val="18"/>
          <w:szCs w:val="18"/>
        </w:rPr>
        <w:t xml:space="preserve">LAYOUT: Centered text, full-width dark navy (#0D2F40 to #134D67 gradient). 3 frosted boxes below CTA.</w:t>
      </w:r>
    </w:p>
    <w:p>
      <w:pPr>
        <w:spacing w:after="80" w:before="200"/>
      </w:pPr>
      <w:r>
        <w:rPr>
          <w:rFonts w:ascii="Inter" w:cs="Inter" w:eastAsia="Inter" w:hAnsi="Inter"/>
          <w:b/>
          <w:bCs/>
          <w:color w:val="134D67"/>
          <w:sz w:val="24"/>
          <w:szCs w:val="24"/>
        </w:rPr>
        <w:t xml:space="preserve">Headline (Large)</w:t>
      </w:r>
    </w:p>
    <w:p>
      <w:pPr>
        <w:spacing w:after="80" w:before="40"/>
      </w:pPr>
      <w:r>
        <w:rPr>
          <w:rFonts w:ascii="Inter" w:cs="Inter" w:eastAsia="Inter" w:hAnsi="Inter"/>
          <w:b/>
          <w:bCs/>
          <w:color w:val="0D1F2D"/>
          <w:sz w:val="20"/>
          <w:szCs w:val="20"/>
        </w:rPr>
        <w:t xml:space="preserve">Not Just Insights.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CC93" w:sz="18"/>
              <w:bottom w:val="none" w:color="FFFFFF" w:sz="0"/>
              <w:right w:val="none" w:color="FFFFFF" w:sz="0"/>
            </w:tcBorders>
            <w:shd w:fill="F0FBF7" w:val="clear"/>
            <w:tcMar>
              <w:top w:type="dxa" w:w="80"/>
              <w:left w:type="dxa" w:w="160"/>
              <w:bottom w:type="dxa" w:w="80"/>
              <w:right w:type="dxa" w:w="160"/>
            </w:tcMar>
          </w:tcPr>
          <w:p>
            <w:r>
              <w:rPr>
                <w:rFonts w:ascii="Inter" w:cs="Inter" w:eastAsia="Inter" w:hAnsi="Inter"/>
                <w:i/>
                <w:iCs/>
                <w:color w:val="1A6B4A"/>
                <w:sz w:val="18"/>
                <w:szCs w:val="18"/>
              </w:rPr>
              <w:t xml:space="preserve">Set on dark background. 'Action.' should be in brand green (#15CC93).</w:t>
            </w:r>
          </w:p>
        </w:tc>
      </w:tr>
    </w:tbl>
    <w:p>
      <w:pPr>
        <w:spacing w:after="80" w:before="200"/>
      </w:pPr>
      <w:r>
        <w:rPr>
          <w:rFonts w:ascii="Inter" w:cs="Inter" w:eastAsia="Inter" w:hAnsi="Inter"/>
          <w:b/>
          <w:bCs/>
          <w:color w:val="134D67"/>
          <w:sz w:val="24"/>
          <w:szCs w:val="24"/>
        </w:rPr>
        <w:t xml:space="preserve">Subheadline</w:t>
      </w:r>
    </w:p>
    <w:p>
      <w:pPr>
        <w:spacing w:after="80" w:before="40"/>
      </w:pPr>
      <w:r>
        <w:rPr>
          <w:rFonts w:ascii="Inter" w:cs="Inter" w:eastAsia="Inter" w:hAnsi="Inter"/>
          <w:b w:val="false"/>
          <w:bCs w:val="false"/>
          <w:color w:val="3D5566"/>
          <w:sz w:val="20"/>
          <w:szCs w:val="20"/>
        </w:rPr>
        <w:t xml:space="preserve">Most platforms show you the problem. Persivia tells you what to do next — and then actually helps you do it.</w:t>
      </w:r>
    </w:p>
    <w:p>
      <w:pPr>
        <w:spacing w:after="80" w:before="200"/>
      </w:pPr>
      <w:r>
        <w:rPr>
          <w:rFonts w:ascii="Inter" w:cs="Inter" w:eastAsia="Inter" w:hAnsi="Inter"/>
          <w:b/>
          <w:bCs/>
          <w:color w:val="134D67"/>
          <w:sz w:val="24"/>
          <w:szCs w:val="24"/>
        </w:rPr>
        <w:t xml:space="preserve">CTA</w:t>
      </w:r>
    </w:p>
    <w:p>
      <w:pPr>
        <w:spacing w:after="120" w:before="120"/>
      </w:pPr>
      <w:r>
        <w:rPr>
          <w:rFonts w:ascii="Inter" w:cs="Inter" w:eastAsia="Inter" w:hAnsi="Inter"/>
          <w:b/>
          <w:bCs/>
          <w:color w:val="134D67"/>
          <w:sz w:val="18"/>
          <w:szCs w:val="18"/>
        </w:rPr>
        <w:t xml:space="preserve">CTA BUTTON: </w:t>
      </w:r>
      <w:r>
        <w:rPr>
          <w:rFonts w:ascii="Inter" w:cs="Inter" w:eastAsia="Inter" w:hAnsi="Inter"/>
          <w:b/>
          <w:bCs/>
          <w:color w:val="15CC93"/>
          <w:sz w:val="18"/>
          <w:szCs w:val="18"/>
        </w:rPr>
        <w:t xml:space="preserve">Start the Conversation →</w:t>
      </w:r>
    </w:p>
    <w:p>
      <w:pPr>
        <w:spacing w:after="80" w:before="200"/>
      </w:pPr>
      <w:r>
        <w:rPr>
          <w:rFonts w:ascii="Inter" w:cs="Inter" w:eastAsia="Inter" w:hAnsi="Inter"/>
          <w:b/>
          <w:bCs/>
          <w:color w:val="134D67"/>
          <w:sz w:val="24"/>
          <w:szCs w:val="24"/>
        </w:rPr>
        <w:t xml:space="preserve">3 Differentiator Boxes</w:t>
      </w:r>
    </w:p>
    <w:p>
      <w:pPr>
        <w:spacing w:after="80" w:before="40"/>
      </w:pPr>
      <w:r>
        <w:rPr>
          <w:rFonts w:ascii="Inter" w:cs="Inter" w:eastAsia="Inter" w:hAnsi="Inter"/>
          <w:b/>
          <w:bCs/>
          <w:color w:val="0D1F2D"/>
          <w:sz w:val="20"/>
          <w:szCs w:val="20"/>
        </w:rPr>
        <w:t xml:space="preserve">Box 1 — Title: Trusted Intelligence</w:t>
      </w:r>
    </w:p>
    <w:p>
      <w:pPr>
        <w:spacing w:after="80" w:before="40"/>
      </w:pPr>
      <w:r>
        <w:rPr>
          <w:rFonts w:ascii="Inter" w:cs="Inter" w:eastAsia="Inter" w:hAnsi="Inter"/>
          <w:b w:val="false"/>
          <w:bCs w:val="false"/>
          <w:color w:val="3D5566"/>
          <w:sz w:val="20"/>
          <w:szCs w:val="20"/>
        </w:rPr>
        <w:t xml:space="preserve">Box 1 — Body: Not dashboards — actionable insight that clinicians and operators can trust and act on with confidence.</w:t>
      </w:r>
    </w:p>
    <w:p>
      <w:pPr>
        <w:spacing w:after="80" w:before="40"/>
      </w:pPr>
      <w:r>
        <w:rPr>
          <w:rFonts w:ascii="Inter" w:cs="Inter" w:eastAsia="Inter" w:hAnsi="Inter"/>
          <w:b/>
          <w:bCs/>
          <w:color w:val="0D1F2D"/>
          <w:sz w:val="20"/>
          <w:szCs w:val="20"/>
        </w:rPr>
        <w:t xml:space="preserve">Box 2 — Title: Built for Real Workflows</w:t>
      </w:r>
    </w:p>
    <w:p>
      <w:pPr>
        <w:spacing w:after="80" w:before="40"/>
      </w:pPr>
      <w:r>
        <w:rPr>
          <w:rFonts w:ascii="Inter" w:cs="Inter" w:eastAsia="Inter" w:hAnsi="Inter"/>
          <w:b w:val="false"/>
          <w:bCs w:val="false"/>
          <w:color w:val="3D5566"/>
          <w:sz w:val="20"/>
          <w:szCs w:val="20"/>
        </w:rPr>
        <w:t xml:space="preserve">Box 2 — Body: Embedded into care team processes, not separate from them. Designed for how care teams actually operate.</w:t>
      </w:r>
    </w:p>
    <w:p>
      <w:pPr>
        <w:spacing w:after="80" w:before="40"/>
      </w:pPr>
      <w:r>
        <w:rPr>
          <w:rFonts w:ascii="Inter" w:cs="Inter" w:eastAsia="Inter" w:hAnsi="Inter"/>
          <w:b/>
          <w:bCs/>
          <w:color w:val="0D1F2D"/>
          <w:sz w:val="20"/>
          <w:szCs w:val="20"/>
        </w:rPr>
        <w:t xml:space="preserve">Box 3 — Title: Proven Outcomes</w:t>
      </w:r>
    </w:p>
    <w:p>
      <w:pPr>
        <w:spacing w:after="80" w:before="40"/>
      </w:pPr>
      <w:r>
        <w:rPr>
          <w:rFonts w:ascii="Inter" w:cs="Inter" w:eastAsia="Inter" w:hAnsi="Inter"/>
          <w:b w:val="false"/>
          <w:bCs w:val="false"/>
          <w:color w:val="3D5566"/>
          <w:sz w:val="20"/>
          <w:szCs w:val="20"/>
        </w:rPr>
        <w:t xml:space="preserve">Box 3 — Body: Real savings, real improvements, real results — with direct access to our executive team when it matters.</w:t>
      </w:r>
    </w:p>
    <w:p>
      <w:pPr>
        <w:pBdr>
          <w:bottom w:val="single" w:color="D0DCE4" w:sz="4" w:space="1"/>
        </w:pBdr>
        <w:spacing w:after="120" w:before="120"/>
      </w:pPr>
    </w:p>
    <w:p>
      <w:pPr>
        <w:spacing w:after="80" w:before="360"/>
      </w:pPr>
      <w:r>
        <w:rPr>
          <w:rFonts w:ascii="Inter" w:cs="Inter" w:eastAsia="Inter" w:hAnsi="Inter"/>
          <w:b/>
          <w:bCs/>
          <w:color w:val="15CC93"/>
          <w:spacing w:val="30"/>
          <w:sz w:val="22"/>
          <w:szCs w:val="22"/>
        </w:rPr>
        <w:t xml:space="preserve">SECTION 07 — </w:t>
      </w:r>
      <w:r>
        <w:rPr>
          <w:rFonts w:ascii="Inter" w:cs="Inter" w:eastAsia="Inter" w:hAnsi="Inter"/>
          <w:b/>
          <w:bCs/>
          <w:color w:val="134D67"/>
          <w:spacing w:val="30"/>
          <w:sz w:val="22"/>
          <w:szCs w:val="22"/>
        </w:rPr>
        <w:t xml:space="preserve">CASE STUDY SECTION</w:t>
      </w:r>
    </w:p>
    <w:p>
      <w:pPr>
        <w:spacing w:after="60" w:before="40"/>
      </w:pPr>
      <w:r>
        <w:rPr>
          <w:rFonts w:ascii="Inter" w:cs="Inter" w:eastAsia="Inter" w:hAnsi="Inter"/>
          <w:b/>
          <w:bCs/>
          <w:color w:val="0D1F2D"/>
          <w:sz w:val="18"/>
          <w:szCs w:val="18"/>
        </w:rPr>
        <w:t xml:space="preserve">Purpose: </w:t>
      </w:r>
      <w:r>
        <w:rPr>
          <w:rFonts w:ascii="Inter" w:cs="Inter" w:eastAsia="Inter" w:hAnsi="Inter"/>
          <w:i/>
          <w:iCs/>
          <w:color w:val="3D5566"/>
          <w:sz w:val="18"/>
          <w:szCs w:val="18"/>
        </w:rPr>
        <w:t xml:space="preserve">Named, metric-driven proof. Rotating cards in the full site; featured card for the interim page.</w:t>
      </w:r>
    </w:p>
    <w:p>
      <w:pPr>
        <w:spacing w:after="80" w:before="40"/>
      </w:pPr>
      <w:r>
        <w:rPr>
          <w:rFonts w:ascii="Inter" w:cs="Inter" w:eastAsia="Inter" w:hAnsi="Inter"/>
          <w:b/>
          <w:bCs/>
          <w:color w:val="134D67"/>
          <w:sz w:val="18"/>
          <w:szCs w:val="18"/>
        </w:rPr>
        <w:t xml:space="preserve">LAYOUT: Centered header, then featured dark navy card split 50/50. Left = narrative + tags. Right = 2x2 metric grid.</w:t>
      </w:r>
    </w:p>
    <w:p>
      <w:pPr>
        <w:spacing w:after="80" w:before="200"/>
      </w:pPr>
      <w:r>
        <w:rPr>
          <w:rFonts w:ascii="Inter" w:cs="Inter" w:eastAsia="Inter" w:hAnsi="Inter"/>
          <w:b/>
          <w:bCs/>
          <w:color w:val="134D67"/>
          <w:sz w:val="24"/>
          <w:szCs w:val="24"/>
        </w:rPr>
        <w:t xml:space="preserve">Section Label</w:t>
      </w:r>
    </w:p>
    <w:p>
      <w:pPr>
        <w:spacing w:after="80" w:before="40"/>
      </w:pPr>
      <w:r>
        <w:rPr>
          <w:rFonts w:ascii="Inter" w:cs="Inter" w:eastAsia="Inter" w:hAnsi="Inter"/>
          <w:b w:val="false"/>
          <w:bCs w:val="false"/>
          <w:color w:val="3D5566"/>
          <w:sz w:val="20"/>
          <w:szCs w:val="20"/>
        </w:rPr>
        <w:t xml:space="preserve">Proven Outcomes</w:t>
      </w:r>
    </w:p>
    <w:p>
      <w:pPr>
        <w:spacing w:after="80" w:before="200"/>
      </w:pPr>
      <w:r>
        <w:rPr>
          <w:rFonts w:ascii="Inter" w:cs="Inter" w:eastAsia="Inter" w:hAnsi="Inter"/>
          <w:b/>
          <w:bCs/>
          <w:color w:val="134D67"/>
          <w:sz w:val="24"/>
          <w:szCs w:val="24"/>
        </w:rPr>
        <w:t xml:space="preserve">Section Headline</w:t>
      </w:r>
    </w:p>
    <w:p>
      <w:pPr>
        <w:spacing w:after="80" w:before="40"/>
      </w:pPr>
      <w:r>
        <w:rPr>
          <w:rFonts w:ascii="Inter" w:cs="Inter" w:eastAsia="Inter" w:hAnsi="Inter"/>
          <w:b/>
          <w:bCs/>
          <w:color w:val="0D1F2D"/>
          <w:sz w:val="20"/>
          <w:szCs w:val="20"/>
        </w:rPr>
        <w:t xml:space="preserve">Proven Outcomes Across the Value-Based Care Landscape</w:t>
      </w:r>
    </w:p>
    <w:p>
      <w:pPr>
        <w:spacing w:after="80" w:before="200"/>
      </w:pPr>
      <w:r>
        <w:rPr>
          <w:rFonts w:ascii="Inter" w:cs="Inter" w:eastAsia="Inter" w:hAnsi="Inter"/>
          <w:b/>
          <w:bCs/>
          <w:color w:val="134D67"/>
          <w:sz w:val="24"/>
          <w:szCs w:val="24"/>
        </w:rPr>
        <w:t xml:space="preserve">Section Subheadline</w:t>
      </w:r>
    </w:p>
    <w:p>
      <w:pPr>
        <w:spacing w:after="80" w:before="40"/>
      </w:pPr>
      <w:r>
        <w:rPr>
          <w:rFonts w:ascii="Inter" w:cs="Inter" w:eastAsia="Inter" w:hAnsi="Inter"/>
          <w:b w:val="false"/>
          <w:bCs w:val="false"/>
          <w:color w:val="3D5566"/>
          <w:sz w:val="20"/>
          <w:szCs w:val="20"/>
        </w:rPr>
        <w:t xml:space="preserve">Leading healthcare organizations use Persivia to align data, workflows, and decisions — driving measurable improvements in cost, quality, and operational performance.</w:t>
      </w:r>
    </w:p>
    <w:p>
      <w:pPr>
        <w:spacing w:after="80" w:before="200"/>
      </w:pPr>
      <w:r>
        <w:rPr>
          <w:rFonts w:ascii="Inter" w:cs="Inter" w:eastAsia="Inter" w:hAnsi="Inter"/>
          <w:b/>
          <w:bCs/>
          <w:color w:val="134D67"/>
          <w:sz w:val="24"/>
          <w:szCs w:val="24"/>
        </w:rPr>
        <w:t xml:space="preserve">Featured Case Study: McLaren Health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FF5F8" w:val="clear"/>
            <w:tcMar>
              <w:top w:type="dxa" w:w="80"/>
              <w:left w:type="dxa" w:w="120"/>
              <w:bottom w:type="dxa" w:w="80"/>
              <w:right w:type="dxa" w:w="120"/>
            </w:tcMar>
          </w:tcPr>
          <w:p>
            <w:r>
              <w:rPr>
                <w:rFonts w:ascii="Inter" w:cs="Inter" w:eastAsia="Inter" w:hAnsi="Inter"/>
                <w:b/>
                <w:bCs/>
                <w:color w:val="134D67"/>
                <w:sz w:val="18"/>
                <w:szCs w:val="18"/>
              </w:rPr>
              <w:t xml:space="preserve">Eyebrow</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Inter" w:cs="Inter" w:eastAsia="Inter" w:hAnsi="Inter"/>
                <w:color w:val="0D1F2D"/>
                <w:sz w:val="18"/>
                <w:szCs w:val="18"/>
              </w:rPr>
              <w:t xml:space="preserve">Featured Case Study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FF5F8" w:val="clear"/>
            <w:tcMar>
              <w:top w:type="dxa" w:w="80"/>
              <w:left w:type="dxa" w:w="120"/>
              <w:bottom w:type="dxa" w:w="80"/>
              <w:right w:type="dxa" w:w="120"/>
            </w:tcMar>
          </w:tcPr>
          <w:p>
            <w:r>
              <w:rPr>
                <w:rFonts w:ascii="Inter" w:cs="Inter" w:eastAsia="Inter" w:hAnsi="Inter"/>
                <w:b/>
                <w:bCs/>
                <w:color w:val="134D67"/>
                <w:sz w:val="18"/>
                <w:szCs w:val="18"/>
              </w:rPr>
              <w:t xml:space="preserve">Client Name</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Inter" w:cs="Inter" w:eastAsia="Inter" w:hAnsi="Inter"/>
                <w:color w:val="0D1F2D"/>
                <w:sz w:val="18"/>
                <w:szCs w:val="18"/>
              </w:rPr>
              <w:t xml:space="preserve">McLaren Health Care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FF5F8" w:val="clear"/>
            <w:tcMar>
              <w:top w:type="dxa" w:w="80"/>
              <w:left w:type="dxa" w:w="120"/>
              <w:bottom w:type="dxa" w:w="80"/>
              <w:right w:type="dxa" w:w="120"/>
            </w:tcMar>
          </w:tcPr>
          <w:p>
            <w:r>
              <w:rPr>
                <w:rFonts w:ascii="Inter" w:cs="Inter" w:eastAsia="Inter" w:hAnsi="Inter"/>
                <w:b/>
                <w:bCs/>
                <w:color w:val="134D67"/>
                <w:sz w:val="18"/>
                <w:szCs w:val="18"/>
              </w:rPr>
              <w:t xml:space="preserve">Description</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Inter" w:cs="Inter" w:eastAsia="Inter" w:hAnsi="Inter"/>
                <w:color w:val="0D1F2D"/>
                <w:sz w:val="18"/>
                <w:szCs w:val="18"/>
              </w:rPr>
              <w:t xml:space="preserve">A large, multi-site health system needed to unify data across dozens of sources, eliminate redundant point solutions, and operationalize value-based care at scale — without a multi-year implementation timeline.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FF5F8" w:val="clear"/>
            <w:tcMar>
              <w:top w:type="dxa" w:w="80"/>
              <w:left w:type="dxa" w:w="120"/>
              <w:bottom w:type="dxa" w:w="80"/>
              <w:right w:type="dxa" w:w="120"/>
            </w:tcMar>
          </w:tcPr>
          <w:p>
            <w:r>
              <w:rPr>
                <w:rFonts w:ascii="Inter" w:cs="Inter" w:eastAsia="Inter" w:hAnsi="Inter"/>
                <w:b/>
                <w:bCs/>
                <w:color w:val="134D67"/>
                <w:sz w:val="18"/>
                <w:szCs w:val="18"/>
              </w:rPr>
              <w:t xml:space="preserve">Tags</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Inter" w:cs="Inter" w:eastAsia="Inter" w:hAnsi="Inter"/>
                <w:color w:val="0D1F2D"/>
                <w:sz w:val="18"/>
                <w:szCs w:val="18"/>
              </w:rPr>
              <w:t xml:space="preserve">30+ Data Sources Integrated  |  4,400+ Providers  |  1,140+ Practices  |  5 Solutions Replaced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FF5F8" w:val="clear"/>
            <w:tcMar>
              <w:top w:type="dxa" w:w="80"/>
              <w:left w:type="dxa" w:w="120"/>
              <w:bottom w:type="dxa" w:w="80"/>
              <w:right w:type="dxa" w:w="120"/>
            </w:tcMar>
          </w:tcPr>
          <w:p>
            <w:r>
              <w:rPr>
                <w:rFonts w:ascii="Inter" w:cs="Inter" w:eastAsia="Inter" w:hAnsi="Inter"/>
                <w:b/>
                <w:bCs/>
                <w:color w:val="134D67"/>
                <w:sz w:val="18"/>
                <w:szCs w:val="18"/>
              </w:rPr>
              <w:t xml:space="preserve">CTA</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Inter" w:cs="Inter" w:eastAsia="Inter" w:hAnsi="Inter"/>
                <w:color w:val="0D1F2D"/>
                <w:sz w:val="18"/>
                <w:szCs w:val="18"/>
              </w:rPr>
              <w:t xml:space="preserve">Start the Conversation →</w:t>
            </w:r>
          </w:p>
        </w:tc>
      </w:tr>
    </w:tbl>
    <w:p>
      <w:pPr>
        <w:spacing w:after="80" w:before="200"/>
      </w:pPr>
      <w:r>
        <w:rPr>
          <w:rFonts w:ascii="Inter" w:cs="Inter" w:eastAsia="Inter" w:hAnsi="Inter"/>
          <w:b/>
          <w:bCs/>
          <w:color w:val="134D67"/>
          <w:sz w:val="24"/>
          <w:szCs w:val="24"/>
        </w:rPr>
        <w:t xml:space="preserve">Metrics Grid (2x2)</w:t>
      </w:r>
    </w:p>
    <w:p>
      <w:pPr>
        <w:pStyle w:val="ListParagraph"/>
        <w:numPr>
          <w:ilvl w:val="0"/>
          <w:numId w:val="2"/>
        </w:numPr>
        <w:spacing w:after="40" w:before="40"/>
      </w:pPr>
      <w:r>
        <w:rPr>
          <w:rFonts w:ascii="Inter" w:cs="Inter" w:eastAsia="Inter" w:hAnsi="Inter"/>
          <w:color w:val="3D5566"/>
          <w:sz w:val="20"/>
          <w:szCs w:val="20"/>
        </w:rPr>
        <w:t xml:space="preserve">$34M — In demonstrated savings achieved</w:t>
      </w:r>
    </w:p>
    <w:p>
      <w:pPr>
        <w:pStyle w:val="ListParagraph"/>
        <w:numPr>
          <w:ilvl w:val="0"/>
          <w:numId w:val="2"/>
        </w:numPr>
        <w:spacing w:after="40" w:before="40"/>
      </w:pPr>
      <w:r>
        <w:rPr>
          <w:rFonts w:ascii="Inter" w:cs="Inter" w:eastAsia="Inter" w:hAnsi="Inter"/>
          <w:color w:val="3D5566"/>
          <w:sz w:val="20"/>
          <w:szCs w:val="20"/>
        </w:rPr>
        <w:t xml:space="preserve">85% — Operational efficiency improvement</w:t>
      </w:r>
    </w:p>
    <w:p>
      <w:pPr>
        <w:pStyle w:val="ListParagraph"/>
        <w:numPr>
          <w:ilvl w:val="0"/>
          <w:numId w:val="2"/>
        </w:numPr>
        <w:spacing w:after="40" w:before="40"/>
      </w:pPr>
      <w:r>
        <w:rPr>
          <w:rFonts w:ascii="Inter" w:cs="Inter" w:eastAsia="Inter" w:hAnsi="Inter"/>
          <w:color w:val="3D5566"/>
          <w:sz w:val="20"/>
          <w:szCs w:val="20"/>
        </w:rPr>
        <w:t xml:space="preserve">9 wks — Time-to-value from go-live</w:t>
      </w:r>
    </w:p>
    <w:p>
      <w:pPr>
        <w:pStyle w:val="ListParagraph"/>
        <w:numPr>
          <w:ilvl w:val="0"/>
          <w:numId w:val="2"/>
        </w:numPr>
        <w:spacing w:after="40" w:before="40"/>
      </w:pPr>
      <w:r>
        <w:rPr>
          <w:rFonts w:ascii="Inter" w:cs="Inter" w:eastAsia="Inter" w:hAnsi="Inter"/>
          <w:color w:val="3D5566"/>
          <w:sz w:val="20"/>
          <w:szCs w:val="20"/>
        </w:rPr>
        <w:t xml:space="preserve">5x — Point solutions replaced by CareSpace</w:t>
      </w:r>
    </w:p>
    <w:p>
      <w:pPr>
        <w:spacing w:after="60" w:before="120"/>
      </w:pPr>
      <w:r>
        <w:rPr>
          <w:rFonts w:ascii="Inter" w:cs="Inter" w:eastAsia="Inter" w:hAnsi="Inter"/>
          <w:b/>
          <w:bCs/>
          <w:color w:val="134D67"/>
          <w:sz w:val="18"/>
          <w:szCs w:val="18"/>
        </w:rPr>
        <w:t xml:space="preserve">ADDITIONAL CASE STUDY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CE4" w:sz="1"/>
              <w:left w:val="single" w:color="D0DCE4" w:sz="1"/>
              <w:bottom w:val="single" w:color="D0DCE4" w:sz="1"/>
              <w:right w:val="single" w:color="D0DCE4" w:sz="1"/>
            </w:tcBorders>
            <w:shd w:fill="FFF8E7" w:val="clear"/>
            <w:tcMar>
              <w:top w:type="dxa" w:w="100"/>
              <w:left w:type="dxa" w:w="160"/>
              <w:bottom w:type="dxa" w:w="100"/>
              <w:right w:type="dxa" w:w="160"/>
            </w:tcMar>
          </w:tcPr>
          <w:p>
            <w:r>
              <w:rPr>
                <w:rFonts w:ascii="Inter" w:cs="Inter" w:eastAsia="Inter" w:hAnsi="Inter"/>
                <w:b/>
                <w:bCs/>
                <w:color w:val="B06000"/>
                <w:sz w:val="18"/>
                <w:szCs w:val="18"/>
              </w:rPr>
              <w:t xml:space="preserve">⚠ PLACEHOLDER: </w:t>
            </w:r>
            <w:r>
              <w:rPr>
                <w:rFonts w:ascii="Inter" w:cs="Inter" w:eastAsia="Inter" w:hAnsi="Inter"/>
                <w:color w:val="B06000"/>
                <w:sz w:val="18"/>
                <w:szCs w:val="18"/>
              </w:rPr>
              <w:t xml:space="preserve">HCA Florida — Add metric + one-line impact statement when available.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CE4" w:sz="1"/>
              <w:left w:val="single" w:color="D0DCE4" w:sz="1"/>
              <w:bottom w:val="single" w:color="D0DCE4" w:sz="1"/>
              <w:right w:val="single" w:color="D0DCE4" w:sz="1"/>
            </w:tcBorders>
            <w:shd w:fill="FFF8E7" w:val="clear"/>
            <w:tcMar>
              <w:top w:type="dxa" w:w="100"/>
              <w:left w:type="dxa" w:w="160"/>
              <w:bottom w:type="dxa" w:w="100"/>
              <w:right w:type="dxa" w:w="160"/>
            </w:tcMar>
          </w:tcPr>
          <w:p>
            <w:r>
              <w:rPr>
                <w:rFonts w:ascii="Inter" w:cs="Inter" w:eastAsia="Inter" w:hAnsi="Inter"/>
                <w:b/>
                <w:bCs/>
                <w:color w:val="B06000"/>
                <w:sz w:val="18"/>
                <w:szCs w:val="18"/>
              </w:rPr>
              <w:t xml:space="preserve">⚠ PLACEHOLDER: </w:t>
            </w:r>
            <w:r>
              <w:rPr>
                <w:rFonts w:ascii="Inter" w:cs="Inter" w:eastAsia="Inter" w:hAnsi="Inter"/>
                <w:color w:val="B06000"/>
                <w:sz w:val="18"/>
                <w:szCs w:val="18"/>
              </w:rPr>
              <w:t xml:space="preserve">Prime Healthcare — Add metric + one-line impact statement when available.</w:t>
            </w:r>
          </w:p>
        </w:tc>
      </w:tr>
    </w:tbl>
    <w:p>
      <w:pPr>
        <w:pBdr>
          <w:bottom w:val="single" w:color="D0DCE4" w:sz="4" w:space="1"/>
        </w:pBdr>
        <w:spacing w:after="120" w:before="120"/>
      </w:pPr>
    </w:p>
    <w:p>
      <w:r>
        <w:br w:type="page"/>
      </w:r>
    </w:p>
    <w:p>
      <w:pPr>
        <w:spacing w:after="80" w:before="360"/>
      </w:pPr>
      <w:r>
        <w:rPr>
          <w:rFonts w:ascii="Inter" w:cs="Inter" w:eastAsia="Inter" w:hAnsi="Inter"/>
          <w:b/>
          <w:bCs/>
          <w:color w:val="15CC93"/>
          <w:spacing w:val="30"/>
          <w:sz w:val="22"/>
          <w:szCs w:val="22"/>
        </w:rPr>
        <w:t xml:space="preserve">SECTION 08 — </w:t>
      </w:r>
      <w:r>
        <w:rPr>
          <w:rFonts w:ascii="Inter" w:cs="Inter" w:eastAsia="Inter" w:hAnsi="Inter"/>
          <w:b/>
          <w:bCs/>
          <w:color w:val="134D67"/>
          <w:spacing w:val="30"/>
          <w:sz w:val="22"/>
          <w:szCs w:val="22"/>
        </w:rPr>
        <w:t xml:space="preserve">TESTIMONIAL SECTION</w:t>
      </w:r>
    </w:p>
    <w:p>
      <w:pPr>
        <w:spacing w:after="60" w:before="40"/>
      </w:pPr>
      <w:r>
        <w:rPr>
          <w:rFonts w:ascii="Inter" w:cs="Inter" w:eastAsia="Inter" w:hAnsi="Inter"/>
          <w:b/>
          <w:bCs/>
          <w:color w:val="0D1F2D"/>
          <w:sz w:val="18"/>
          <w:szCs w:val="18"/>
        </w:rPr>
        <w:t xml:space="preserve">Purpose: </w:t>
      </w:r>
      <w:r>
        <w:rPr>
          <w:rFonts w:ascii="Inter" w:cs="Inter" w:eastAsia="Inter" w:hAnsi="Inter"/>
          <w:i/>
          <w:iCs/>
          <w:color w:val="3D5566"/>
          <w:sz w:val="18"/>
          <w:szCs w:val="18"/>
        </w:rPr>
        <w:t xml:space="preserve">Named, attributed quotes convert better than anonymous endorsements. Full name + title + org required.</w:t>
      </w:r>
    </w:p>
    <w:p>
      <w:pPr>
        <w:spacing w:after="80" w:before="40"/>
      </w:pPr>
      <w:r>
        <w:rPr>
          <w:rFonts w:ascii="Inter" w:cs="Inter" w:eastAsia="Inter" w:hAnsi="Inter"/>
          <w:b/>
          <w:bCs/>
          <w:color w:val="134D67"/>
          <w:sz w:val="18"/>
          <w:szCs w:val="18"/>
        </w:rPr>
        <w:t xml:space="preserve">LAYOUT: Centered, light gray background, large quote mark in green, avatar + name/title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CE4" w:sz="1"/>
              <w:left w:val="single" w:color="D0DCE4" w:sz="1"/>
              <w:bottom w:val="single" w:color="D0DCE4" w:sz="1"/>
              <w:right w:val="single" w:color="D0DCE4" w:sz="1"/>
            </w:tcBorders>
            <w:shd w:fill="FFF8E7" w:val="clear"/>
            <w:tcMar>
              <w:top w:type="dxa" w:w="100"/>
              <w:left w:type="dxa" w:w="160"/>
              <w:bottom w:type="dxa" w:w="100"/>
              <w:right w:type="dxa" w:w="160"/>
            </w:tcMar>
          </w:tcPr>
          <w:p>
            <w:r>
              <w:rPr>
                <w:rFonts w:ascii="Inter" w:cs="Inter" w:eastAsia="Inter" w:hAnsi="Inter"/>
                <w:b/>
                <w:bCs/>
                <w:color w:val="B06000"/>
                <w:sz w:val="18"/>
                <w:szCs w:val="18"/>
              </w:rPr>
              <w:t xml:space="preserve">⚠ PLACEHOLDER: </w:t>
            </w:r>
            <w:r>
              <w:rPr>
                <w:rFonts w:ascii="Inter" w:cs="Inter" w:eastAsia="Inter" w:hAnsi="Inter"/>
                <w:color w:val="B06000"/>
                <w:sz w:val="18"/>
                <w:szCs w:val="18"/>
              </w:rPr>
              <w:t xml:space="preserve">Insert attributed quote from a CMO, VP of Population Health, or VBC executive. Must include: full name, title, and organization. Quote should speak specifically to measurable outcomes — not generic praise.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CC93" w:sz="18"/>
              <w:bottom w:val="none" w:color="FFFFFF" w:sz="0"/>
              <w:right w:val="none" w:color="FFFFFF" w:sz="0"/>
            </w:tcBorders>
            <w:shd w:fill="F0FBF7" w:val="clear"/>
            <w:tcMar>
              <w:top w:type="dxa" w:w="80"/>
              <w:left w:type="dxa" w:w="160"/>
              <w:bottom w:type="dxa" w:w="80"/>
              <w:right w:type="dxa" w:w="160"/>
            </w:tcMar>
          </w:tcPr>
          <w:p>
            <w:r>
              <w:rPr>
                <w:rFonts w:ascii="Inter" w:cs="Inter" w:eastAsia="Inter" w:hAnsi="Inter"/>
                <w:i/>
                <w:iCs/>
                <w:color w:val="1A6B4A"/>
                <w:sz w:val="18"/>
                <w:szCs w:val="18"/>
              </w:rPr>
              <w:t xml:space="preserve">Reference: Prime Healthcare has cited executive responsiveness and tailored implementation as key advantages. Consider sourcing a quote tied to that angle.</w:t>
            </w:r>
          </w:p>
        </w:tc>
      </w:tr>
    </w:tbl>
    <w:p>
      <w:pPr>
        <w:pBdr>
          <w:bottom w:val="single" w:color="D0DCE4" w:sz="4" w:space="1"/>
        </w:pBdr>
        <w:spacing w:after="120" w:before="120"/>
      </w:pPr>
    </w:p>
    <w:p>
      <w:pPr>
        <w:spacing w:after="80" w:before="360"/>
      </w:pPr>
      <w:r>
        <w:rPr>
          <w:rFonts w:ascii="Inter" w:cs="Inter" w:eastAsia="Inter" w:hAnsi="Inter"/>
          <w:b/>
          <w:bCs/>
          <w:color w:val="15CC93"/>
          <w:spacing w:val="30"/>
          <w:sz w:val="22"/>
          <w:szCs w:val="22"/>
        </w:rPr>
        <w:t xml:space="preserve">SECTION 09 — </w:t>
      </w:r>
      <w:r>
        <w:rPr>
          <w:rFonts w:ascii="Inter" w:cs="Inter" w:eastAsia="Inter" w:hAnsi="Inter"/>
          <w:b/>
          <w:bCs/>
          <w:color w:val="134D67"/>
          <w:spacing w:val="30"/>
          <w:sz w:val="22"/>
          <w:szCs w:val="22"/>
        </w:rPr>
        <w:t xml:space="preserve">BOTTOM CTA SECTION</w:t>
      </w:r>
    </w:p>
    <w:p>
      <w:pPr>
        <w:spacing w:after="60" w:before="40"/>
      </w:pPr>
      <w:r>
        <w:rPr>
          <w:rFonts w:ascii="Inter" w:cs="Inter" w:eastAsia="Inter" w:hAnsi="Inter"/>
          <w:b/>
          <w:bCs/>
          <w:color w:val="0D1F2D"/>
          <w:sz w:val="18"/>
          <w:szCs w:val="18"/>
        </w:rPr>
        <w:t xml:space="preserve">Purpose: </w:t>
      </w:r>
      <w:r>
        <w:rPr>
          <w:rFonts w:ascii="Inter" w:cs="Inter" w:eastAsia="Inter" w:hAnsi="Inter"/>
          <w:i/>
          <w:iCs/>
          <w:color w:val="3D5566"/>
          <w:sz w:val="18"/>
          <w:szCs w:val="18"/>
        </w:rPr>
        <w:t xml:space="preserve">Drive contact or demo requests. Frame to reflect the seniority and decision-making style of enterprise buyers.</w:t>
      </w:r>
    </w:p>
    <w:p>
      <w:pPr>
        <w:spacing w:after="80" w:before="40"/>
      </w:pPr>
      <w:r>
        <w:rPr>
          <w:rFonts w:ascii="Inter" w:cs="Inter" w:eastAsia="Inter" w:hAnsi="Inter"/>
          <w:b/>
          <w:bCs/>
          <w:color w:val="134D67"/>
          <w:sz w:val="18"/>
          <w:szCs w:val="18"/>
        </w:rPr>
        <w:t xml:space="preserve">LAYOUT: Centered, dark navy background with green radial glow. Tag pill above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FF5F8" w:val="clear"/>
            <w:tcMar>
              <w:top w:type="dxa" w:w="80"/>
              <w:left w:type="dxa" w:w="120"/>
              <w:bottom w:type="dxa" w:w="80"/>
              <w:right w:type="dxa" w:w="120"/>
            </w:tcMar>
          </w:tcPr>
          <w:p>
            <w:r>
              <w:rPr>
                <w:rFonts w:ascii="Inter" w:cs="Inter" w:eastAsia="Inter" w:hAnsi="Inter"/>
                <w:b/>
                <w:bCs/>
                <w:color w:val="134D67"/>
                <w:sz w:val="18"/>
                <w:szCs w:val="18"/>
              </w:rPr>
              <w:t xml:space="preserve">Tag Pill</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Inter" w:cs="Inter" w:eastAsia="Inter" w:hAnsi="Inter"/>
                <w:color w:val="0D1F2D"/>
                <w:sz w:val="18"/>
                <w:szCs w:val="18"/>
              </w:rPr>
              <w:t xml:space="preserve">Ready to Get Started?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FF5F8" w:val="clear"/>
            <w:tcMar>
              <w:top w:type="dxa" w:w="80"/>
              <w:left w:type="dxa" w:w="120"/>
              <w:bottom w:type="dxa" w:w="80"/>
              <w:right w:type="dxa" w:w="120"/>
            </w:tcMar>
          </w:tcPr>
          <w:p>
            <w:r>
              <w:rPr>
                <w:rFonts w:ascii="Inter" w:cs="Inter" w:eastAsia="Inter" w:hAnsi="Inter"/>
                <w:b/>
                <w:bCs/>
                <w:color w:val="134D67"/>
                <w:sz w:val="18"/>
                <w:szCs w:val="18"/>
              </w:rPr>
              <w:t xml:space="preserve">Headline</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Inter" w:cs="Inter" w:eastAsia="Inter" w:hAnsi="Inter"/>
                <w:color w:val="0D1F2D"/>
                <w:sz w:val="18"/>
                <w:szCs w:val="18"/>
              </w:rPr>
              <w:t xml:space="preserve">Turn Fragmented Data into Real-Time 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FF5F8" w:val="clear"/>
            <w:tcMar>
              <w:top w:type="dxa" w:w="80"/>
              <w:left w:type="dxa" w:w="120"/>
              <w:bottom w:type="dxa" w:w="80"/>
              <w:right w:type="dxa" w:w="120"/>
            </w:tcMar>
          </w:tcPr>
          <w:p>
            <w:r>
              <w:rPr>
                <w:rFonts w:ascii="Inter" w:cs="Inter" w:eastAsia="Inter" w:hAnsi="Inter"/>
                <w:b/>
                <w:bCs/>
                <w:color w:val="134D67"/>
                <w:sz w:val="18"/>
                <w:szCs w:val="18"/>
              </w:rPr>
              <w:t xml:space="preserve">Subheadline</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Inter" w:cs="Inter" w:eastAsia="Inter" w:hAnsi="Inter"/>
                <w:color w:val="0D1F2D"/>
                <w:sz w:val="18"/>
                <w:szCs w:val="18"/>
              </w:rPr>
              <w:t xml:space="preserve">See how Persivia helps healthcare organizations improve outcomes, reduce costs, and operationalize value-based care — with actionable simplicity.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FF5F8" w:val="clear"/>
            <w:tcMar>
              <w:top w:type="dxa" w:w="80"/>
              <w:left w:type="dxa" w:w="120"/>
              <w:bottom w:type="dxa" w:w="80"/>
              <w:right w:type="dxa" w:w="120"/>
            </w:tcMar>
          </w:tcPr>
          <w:p>
            <w:r>
              <w:rPr>
                <w:rFonts w:ascii="Inter" w:cs="Inter" w:eastAsia="Inter" w:hAnsi="Inter"/>
                <w:b/>
                <w:bCs/>
                <w:color w:val="134D67"/>
                <w:sz w:val="18"/>
                <w:szCs w:val="18"/>
              </w:rPr>
              <w:t xml:space="preserve">Primary CTA</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Inter" w:cs="Inter" w:eastAsia="Inter" w:hAnsi="Inter"/>
                <w:color w:val="0D1F2D"/>
                <w:sz w:val="18"/>
                <w:szCs w:val="18"/>
              </w:rPr>
              <w:t xml:space="preserve">Start the Conversation →  [Link to HubSpot form or contact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FF5F8" w:val="clear"/>
            <w:tcMar>
              <w:top w:type="dxa" w:w="80"/>
              <w:left w:type="dxa" w:w="120"/>
              <w:bottom w:type="dxa" w:w="80"/>
              <w:right w:type="dxa" w:w="120"/>
            </w:tcMar>
          </w:tcPr>
          <w:p>
            <w:r>
              <w:rPr>
                <w:rFonts w:ascii="Inter" w:cs="Inter" w:eastAsia="Inter" w:hAnsi="Inter"/>
                <w:b/>
                <w:bCs/>
                <w:color w:val="134D67"/>
                <w:sz w:val="18"/>
                <w:szCs w:val="18"/>
              </w:rPr>
              <w:t xml:space="preserve">Secondary CTA</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Inter" w:cs="Inter" w:eastAsia="Inter" w:hAnsi="Inter"/>
                <w:color w:val="0D1F2D"/>
                <w:sz w:val="18"/>
                <w:szCs w:val="18"/>
              </w:rPr>
              <w:t xml:space="preserve">Request a Demo  [outline button style]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CE4" w:sz="1"/>
              <w:left w:val="single" w:color="D0DCE4" w:sz="1"/>
              <w:bottom w:val="single" w:color="D0DCE4" w:sz="1"/>
              <w:right w:val="single" w:color="D0DCE4" w:sz="1"/>
            </w:tcBorders>
            <w:shd w:fill="FFF8E7" w:val="clear"/>
            <w:tcMar>
              <w:top w:type="dxa" w:w="100"/>
              <w:left w:type="dxa" w:w="160"/>
              <w:bottom w:type="dxa" w:w="100"/>
              <w:right w:type="dxa" w:w="160"/>
            </w:tcMar>
          </w:tcPr>
          <w:p>
            <w:r>
              <w:rPr>
                <w:rFonts w:ascii="Inter" w:cs="Inter" w:eastAsia="Inter" w:hAnsi="Inter"/>
                <w:b/>
                <w:bCs/>
                <w:color w:val="B06000"/>
                <w:sz w:val="18"/>
                <w:szCs w:val="18"/>
              </w:rPr>
              <w:t xml:space="preserve">⚠ PLACEHOLDER: </w:t>
            </w:r>
            <w:r>
              <w:rPr>
                <w:rFonts w:ascii="Inter" w:cs="Inter" w:eastAsia="Inter" w:hAnsi="Inter"/>
                <w:color w:val="B06000"/>
                <w:sz w:val="18"/>
                <w:szCs w:val="18"/>
              </w:rPr>
              <w:t xml:space="preserve">Insert HubSpot form URL or embed form directly in this section. Update both CTA links before launch.</w:t>
            </w:r>
          </w:p>
        </w:tc>
      </w:tr>
    </w:tbl>
    <w:p>
      <w:pPr>
        <w:pBdr>
          <w:bottom w:val="single" w:color="D0DCE4" w:sz="4" w:space="1"/>
        </w:pBdr>
        <w:spacing w:after="120" w:before="120"/>
      </w:pPr>
    </w:p>
    <w:p>
      <w:pPr>
        <w:spacing w:after="80" w:before="360"/>
      </w:pPr>
      <w:r>
        <w:rPr>
          <w:rFonts w:ascii="Inter" w:cs="Inter" w:eastAsia="Inter" w:hAnsi="Inter"/>
          <w:b/>
          <w:bCs/>
          <w:color w:val="15CC93"/>
          <w:spacing w:val="30"/>
          <w:sz w:val="22"/>
          <w:szCs w:val="22"/>
        </w:rPr>
        <w:t xml:space="preserve">SECTION 10 — </w:t>
      </w:r>
      <w:r>
        <w:rPr>
          <w:rFonts w:ascii="Inter" w:cs="Inter" w:eastAsia="Inter" w:hAnsi="Inter"/>
          <w:b/>
          <w:bCs/>
          <w:color w:val="134D67"/>
          <w:spacing w:val="30"/>
          <w:sz w:val="22"/>
          <w:szCs w:val="22"/>
        </w:rPr>
        <w:t xml:space="preserve">FOOTER</w:t>
      </w:r>
    </w:p>
    <w:p>
      <w:pPr>
        <w:spacing w:after="60" w:before="40"/>
      </w:pPr>
      <w:r>
        <w:rPr>
          <w:rFonts w:ascii="Inter" w:cs="Inter" w:eastAsia="Inter" w:hAnsi="Inter"/>
          <w:b/>
          <w:bCs/>
          <w:color w:val="0D1F2D"/>
          <w:sz w:val="18"/>
          <w:szCs w:val="18"/>
        </w:rPr>
        <w:t xml:space="preserve">Purpose: </w:t>
      </w:r>
      <w:r>
        <w:rPr>
          <w:rFonts w:ascii="Inter" w:cs="Inter" w:eastAsia="Inter" w:hAnsi="Inter"/>
          <w:i/>
          <w:iCs/>
          <w:color w:val="3D5566"/>
          <w:sz w:val="18"/>
          <w:szCs w:val="18"/>
        </w:rPr>
        <w:t xml:space="preserve">Minimal for interim site. Expand as full site pages are built.</w:t>
      </w:r>
    </w:p>
    <w:p>
      <w:pPr>
        <w:spacing w:after="80" w:before="40"/>
      </w:pPr>
      <w:r>
        <w:rPr>
          <w:rFonts w:ascii="Inter" w:cs="Inter" w:eastAsia="Inter" w:hAnsi="Inter"/>
          <w:b/>
          <w:bCs/>
          <w:color w:val="134D67"/>
          <w:sz w:val="18"/>
          <w:szCs w:val="18"/>
        </w:rPr>
        <w:t xml:space="preserve">LAYOUT: Dark background (#07202D). 4 columns: Brand + 3 link columns. Bottom bar with legal links.</w:t>
      </w:r>
    </w:p>
    <w:p>
      <w:pPr>
        <w:spacing w:after="80" w:before="200"/>
      </w:pPr>
      <w:r>
        <w:rPr>
          <w:rFonts w:ascii="Inter" w:cs="Inter" w:eastAsia="Inter" w:hAnsi="Inter"/>
          <w:b/>
          <w:bCs/>
          <w:color w:val="134D67"/>
          <w:sz w:val="24"/>
          <w:szCs w:val="24"/>
        </w:rPr>
        <w:t xml:space="preserve">Brand Column</w:t>
      </w:r>
    </w:p>
    <w:p>
      <w:pPr>
        <w:spacing w:after="80" w:before="40"/>
      </w:pPr>
      <w:r>
        <w:rPr>
          <w:rFonts w:ascii="Inter" w:cs="Inter" w:eastAsia="Inter" w:hAnsi="Inter"/>
          <w:b w:val="false"/>
          <w:bCs w:val="false"/>
          <w:color w:val="3D5566"/>
          <w:sz w:val="20"/>
          <w:szCs w:val="20"/>
        </w:rPr>
        <w:t xml:space="preserve">Tagline: The intelligence layer that enables healthcare organizations to operationalize value-based care by turning fragmented data into coordinated, real-time action.</w:t>
      </w:r>
    </w:p>
    <w:p>
      <w:pPr>
        <w:spacing w:after="80" w:before="200"/>
      </w:pPr>
      <w:r>
        <w:rPr>
          <w:rFonts w:ascii="Inter" w:cs="Inter" w:eastAsia="Inter" w:hAnsi="Inter"/>
          <w:b/>
          <w:bCs/>
          <w:color w:val="134D67"/>
          <w:sz w:val="24"/>
          <w:szCs w:val="24"/>
        </w:rPr>
        <w:t xml:space="preserve">Link Column 1: Platform</w:t>
      </w:r>
    </w:p>
    <w:p>
      <w:pPr>
        <w:pStyle w:val="ListParagraph"/>
        <w:numPr>
          <w:ilvl w:val="0"/>
          <w:numId w:val="2"/>
        </w:numPr>
        <w:spacing w:after="40" w:before="40"/>
      </w:pPr>
      <w:r>
        <w:rPr>
          <w:rFonts w:ascii="Inter" w:cs="Inter" w:eastAsia="Inter" w:hAnsi="Inter"/>
          <w:color w:val="3D5566"/>
          <w:sz w:val="20"/>
          <w:szCs w:val="20"/>
        </w:rPr>
        <w:t xml:space="preserve">CareSpace Overview</w:t>
      </w:r>
    </w:p>
    <w:p>
      <w:pPr>
        <w:pStyle w:val="ListParagraph"/>
        <w:numPr>
          <w:ilvl w:val="0"/>
          <w:numId w:val="2"/>
        </w:numPr>
        <w:spacing w:after="40" w:before="40"/>
      </w:pPr>
      <w:r>
        <w:rPr>
          <w:rFonts w:ascii="Inter" w:cs="Inter" w:eastAsia="Inter" w:hAnsi="Inter"/>
          <w:color w:val="3D5566"/>
          <w:sz w:val="20"/>
          <w:szCs w:val="20"/>
        </w:rPr>
        <w:t xml:space="preserve">Data Management</w:t>
      </w:r>
    </w:p>
    <w:p>
      <w:pPr>
        <w:pStyle w:val="ListParagraph"/>
        <w:numPr>
          <w:ilvl w:val="0"/>
          <w:numId w:val="2"/>
        </w:numPr>
        <w:spacing w:after="40" w:before="40"/>
      </w:pPr>
      <w:r>
        <w:rPr>
          <w:rFonts w:ascii="Inter" w:cs="Inter" w:eastAsia="Inter" w:hAnsi="Inter"/>
          <w:color w:val="3D5566"/>
          <w:sz w:val="20"/>
          <w:szCs w:val="20"/>
        </w:rPr>
        <w:t xml:space="preserve">Care Management</w:t>
      </w:r>
    </w:p>
    <w:p>
      <w:pPr>
        <w:pStyle w:val="ListParagraph"/>
        <w:numPr>
          <w:ilvl w:val="0"/>
          <w:numId w:val="2"/>
        </w:numPr>
        <w:spacing w:after="40" w:before="40"/>
      </w:pPr>
      <w:r>
        <w:rPr>
          <w:rFonts w:ascii="Inter" w:cs="Inter" w:eastAsia="Inter" w:hAnsi="Inter"/>
          <w:color w:val="3D5566"/>
          <w:sz w:val="20"/>
          <w:szCs w:val="20"/>
        </w:rPr>
        <w:t xml:space="preserve">Quality &amp; Reporting</w:t>
      </w:r>
    </w:p>
    <w:p>
      <w:pPr>
        <w:spacing w:after="80" w:before="200"/>
      </w:pPr>
      <w:r>
        <w:rPr>
          <w:rFonts w:ascii="Inter" w:cs="Inter" w:eastAsia="Inter" w:hAnsi="Inter"/>
          <w:b/>
          <w:bCs/>
          <w:color w:val="134D67"/>
          <w:sz w:val="24"/>
          <w:szCs w:val="24"/>
        </w:rPr>
        <w:t xml:space="preserve">Link Column 2: Solutions</w:t>
      </w:r>
    </w:p>
    <w:p>
      <w:pPr>
        <w:pStyle w:val="ListParagraph"/>
        <w:numPr>
          <w:ilvl w:val="0"/>
          <w:numId w:val="2"/>
        </w:numPr>
        <w:spacing w:after="40" w:before="40"/>
      </w:pPr>
      <w:r>
        <w:rPr>
          <w:rFonts w:ascii="Inter" w:cs="Inter" w:eastAsia="Inter" w:hAnsi="Inter"/>
          <w:color w:val="3D5566"/>
          <w:sz w:val="20"/>
          <w:szCs w:val="20"/>
        </w:rPr>
        <w:t xml:space="preserve">For Health Systems</w:t>
      </w:r>
    </w:p>
    <w:p>
      <w:pPr>
        <w:pStyle w:val="ListParagraph"/>
        <w:numPr>
          <w:ilvl w:val="0"/>
          <w:numId w:val="2"/>
        </w:numPr>
        <w:spacing w:after="40" w:before="40"/>
      </w:pPr>
      <w:r>
        <w:rPr>
          <w:rFonts w:ascii="Inter" w:cs="Inter" w:eastAsia="Inter" w:hAnsi="Inter"/>
          <w:color w:val="3D5566"/>
          <w:sz w:val="20"/>
          <w:szCs w:val="20"/>
        </w:rPr>
        <w:t xml:space="preserve">For ACOs</w:t>
      </w:r>
    </w:p>
    <w:p>
      <w:pPr>
        <w:pStyle w:val="ListParagraph"/>
        <w:numPr>
          <w:ilvl w:val="0"/>
          <w:numId w:val="2"/>
        </w:numPr>
        <w:spacing w:after="40" w:before="40"/>
      </w:pPr>
      <w:r>
        <w:rPr>
          <w:rFonts w:ascii="Inter" w:cs="Inter" w:eastAsia="Inter" w:hAnsi="Inter"/>
          <w:color w:val="3D5566"/>
          <w:sz w:val="20"/>
          <w:szCs w:val="20"/>
        </w:rPr>
        <w:t xml:space="preserve">For Payers</w:t>
      </w:r>
    </w:p>
    <w:p>
      <w:pPr>
        <w:pStyle w:val="ListParagraph"/>
        <w:numPr>
          <w:ilvl w:val="0"/>
          <w:numId w:val="2"/>
        </w:numPr>
        <w:spacing w:after="40" w:before="40"/>
      </w:pPr>
      <w:r>
        <w:rPr>
          <w:rFonts w:ascii="Inter" w:cs="Inter" w:eastAsia="Inter" w:hAnsi="Inter"/>
          <w:color w:val="3D5566"/>
          <w:sz w:val="20"/>
          <w:szCs w:val="20"/>
        </w:rPr>
        <w:t xml:space="preserve">For Risk-Bearing Groups</w:t>
      </w:r>
    </w:p>
    <w:p>
      <w:pPr>
        <w:spacing w:after="80" w:before="200"/>
      </w:pPr>
      <w:r>
        <w:rPr>
          <w:rFonts w:ascii="Inter" w:cs="Inter" w:eastAsia="Inter" w:hAnsi="Inter"/>
          <w:b/>
          <w:bCs/>
          <w:color w:val="134D67"/>
          <w:sz w:val="24"/>
          <w:szCs w:val="24"/>
        </w:rPr>
        <w:t xml:space="preserve">Link Column 3: Company</w:t>
      </w:r>
    </w:p>
    <w:p>
      <w:pPr>
        <w:pStyle w:val="ListParagraph"/>
        <w:numPr>
          <w:ilvl w:val="0"/>
          <w:numId w:val="2"/>
        </w:numPr>
        <w:spacing w:after="40" w:before="40"/>
      </w:pPr>
      <w:r>
        <w:rPr>
          <w:rFonts w:ascii="Inter" w:cs="Inter" w:eastAsia="Inter" w:hAnsi="Inter"/>
          <w:color w:val="3D5566"/>
          <w:sz w:val="20"/>
          <w:szCs w:val="20"/>
        </w:rPr>
        <w:t xml:space="preserve">About Persivia</w:t>
      </w:r>
    </w:p>
    <w:p>
      <w:pPr>
        <w:pStyle w:val="ListParagraph"/>
        <w:numPr>
          <w:ilvl w:val="0"/>
          <w:numId w:val="2"/>
        </w:numPr>
        <w:spacing w:after="40" w:before="40"/>
      </w:pPr>
      <w:r>
        <w:rPr>
          <w:rFonts w:ascii="Inter" w:cs="Inter" w:eastAsia="Inter" w:hAnsi="Inter"/>
          <w:color w:val="3D5566"/>
          <w:sz w:val="20"/>
          <w:szCs w:val="20"/>
        </w:rPr>
        <w:t xml:space="preserve">Leadership</w:t>
      </w:r>
    </w:p>
    <w:p>
      <w:pPr>
        <w:pStyle w:val="ListParagraph"/>
        <w:numPr>
          <w:ilvl w:val="0"/>
          <w:numId w:val="2"/>
        </w:numPr>
        <w:spacing w:after="40" w:before="40"/>
      </w:pPr>
      <w:r>
        <w:rPr>
          <w:rFonts w:ascii="Inter" w:cs="Inter" w:eastAsia="Inter" w:hAnsi="Inter"/>
          <w:color w:val="3D5566"/>
          <w:sz w:val="20"/>
          <w:szCs w:val="20"/>
        </w:rPr>
        <w:t xml:space="preserve">Newsroom</w:t>
      </w:r>
    </w:p>
    <w:p>
      <w:pPr>
        <w:pStyle w:val="ListParagraph"/>
        <w:numPr>
          <w:ilvl w:val="0"/>
          <w:numId w:val="2"/>
        </w:numPr>
        <w:spacing w:after="40" w:before="40"/>
      </w:pPr>
      <w:r>
        <w:rPr>
          <w:rFonts w:ascii="Inter" w:cs="Inter" w:eastAsia="Inter" w:hAnsi="Inter"/>
          <w:color w:val="3D5566"/>
          <w:sz w:val="20"/>
          <w:szCs w:val="20"/>
        </w:rPr>
        <w:t xml:space="preserve">Careers</w:t>
      </w:r>
    </w:p>
    <w:p>
      <w:pPr>
        <w:pStyle w:val="ListParagraph"/>
        <w:numPr>
          <w:ilvl w:val="0"/>
          <w:numId w:val="2"/>
        </w:numPr>
        <w:spacing w:after="40" w:before="40"/>
      </w:pPr>
      <w:r>
        <w:rPr>
          <w:rFonts w:ascii="Inter" w:cs="Inter" w:eastAsia="Inter" w:hAnsi="Inter"/>
          <w:color w:val="3D5566"/>
          <w:sz w:val="20"/>
          <w:szCs w:val="20"/>
        </w:rPr>
        <w:t xml:space="preserve">Contact Us</w:t>
      </w:r>
    </w:p>
    <w:p>
      <w:pPr>
        <w:spacing w:after="80" w:before="200"/>
      </w:pPr>
      <w:r>
        <w:rPr>
          <w:rFonts w:ascii="Inter" w:cs="Inter" w:eastAsia="Inter" w:hAnsi="Inter"/>
          <w:b/>
          <w:bCs/>
          <w:color w:val="134D67"/>
          <w:sz w:val="24"/>
          <w:szCs w:val="24"/>
        </w:rPr>
        <w:t xml:space="preserve">Footer Bottom Bar</w:t>
      </w:r>
    </w:p>
    <w:p>
      <w:pPr>
        <w:spacing w:after="80" w:before="40"/>
      </w:pPr>
      <w:r>
        <w:rPr>
          <w:rFonts w:ascii="Inter" w:cs="Inter" w:eastAsia="Inter" w:hAnsi="Inter"/>
          <w:b w:val="false"/>
          <w:bCs w:val="false"/>
          <w:color w:val="3D5566"/>
          <w:sz w:val="20"/>
          <w:szCs w:val="20"/>
        </w:rPr>
        <w:t xml:space="preserve">Left: © 2026 Persivia, Inc. All rights reserved.</w:t>
      </w:r>
    </w:p>
    <w:p>
      <w:pPr>
        <w:spacing w:after="80" w:before="40"/>
      </w:pPr>
      <w:r>
        <w:rPr>
          <w:rFonts w:ascii="Inter" w:cs="Inter" w:eastAsia="Inter" w:hAnsi="Inter"/>
          <w:b w:val="false"/>
          <w:bCs w:val="false"/>
          <w:color w:val="3D5566"/>
          <w:sz w:val="20"/>
          <w:szCs w:val="20"/>
        </w:rPr>
        <w:t xml:space="preserve">Right: Privacy Policy  ·  Terms of Use  ·  HIPAA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CC93" w:sz="18"/>
              <w:bottom w:val="none" w:color="FFFFFF" w:sz="0"/>
              <w:right w:val="none" w:color="FFFFFF" w:sz="0"/>
            </w:tcBorders>
            <w:shd w:fill="F0FBF7" w:val="clear"/>
            <w:tcMar>
              <w:top w:type="dxa" w:w="80"/>
              <w:left w:type="dxa" w:w="160"/>
              <w:bottom w:type="dxa" w:w="80"/>
              <w:right w:type="dxa" w:w="160"/>
            </w:tcMar>
          </w:tcPr>
          <w:p>
            <w:r>
              <w:rPr>
                <w:rFonts w:ascii="Inter" w:cs="Inter" w:eastAsia="Inter" w:hAnsi="Inter"/>
                <w:i/>
                <w:iCs/>
                <w:color w:val="1A6B4A"/>
                <w:sz w:val="18"/>
                <w:szCs w:val="18"/>
              </w:rPr>
              <w:t xml:space="preserve">Update footer links as pages are built in HubSpot. Mark broken links as #anchor placeholders until live pages exist.</w:t>
            </w:r>
          </w:p>
        </w:tc>
      </w:tr>
    </w:tbl>
    <w:p>
      <w:r>
        <w:br w:type="page"/>
      </w:r>
    </w:p>
    <w:p>
      <w:pPr>
        <w:pStyle w:val="Heading1"/>
        <w:spacing w:after="120" w:before="360"/>
      </w:pPr>
      <w:r>
        <w:rPr>
          <w:rFonts w:ascii="Inter" w:cs="Inter" w:eastAsia="Inter" w:hAnsi="Inter"/>
          <w:b/>
          <w:bCs/>
          <w:color w:val="0D1F2D"/>
          <w:sz w:val="36"/>
          <w:szCs w:val="36"/>
        </w:rPr>
        <w:t xml:space="preserve">Pre-Launch Checklist</w:t>
      </w:r>
    </w:p>
    <w:p>
      <w:pPr>
        <w:spacing w:after="80" w:before="40"/>
      </w:pPr>
      <w:r>
        <w:rPr>
          <w:rFonts w:ascii="Inter" w:cs="Inter" w:eastAsia="Inter" w:hAnsi="Inter"/>
          <w:b/>
          <w:bCs/>
          <w:color w:val="134D67"/>
          <w:sz w:val="20"/>
          <w:szCs w:val="20"/>
        </w:rPr>
        <w:t xml:space="preserve">Complete these items before the interim HubSpot page goes live:</w:t>
      </w:r>
    </w:p>
    <w:p>
      <w:pPr>
        <w:pStyle w:val="ListParagraph"/>
        <w:numPr>
          <w:ilvl w:val="0"/>
          <w:numId w:val="2"/>
        </w:numPr>
        <w:spacing w:after="40" w:before="40"/>
      </w:pPr>
      <w:r>
        <w:rPr>
          <w:rFonts w:ascii="Inter" w:cs="Inter" w:eastAsia="Inter" w:hAnsi="Inter"/>
          <w:color w:val="3D5566"/>
          <w:sz w:val="20"/>
          <w:szCs w:val="20"/>
        </w:rPr>
        <w:t xml:space="preserve">Replace all logo bar placeholders with approved client logos</w:t>
      </w:r>
    </w:p>
    <w:p>
      <w:pPr>
        <w:pStyle w:val="ListParagraph"/>
        <w:numPr>
          <w:ilvl w:val="0"/>
          <w:numId w:val="2"/>
        </w:numPr>
        <w:spacing w:after="40" w:before="40"/>
      </w:pPr>
      <w:r>
        <w:rPr>
          <w:rFonts w:ascii="Inter" w:cs="Inter" w:eastAsia="Inter" w:hAnsi="Inter"/>
          <w:color w:val="3D5566"/>
          <w:sz w:val="20"/>
          <w:szCs w:val="20"/>
        </w:rPr>
        <w:t xml:space="preserve">Insert attributed testimonial with full name, title, and organization</w:t>
      </w:r>
    </w:p>
    <w:p>
      <w:pPr>
        <w:pStyle w:val="ListParagraph"/>
        <w:numPr>
          <w:ilvl w:val="0"/>
          <w:numId w:val="2"/>
        </w:numPr>
        <w:spacing w:after="40" w:before="40"/>
      </w:pPr>
      <w:r>
        <w:rPr>
          <w:rFonts w:ascii="Inter" w:cs="Inter" w:eastAsia="Inter" w:hAnsi="Inter"/>
          <w:color w:val="3D5566"/>
          <w:sz w:val="20"/>
          <w:szCs w:val="20"/>
        </w:rPr>
        <w:t xml:space="preserve">Confirm and insert real proof points / stats (validate against approved sources)</w:t>
      </w:r>
    </w:p>
    <w:p>
      <w:pPr>
        <w:pStyle w:val="ListParagraph"/>
        <w:numPr>
          <w:ilvl w:val="0"/>
          <w:numId w:val="2"/>
        </w:numPr>
        <w:spacing w:after="40" w:before="40"/>
      </w:pPr>
      <w:r>
        <w:rPr>
          <w:rFonts w:ascii="Inter" w:cs="Inter" w:eastAsia="Inter" w:hAnsi="Inter"/>
          <w:color w:val="3D5566"/>
          <w:sz w:val="20"/>
          <w:szCs w:val="20"/>
        </w:rPr>
        <w:t xml:space="preserve">Update all CTA links (HubSpot form URL, demo request URL)</w:t>
      </w:r>
    </w:p>
    <w:p>
      <w:pPr>
        <w:pStyle w:val="ListParagraph"/>
        <w:numPr>
          <w:ilvl w:val="0"/>
          <w:numId w:val="2"/>
        </w:numPr>
        <w:spacing w:after="40" w:before="40"/>
      </w:pPr>
      <w:r>
        <w:rPr>
          <w:rFonts w:ascii="Inter" w:cs="Inter" w:eastAsia="Inter" w:hAnsi="Inter"/>
          <w:color w:val="3D5566"/>
          <w:sz w:val="20"/>
          <w:szCs w:val="20"/>
        </w:rPr>
        <w:t xml:space="preserve">Set up HubSpot contact form or embed Calendly / demo scheduler</w:t>
      </w:r>
    </w:p>
    <w:p>
      <w:pPr>
        <w:pStyle w:val="ListParagraph"/>
        <w:numPr>
          <w:ilvl w:val="0"/>
          <w:numId w:val="2"/>
        </w:numPr>
        <w:spacing w:after="40" w:before="40"/>
      </w:pPr>
      <w:r>
        <w:rPr>
          <w:rFonts w:ascii="Inter" w:cs="Inter" w:eastAsia="Inter" w:hAnsi="Inter"/>
          <w:color w:val="3D5566"/>
          <w:sz w:val="20"/>
          <w:szCs w:val="20"/>
        </w:rPr>
        <w:t xml:space="preserve">Verify Inter font loads correctly via Google Fonts CDN</w:t>
      </w:r>
    </w:p>
    <w:p>
      <w:pPr>
        <w:pStyle w:val="ListParagraph"/>
        <w:numPr>
          <w:ilvl w:val="0"/>
          <w:numId w:val="2"/>
        </w:numPr>
        <w:spacing w:after="40" w:before="40"/>
      </w:pPr>
      <w:r>
        <w:rPr>
          <w:rFonts w:ascii="Inter" w:cs="Inter" w:eastAsia="Inter" w:hAnsi="Inter"/>
          <w:color w:val="3D5566"/>
          <w:sz w:val="20"/>
          <w:szCs w:val="20"/>
        </w:rPr>
        <w:t xml:space="preserve">Test page on mobile (320px) and tablet (768px) breakpoints</w:t>
      </w:r>
    </w:p>
    <w:p>
      <w:pPr>
        <w:pStyle w:val="ListParagraph"/>
        <w:numPr>
          <w:ilvl w:val="0"/>
          <w:numId w:val="2"/>
        </w:numPr>
        <w:spacing w:after="40" w:before="40"/>
      </w:pPr>
      <w:r>
        <w:rPr>
          <w:rFonts w:ascii="Inter" w:cs="Inter" w:eastAsia="Inter" w:hAnsi="Inter"/>
          <w:color w:val="3D5566"/>
          <w:sz w:val="20"/>
          <w:szCs w:val="20"/>
        </w:rPr>
        <w:t xml:space="preserve">Confirm all nav anchor links (#platform, #solutions, #outcomes, #contact) resolve correctly</w:t>
      </w:r>
    </w:p>
    <w:p>
      <w:pPr>
        <w:pStyle w:val="ListParagraph"/>
        <w:numPr>
          <w:ilvl w:val="0"/>
          <w:numId w:val="2"/>
        </w:numPr>
        <w:spacing w:after="40" w:before="40"/>
      </w:pPr>
      <w:r>
        <w:rPr>
          <w:rFonts w:ascii="Inter" w:cs="Inter" w:eastAsia="Inter" w:hAnsi="Inter"/>
          <w:color w:val="3D5566"/>
          <w:sz w:val="20"/>
          <w:szCs w:val="20"/>
        </w:rPr>
        <w:t xml:space="preserve">Add Persivia logo SVG to nav and footer (replace placeholder icon)</w:t>
      </w:r>
    </w:p>
    <w:p>
      <w:pPr>
        <w:pStyle w:val="ListParagraph"/>
        <w:numPr>
          <w:ilvl w:val="0"/>
          <w:numId w:val="2"/>
        </w:numPr>
        <w:spacing w:after="40" w:before="40"/>
      </w:pPr>
      <w:r>
        <w:rPr>
          <w:rFonts w:ascii="Inter" w:cs="Inter" w:eastAsia="Inter" w:hAnsi="Inter"/>
          <w:color w:val="3D5566"/>
          <w:sz w:val="20"/>
          <w:szCs w:val="20"/>
        </w:rPr>
        <w:t xml:space="preserve">Add legal review of any metric claims before publishing</w:t>
      </w:r>
    </w:p>
    <w:p>
      <w:pPr>
        <w:pStyle w:val="ListParagraph"/>
        <w:numPr>
          <w:ilvl w:val="0"/>
          <w:numId w:val="2"/>
        </w:numPr>
        <w:spacing w:after="40" w:before="40"/>
      </w:pPr>
      <w:r>
        <w:rPr>
          <w:rFonts w:ascii="Inter" w:cs="Inter" w:eastAsia="Inter" w:hAnsi="Inter"/>
          <w:color w:val="3D5566"/>
          <w:sz w:val="20"/>
          <w:szCs w:val="20"/>
        </w:rPr>
        <w:t xml:space="preserve">QA all text for typos, brand voice consistency, and accuracy</w:t>
      </w:r>
    </w:p>
    <w:p>
      <w:pPr>
        <w:pStyle w:val="ListParagraph"/>
        <w:numPr>
          <w:ilvl w:val="0"/>
          <w:numId w:val="2"/>
        </w:numPr>
        <w:spacing w:after="40" w:before="40"/>
      </w:pPr>
      <w:r>
        <w:rPr>
          <w:rFonts w:ascii="Inter" w:cs="Inter" w:eastAsia="Inter" w:hAnsi="Inter"/>
          <w:color w:val="3D5566"/>
          <w:sz w:val="20"/>
          <w:szCs w:val="20"/>
        </w:rPr>
        <w:t xml:space="preserve">Add Google Analytics or HubSpot tracking before launch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E4" w:sz="4" w:space="1"/>
      </w:pBdr>
      <w:tabs>
        <w:tab w:val="right" w:pos="9360"/>
      </w:tabs>
      <w:spacing w:after="0" w:before="120"/>
      <w:jc w:val="left"/>
    </w:pPr>
    <w:r>
      <w:rPr>
        <w:rFonts w:ascii="Inter" w:cs="Inter" w:eastAsia="Inter" w:hAnsi="Inter"/>
        <w:color w:val="6B8599"/>
        <w:sz w:val="16"/>
        <w:szCs w:val="16"/>
      </w:rPr>
      <w:t xml:space="preserve">Confidential — For Internal Use Only</w:t>
    </w:r>
    <w:r>
      <w:rPr>
        <w:rFonts w:ascii="Inter" w:cs="Inter" w:eastAsia="Inter" w:hAnsi="Inter"/>
        <w:color w:val="6B8599"/>
        <w:sz w:val="16"/>
        <w:szCs w:val="16"/>
      </w:rPr>
      <w:t xml:space="preserve">	Page </w:t>
    </w:r>
    <w:r>
      <w:rPr>
        <w:rFonts w:ascii="Inter" w:cs="Inter" w:eastAsia="Inter" w:hAnsi="Inter"/>
        <w:color w:val="6B8599"/>
        <w:sz w:val="16"/>
        <w:szCs w:val="16"/>
      </w:rPr>
      <w:fldChar w:fldCharType="begin"/>
      <w:instrText xml:space="preserve">PAGE</w:instrText>
      <w:fldChar w:fldCharType="separate"/>
      <w:fldChar w:fldCharType="end"/>
    </w:r>
    <w:r>
      <w:rPr>
        <w:rFonts w:ascii="Inter" w:cs="Inter" w:eastAsia="Inter" w:hAnsi="Inter"/>
        <w:color w:val="6B8599"/>
        <w:sz w:val="16"/>
        <w:szCs w:val="16"/>
      </w:rPr>
      <w:t xml:space="preserve"> of </w:t>
    </w:r>
    <w:r>
      <w:rPr>
        <w:rFonts w:ascii="Inter" w:cs="Inter" w:eastAsia="Inter" w:hAnsi="Inter"/>
        <w:color w:val="6B85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CE4" w:sz="4" w:space="1"/>
      </w:pBdr>
      <w:tabs>
        <w:tab w:val="right" w:pos="9360"/>
      </w:tabs>
      <w:spacing w:after="120" w:before="0"/>
    </w:pPr>
    <w:r>
      <w:rPr>
        <w:rFonts w:ascii="Inter" w:cs="Inter" w:eastAsia="Inter" w:hAnsi="Inter"/>
        <w:b/>
        <w:bCs/>
        <w:color w:val="134D67"/>
        <w:sz w:val="18"/>
        <w:szCs w:val="18"/>
      </w:rPr>
      <w:t xml:space="preserve">Persivia  |  Website Copy &amp; Content Reference</w:t>
    </w:r>
    <w:r>
      <w:rPr>
        <w:rFonts w:ascii="Inter" w:cs="Inter" w:eastAsia="Inter" w:hAnsi="Inter"/>
        <w:color w:val="6B8599"/>
        <w:sz w:val="16"/>
        <w:szCs w:val="16"/>
      </w:rPr>
      <w:t xml:space="preserve">	INTERIM HUBSPOT 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D556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Inter" w:cs="Inter" w:eastAsia="Inter" w:hAnsi="Inter"/>
      <w:b/>
      <w:bCs/>
      <w:color w:val="0D1F2D"/>
      <w:sz w:val="36"/>
      <w:szCs w:val="36"/>
    </w:rPr>
  </w:style>
  <w:style w:type="paragraph" w:styleId="Heading2">
    <w:name w:val="Heading 2"/>
    <w:basedOn w:val="Normal"/>
    <w:next w:val="Normal"/>
    <w:qFormat/>
    <w:pPr>
      <w:spacing w:after="100" w:before="280"/>
      <w:outlineLvl w:val="1"/>
    </w:pPr>
    <w:rPr>
      <w:rFonts w:ascii="Inter" w:cs="Inter" w:eastAsia="Inter" w:hAnsi="Inter"/>
      <w:b/>
      <w:bCs/>
      <w:color w:val="0D1F2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2026-04-08T02:43:09.189Z</dcterms:created>
  <dcterms:modified xsi:type="dcterms:W3CDTF">2026-04-08T02:43:09.189Z</dcterms:modified>
</cp:coreProperties>
</file>

<file path=docProps/custom.xml><?xml version="1.0" encoding="utf-8"?>
<Properties xmlns="http://schemas.openxmlformats.org/officeDocument/2006/custom-properties" xmlns:vt="http://schemas.openxmlformats.org/officeDocument/2006/docPropsVTypes"/>
</file>