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b/>
          <w:b/>
          <w:bCs/>
          <w:lang w:val="en-US"/>
        </w:rPr>
      </w:pPr>
      <w:r>
        <w:rPr>
          <w:b/>
          <w:bCs/>
          <w:lang w:val="en-US"/>
        </w:rPr>
        <w:t>GEODETIC DATA</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 xml:space="preserve">We consider all GPS stations between </w:t>
      </w:r>
      <w:r>
        <w:rPr>
          <w:rFonts w:ascii="Times New Roman" w:hAnsi="Times New Roman"/>
          <w:lang w:val="en-US"/>
        </w:rPr>
        <w:t>28</w:t>
      </w:r>
      <w:r>
        <w:rPr>
          <w:rFonts w:ascii="Times New Roman" w:hAnsi="Times New Roman"/>
          <w:lang w:val="en-US"/>
        </w:rPr>
        <w:t>°N</w:t>
      </w:r>
      <w:r>
        <w:rPr>
          <w:rFonts w:ascii="Times New Roman" w:hAnsi="Times New Roman"/>
          <w:lang w:val="en-US"/>
        </w:rPr>
        <w:t>-50.2</w:t>
      </w:r>
      <w:r>
        <w:rPr>
          <w:rFonts w:ascii="Times New Roman" w:hAnsi="Times New Roman"/>
          <w:lang w:val="en-US"/>
        </w:rPr>
        <w:t>°</w:t>
      </w:r>
      <w:r>
        <w:rPr>
          <w:rFonts w:ascii="Times New Roman" w:hAnsi="Times New Roman"/>
          <w:lang w:val="en-US"/>
        </w:rPr>
        <w:t>N and 12</w:t>
      </w:r>
      <w:r>
        <w:rPr>
          <w:rFonts w:ascii="Times New Roman" w:hAnsi="Times New Roman"/>
          <w:lang w:val="en-US"/>
        </w:rPr>
        <w:t>5</w:t>
      </w:r>
      <w:r>
        <w:rPr>
          <w:rFonts w:ascii="Times New Roman" w:hAnsi="Times New Roman"/>
          <w:lang w:val="en-US"/>
        </w:rPr>
        <w:t>°W</w:t>
      </w:r>
      <w:r>
        <w:rPr>
          <w:rFonts w:ascii="Times New Roman" w:hAnsi="Times New Roman"/>
          <w:lang w:val="en-US"/>
        </w:rPr>
        <w:t>-101</w:t>
      </w:r>
      <w:r>
        <w:rPr>
          <w:rFonts w:ascii="Times New Roman" w:hAnsi="Times New Roman"/>
          <w:lang w:val="en-US"/>
        </w:rPr>
        <w:t>°</w:t>
      </w:r>
      <w:r>
        <w:rPr>
          <w:rFonts w:ascii="Times New Roman" w:hAnsi="Times New Roman"/>
          <w:lang w:val="en-US"/>
        </w:rPr>
        <w:t>W</w:t>
      </w:r>
      <w:r>
        <w:rPr>
          <w:rFonts w:ascii="Times New Roman" w:hAnsi="Times New Roman"/>
          <w:lang w:val="en-US"/>
        </w:rPr>
        <w:t xml:space="preserve"> for which position time-series are available publicly </w:t>
      </w:r>
      <w:r>
        <w:rPr>
          <w:rFonts w:ascii="Times New Roman" w:hAnsi="Times New Roman"/>
          <w:lang w:val="en-US"/>
        </w:rPr>
        <w:t>from</w:t>
      </w:r>
      <w:r>
        <w:rPr>
          <w:rFonts w:ascii="Times New Roman" w:hAnsi="Times New Roman"/>
          <w:lang w:val="en-US"/>
        </w:rPr>
        <w:t xml:space="preserve"> the Nevada Geodetic Lab (NGL) </w:t>
      </w:r>
      <w:bookmarkStart w:id="0" w:name="__UnoMark__35059_4250909747"/>
      <w:bookmarkStart w:id="1" w:name="__UnoMark__34543_4250909747"/>
      <w:r>
        <w:rPr>
          <w:rFonts w:ascii="Times New Roman" w:hAnsi="Times New Roman"/>
          <w:b w:val="false"/>
          <w:caps w:val="false"/>
          <w:smallCaps w:val="false"/>
          <w:position w:val="0"/>
          <w:sz w:val="24"/>
          <w:u w:val="none"/>
          <w:vertAlign w:val="baseline"/>
          <w:lang w:val="en-US"/>
        </w:rPr>
        <w:t xml:space="preserve">(Blewitt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0"/>
      <w:bookmarkEnd w:id="1"/>
      <w:r>
        <w:rPr>
          <w:rFonts w:ascii="Times New Roman" w:hAnsi="Times New Roman"/>
          <w:lang w:val="en-US"/>
        </w:rPr>
        <w:t xml:space="preserve">, and we consider all data between </w:t>
      </w:r>
      <w:r>
        <w:rPr>
          <w:rFonts w:ascii="Times New Roman" w:hAnsi="Times New Roman"/>
          <w:lang w:val="en-US"/>
        </w:rPr>
        <w:t xml:space="preserve">January 1, </w:t>
      </w:r>
      <w:r>
        <w:rPr>
          <w:rFonts w:ascii="Times New Roman" w:hAnsi="Times New Roman"/>
          <w:lang w:val="en-US"/>
        </w:rPr>
        <w:t xml:space="preserve">1994 </w:t>
      </w:r>
      <w:r>
        <w:rPr>
          <w:rFonts w:ascii="Times New Roman" w:hAnsi="Times New Roman"/>
          <w:lang w:val="en-US"/>
        </w:rPr>
        <w:t xml:space="preserve">and December 31, </w:t>
      </w:r>
      <w:r>
        <w:rPr>
          <w:rFonts w:ascii="Times New Roman" w:hAnsi="Times New Roman"/>
          <w:lang w:val="en-US"/>
        </w:rPr>
        <w:t xml:space="preserve">2021. </w:t>
      </w:r>
      <w:r>
        <w:rPr>
          <w:rFonts w:ascii="Times New Roman" w:hAnsi="Times New Roman"/>
          <w:lang w:val="en-US"/>
        </w:rPr>
        <w:t xml:space="preserve">The majority of the stations are operating continuously, but we also include results from the semi-continuous stations operated by NGL </w:t>
      </w:r>
      <w:bookmarkStart w:id="2" w:name="__UnoMark__35060_4250909747"/>
      <w:bookmarkStart w:id="3" w:name="__UnoMark__34544_4250909747"/>
      <w:r>
        <w:rPr>
          <w:rFonts w:ascii="Times New Roman" w:hAnsi="Times New Roman"/>
          <w:b w:val="false"/>
          <w:caps w:val="false"/>
          <w:smallCaps w:val="false"/>
          <w:position w:val="0"/>
          <w:sz w:val="24"/>
          <w:u w:val="none"/>
          <w:vertAlign w:val="baseline"/>
          <w:lang w:val="en-US"/>
        </w:rPr>
        <w:t xml:space="preserve">(Blewitt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2009)</w:t>
      </w:r>
      <w:bookmarkEnd w:id="2"/>
      <w:bookmarkEnd w:id="3"/>
      <w:r>
        <w:rPr>
          <w:rFonts w:ascii="Times New Roman" w:hAnsi="Times New Roman"/>
          <w:lang w:val="en-US"/>
        </w:rPr>
        <w:t xml:space="preserve">. The continuous stations are part of a wide range of networks, </w:t>
      </w:r>
      <w:r>
        <w:rPr>
          <w:rFonts w:ascii="Times New Roman" w:hAnsi="Times New Roman"/>
          <w:lang w:val="en-US"/>
        </w:rPr>
        <w:t xml:space="preserve">with the majority coming from stations belonging to the Network of the </w:t>
      </w:r>
      <w:r>
        <w:rPr>
          <w:rFonts w:ascii="Times New Roman" w:hAnsi="Times New Roman"/>
          <w:sz w:val="24"/>
          <w:szCs w:val="24"/>
          <w:lang w:val="en-US"/>
        </w:rPr>
        <w:t>Americas</w:t>
      </w:r>
      <w:r>
        <w:rPr>
          <w:rFonts w:ascii="Times New Roman" w:hAnsi="Times New Roman"/>
          <w:sz w:val="24"/>
          <w:szCs w:val="24"/>
          <w:lang w:val="en-US"/>
        </w:rPr>
        <w:t xml:space="preserve">. </w:t>
      </w:r>
      <w:r>
        <w:rPr>
          <w:rFonts w:ascii="Times New Roman" w:hAnsi="Times New Roman"/>
          <w:sz w:val="24"/>
          <w:szCs w:val="24"/>
          <w:lang w:val="en-US"/>
        </w:rPr>
        <w:t xml:space="preserve">We use the time-series in the IGS14 reference frame and the processing details can be found in Kreemer </w:t>
      </w:r>
      <w:r>
        <w:rPr>
          <w:rFonts w:ascii="Times New Roman" w:hAnsi="Times New Roman"/>
          <w:i/>
          <w:iCs/>
          <w:sz w:val="24"/>
          <w:szCs w:val="24"/>
          <w:lang w:val="en-US"/>
        </w:rPr>
        <w:t>et al.</w:t>
      </w:r>
      <w:r>
        <w:rPr>
          <w:rFonts w:ascii="Times New Roman" w:hAnsi="Times New Roman"/>
          <w:sz w:val="24"/>
          <w:szCs w:val="24"/>
          <w:lang w:val="en-US"/>
        </w:rPr>
        <w:t xml:space="preserve"> </w:t>
      </w:r>
      <w:bookmarkStart w:id="4" w:name="__UnoMark__35061_4250909747"/>
      <w:bookmarkStart w:id="5" w:name="__UnoMark__34545_4250909747"/>
      <w:r>
        <w:rPr>
          <w:rFonts w:ascii="Times New Roman" w:hAnsi="Times New Roman"/>
          <w:sz w:val="24"/>
          <w:szCs w:val="24"/>
          <w:lang w:val="en-US"/>
        </w:rPr>
        <w:t>(2020)</w:t>
      </w:r>
      <w:bookmarkEnd w:id="4"/>
      <w:bookmarkEnd w:id="5"/>
      <w:r>
        <w:rPr>
          <w:rFonts w:ascii="Times New Roman" w:hAnsi="Times New Roman"/>
          <w:sz w:val="24"/>
          <w:szCs w:val="24"/>
          <w:lang w:val="en-US"/>
        </w:rPr>
        <w:t xml:space="preserve">. Prior to </w:t>
      </w:r>
      <w:r>
        <w:rPr>
          <w:rFonts w:ascii="Times New Roman" w:hAnsi="Times New Roman"/>
          <w:sz w:val="24"/>
          <w:szCs w:val="24"/>
          <w:lang w:val="en-US"/>
        </w:rPr>
        <w:t xml:space="preserve">our time-series </w:t>
      </w:r>
      <w:r>
        <w:rPr>
          <w:rFonts w:ascii="Times New Roman" w:hAnsi="Times New Roman"/>
          <w:sz w:val="24"/>
          <w:szCs w:val="24"/>
          <w:lang w:val="en-US"/>
        </w:rPr>
        <w:t xml:space="preserve">analysis, we exclude stations that are: 1) located near active volcanic areas, </w:t>
      </w:r>
      <w:r>
        <w:rPr>
          <w:rFonts w:cs="Arial" w:ascii="Times New Roman" w:hAnsi="Times New Roman"/>
          <w:sz w:val="24"/>
          <w:szCs w:val="24"/>
          <w:lang w:val="en-US"/>
        </w:rPr>
        <w:t>which typically exhibit significant transient motions</w:t>
      </w:r>
      <w:r>
        <w:rPr>
          <w:rFonts w:ascii="Times New Roman" w:hAnsi="Times New Roman"/>
          <w:sz w:val="24"/>
          <w:szCs w:val="24"/>
          <w:lang w:val="en-US"/>
        </w:rPr>
        <w:t>, 2)</w:t>
      </w:r>
      <w:r>
        <w:rPr>
          <w:rFonts w:ascii="Times New Roman" w:hAnsi="Times New Roman"/>
          <w:lang w:val="en-US"/>
        </w:rPr>
        <w:t xml:space="preserve"> located within most of the California Great Valley (due to surface deformation inflicted by water pumping out of the underlying reservoir), 3) located near active geothermal areas (e.g., Coso, Brady Hot Springs), 4) experiencing very non-linear time-series, and 5) having clear outlier velocities.</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 xml:space="preserve">We also consider time-series from campaign-type observations. </w:t>
      </w:r>
      <w:r>
        <w:rPr>
          <w:rFonts w:ascii="Times New Roman" w:hAnsi="Times New Roman"/>
          <w:lang w:val="en-US"/>
        </w:rPr>
        <w:t xml:space="preserve">While many campaign-style velocities have been published, we </w:t>
      </w:r>
      <w:r>
        <w:rPr>
          <w:rFonts w:ascii="Times New Roman" w:hAnsi="Times New Roman"/>
          <w:lang w:val="en-US"/>
        </w:rPr>
        <w:t xml:space="preserve">only considered those for which we have access to </w:t>
      </w:r>
      <w:r>
        <w:rPr>
          <w:rFonts w:ascii="Times New Roman" w:hAnsi="Times New Roman"/>
          <w:lang w:val="en-US"/>
        </w:rPr>
        <w:t xml:space="preserve">the actual time-series so that we can consistently apply the </w:t>
      </w:r>
      <w:r>
        <w:rPr>
          <w:rFonts w:ascii="Times New Roman" w:hAnsi="Times New Roman"/>
          <w:lang w:val="en-US"/>
        </w:rPr>
        <w:t xml:space="preserve">same </w:t>
      </w:r>
      <w:r>
        <w:rPr>
          <w:rFonts w:ascii="Times New Roman" w:hAnsi="Times New Roman"/>
          <w:lang w:val="en-US"/>
        </w:rPr>
        <w:t xml:space="preserve">postseismic correction that we apply to the continuous stations (see below). </w:t>
      </w:r>
      <w:r>
        <w:rPr>
          <w:rFonts w:ascii="Times New Roman" w:hAnsi="Times New Roman"/>
          <w:lang w:val="en-US"/>
        </w:rPr>
        <w:t xml:space="preserve">The </w:t>
      </w:r>
      <w:r>
        <w:rPr>
          <w:rFonts w:ascii="Times New Roman" w:hAnsi="Times New Roman"/>
          <w:lang w:val="en-US"/>
        </w:rPr>
        <w:t>campaign-style time-series</w:t>
      </w:r>
      <w:r>
        <w:rPr>
          <w:rFonts w:ascii="Times New Roman" w:hAnsi="Times New Roman"/>
          <w:lang w:val="en-US"/>
        </w:rPr>
        <w:t xml:space="preserve"> come from two sources: the United States Geological Survey </w:t>
      </w:r>
      <w:r>
        <w:rPr>
          <w:rFonts w:ascii="Times New Roman" w:hAnsi="Times New Roman"/>
          <w:lang w:val="en-US"/>
        </w:rPr>
        <w:t xml:space="preserve">(USGS) </w:t>
      </w:r>
      <w:bookmarkStart w:id="6" w:name="__UnoMark__35062_4250909747"/>
      <w:bookmarkStart w:id="7" w:name="__UnoMark__34546_4250909747"/>
      <w:r>
        <w:rPr>
          <w:rFonts w:ascii="Times New Roman" w:hAnsi="Times New Roman"/>
          <w:lang w:val="en-US"/>
        </w:rPr>
        <w:t>(Murray and Svarc, 2017)</w:t>
      </w:r>
      <w:bookmarkEnd w:id="6"/>
      <w:bookmarkEnd w:id="7"/>
      <w:r>
        <w:rPr>
          <w:rFonts w:ascii="Times New Roman" w:hAnsi="Times New Roman"/>
          <w:lang w:val="en-US"/>
        </w:rPr>
        <w:t xml:space="preserve"> </w:t>
      </w:r>
      <w:r>
        <w:rPr>
          <w:rFonts w:ascii="Times New Roman" w:hAnsi="Times New Roman"/>
          <w:lang w:val="en-US"/>
        </w:rPr>
        <w:t>and the Southern California Earthquake Center’</w:t>
      </w:r>
      <w:r>
        <w:rPr>
          <w:rFonts w:ascii="Times New Roman" w:hAnsi="Times New Roman"/>
          <w:lang w:val="en-US"/>
        </w:rPr>
        <w:t>s</w:t>
      </w:r>
      <w:r>
        <w:rPr>
          <w:rFonts w:ascii="Times New Roman" w:hAnsi="Times New Roman"/>
          <w:lang w:val="en-US"/>
        </w:rPr>
        <w:t xml:space="preserve"> Community </w:t>
      </w:r>
      <w:r>
        <w:rPr>
          <w:rFonts w:ascii="Times New Roman" w:hAnsi="Times New Roman"/>
          <w:lang w:val="en-US"/>
        </w:rPr>
        <w:t xml:space="preserve">Geodetic </w:t>
      </w:r>
      <w:r>
        <w:rPr>
          <w:rFonts w:ascii="Times New Roman" w:hAnsi="Times New Roman"/>
          <w:lang w:val="en-US"/>
        </w:rPr>
        <w:t xml:space="preserve">Model </w:t>
      </w:r>
      <w:r>
        <w:rPr>
          <w:rFonts w:ascii="Times New Roman" w:hAnsi="Times New Roman"/>
          <w:lang w:val="en-US"/>
        </w:rPr>
        <w:t>(CGM)</w:t>
      </w:r>
      <w:r>
        <w:rPr>
          <w:rFonts w:ascii="Times New Roman" w:hAnsi="Times New Roman"/>
          <w:lang w:val="en-US"/>
        </w:rPr>
        <w:t xml:space="preserve">. </w:t>
      </w:r>
      <w:r>
        <w:rPr>
          <w:rFonts w:ascii="Times New Roman" w:hAnsi="Times New Roman"/>
          <w:lang w:val="en-US"/>
        </w:rPr>
        <w:t xml:space="preserve">Velocities for the USGS stations (not corrected for postseismic deformation) have been published in previous studies </w:t>
      </w:r>
      <w:bookmarkStart w:id="8" w:name="__UnoMark__35072_4250909747"/>
      <w:bookmarkStart w:id="9" w:name="__UnoMark__34554_4250909747"/>
      <w:r>
        <w:rPr>
          <w:rFonts w:ascii="Times New Roman" w:hAnsi="Times New Roman"/>
          <w:b w:val="false"/>
          <w:caps w:val="false"/>
          <w:smallCaps w:val="false"/>
          <w:position w:val="0"/>
          <w:sz w:val="24"/>
          <w:u w:val="none"/>
          <w:vertAlign w:val="baseline"/>
          <w:lang w:val="en-US"/>
        </w:rPr>
        <w:t>(Hammond and Thatcher, 2004; Hammond and Thatcher, 2007; Hammond and Thatcher, 2007; Murray et al., 2014)</w:t>
      </w:r>
      <w:bookmarkEnd w:id="8"/>
      <w:bookmarkEnd w:id="9"/>
      <w:r>
        <w:rPr>
          <w:rFonts w:ascii="Times New Roman" w:hAnsi="Times New Roman"/>
          <w:lang w:val="en-US"/>
        </w:rPr>
        <w:t xml:space="preserve">, and velocities for the CGM stations have been published by </w:t>
      </w:r>
      <w:r>
        <w:rPr>
          <w:rFonts w:ascii="Times New Roman" w:hAnsi="Times New Roman"/>
          <w:lang w:val="en-US"/>
        </w:rPr>
        <w:t xml:space="preserve">Shen </w:t>
      </w:r>
      <w:r>
        <w:rPr>
          <w:rFonts w:ascii="Times New Roman" w:hAnsi="Times New Roman"/>
          <w:i/>
          <w:iCs/>
          <w:lang w:val="en-US"/>
        </w:rPr>
        <w:t>et al.</w:t>
      </w:r>
      <w:r>
        <w:rPr>
          <w:rFonts w:ascii="Times New Roman" w:hAnsi="Times New Roman"/>
          <w:lang w:val="en-US"/>
        </w:rPr>
        <w:t xml:space="preserve"> </w:t>
      </w:r>
      <w:bookmarkStart w:id="10" w:name="__UnoMark__35063_4250909747"/>
      <w:bookmarkStart w:id="11" w:name="__UnoMark__34547_4250909747"/>
      <w:r>
        <w:rPr>
          <w:rFonts w:ascii="Times New Roman" w:hAnsi="Times New Roman"/>
          <w:lang w:val="en-US"/>
        </w:rPr>
        <w:t>(2011)</w:t>
      </w:r>
      <w:bookmarkEnd w:id="10"/>
      <w:bookmarkEnd w:id="11"/>
      <w:r>
        <w:rPr>
          <w:rFonts w:ascii="Times New Roman" w:hAnsi="Times New Roman"/>
          <w:lang w:val="en-US"/>
        </w:rPr>
        <w:t xml:space="preserve">. We consider the IGS14 time-series, and we only consider stations in areas where their velocities would make a clear complement to the NGL data set, and we exclude obvious outlier velocities. </w:t>
      </w:r>
      <w:r>
        <w:rPr>
          <w:rFonts w:ascii="Times New Roman" w:hAnsi="Times New Roman"/>
          <w:lang w:val="en-US"/>
        </w:rPr>
        <w:t xml:space="preserve">The majority of the added stations are in areas where otherwise the station density is low or across the expected shear zones. The latter is in an attempt minimizing the type of artifacts found by others to be due to station distribution </w:t>
      </w:r>
      <w:r>
        <w:rPr>
          <w:rFonts w:cs="Arial" w:ascii="Times New Roman" w:hAnsi="Times New Roman"/>
          <w:b w:val="false"/>
          <w:caps w:val="false"/>
          <w:smallCaps w:val="false"/>
          <w:position w:val="0"/>
          <w:sz w:val="24"/>
          <w:sz w:val="24"/>
          <w:szCs w:val="24"/>
          <w:u w:val="none"/>
          <w:vertAlign w:val="baseline"/>
          <w:lang w:val="en-US"/>
        </w:rPr>
        <w:t xml:space="preserve">(Hackl </w:t>
      </w:r>
      <w:r>
        <w:rPr>
          <w:rFonts w:ascii="Times New Roman" w:hAnsi="Times New Roman"/>
          <w:b w:val="false"/>
          <w:i/>
          <w:caps w:val="false"/>
          <w:smallCaps w:val="false"/>
          <w:position w:val="0"/>
          <w:sz w:val="24"/>
          <w:u w:val="none"/>
          <w:vertAlign w:val="baseline"/>
          <w:lang w:val="en-US"/>
        </w:rPr>
        <w:t>et al.</w:t>
      </w:r>
      <w:r>
        <w:rPr>
          <w:rFonts w:ascii="Times New Roman" w:hAnsi="Times New Roman"/>
          <w:b w:val="false"/>
          <w:caps w:val="false"/>
          <w:smallCaps w:val="false"/>
          <w:position w:val="0"/>
          <w:sz w:val="24"/>
          <w:u w:val="none"/>
          <w:vertAlign w:val="baseline"/>
          <w:lang w:val="en-US"/>
        </w:rPr>
        <w:t xml:space="preserve">, 2009; Baxter </w:t>
      </w:r>
      <w:r>
        <w:rPr>
          <w:rFonts w:ascii="Times New Roman" w:hAnsi="Times New Roman"/>
          <w:b w:val="false"/>
          <w:i/>
          <w:caps w:val="false"/>
          <w:smallCaps w:val="false"/>
          <w:position w:val="0"/>
          <w:sz w:val="24"/>
          <w:u w:val="none"/>
          <w:vertAlign w:val="baseline"/>
          <w:lang w:val="en-US"/>
        </w:rPr>
        <w:t>et al.</w:t>
      </w:r>
      <w:r>
        <w:rPr>
          <w:rFonts w:ascii="Times New Roman" w:hAnsi="Times New Roman"/>
          <w:b w:val="false"/>
          <w:caps w:val="false"/>
          <w:smallCaps w:val="false"/>
          <w:position w:val="0"/>
          <w:sz w:val="24"/>
          <w:u w:val="none"/>
          <w:vertAlign w:val="baseline"/>
          <w:lang w:val="en-US"/>
        </w:rPr>
        <w:t xml:space="preserve">, 2011; Titus </w:t>
      </w:r>
      <w:r>
        <w:rPr>
          <w:rFonts w:ascii="Times New Roman" w:hAnsi="Times New Roman"/>
          <w:b w:val="false"/>
          <w:i/>
          <w:caps w:val="false"/>
          <w:smallCaps w:val="false"/>
          <w:position w:val="0"/>
          <w:sz w:val="24"/>
          <w:u w:val="none"/>
          <w:vertAlign w:val="baseline"/>
          <w:lang w:val="en-US"/>
        </w:rPr>
        <w:t>et al.</w:t>
      </w:r>
      <w:r>
        <w:rPr>
          <w:rFonts w:ascii="Times New Roman" w:hAnsi="Times New Roman"/>
          <w:b w:val="false"/>
          <w:caps w:val="false"/>
          <w:smallCaps w:val="false"/>
          <w:position w:val="0"/>
          <w:sz w:val="24"/>
          <w:u w:val="none"/>
          <w:vertAlign w:val="baseline"/>
          <w:lang w:val="en-US"/>
        </w:rPr>
        <w:t xml:space="preserve">, 2011; Pagani </w:t>
      </w:r>
      <w:r>
        <w:rPr>
          <w:rFonts w:ascii="Times New Roman" w:hAnsi="Times New Roman"/>
          <w:b w:val="false"/>
          <w:i/>
          <w:caps w:val="false"/>
          <w:smallCaps w:val="false"/>
          <w:position w:val="0"/>
          <w:sz w:val="24"/>
          <w:u w:val="none"/>
          <w:vertAlign w:val="baseline"/>
          <w:lang w:val="en-US"/>
        </w:rPr>
        <w:t>et al.</w:t>
      </w:r>
      <w:r>
        <w:rPr>
          <w:rFonts w:ascii="Times New Roman" w:hAnsi="Times New Roman"/>
          <w:b w:val="false"/>
          <w:caps w:val="false"/>
          <w:smallCaps w:val="false"/>
          <w:position w:val="0"/>
          <w:sz w:val="24"/>
          <w:u w:val="none"/>
          <w:vertAlign w:val="baseline"/>
          <w:lang w:val="en-US"/>
        </w:rPr>
        <w:t>, 2021)</w:t>
      </w:r>
      <w:r>
        <w:rPr>
          <w:rFonts w:ascii="Times New Roman" w:hAnsi="Times New Roman"/>
          <w:lang w:val="en-US"/>
        </w:rPr>
        <w:t xml:space="preserve">. </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W</w:t>
      </w:r>
      <w:r>
        <w:rPr>
          <w:rFonts w:ascii="Times New Roman" w:hAnsi="Times New Roman"/>
          <w:lang w:val="en-US"/>
        </w:rPr>
        <w:t>e ma</w:t>
      </w:r>
      <w:r>
        <w:rPr>
          <w:rFonts w:ascii="Times New Roman" w:hAnsi="Times New Roman"/>
          <w:lang w:val="en-US"/>
        </w:rPr>
        <w:t>k</w:t>
      </w:r>
      <w:r>
        <w:rPr>
          <w:rFonts w:ascii="Times New Roman" w:hAnsi="Times New Roman"/>
          <w:lang w:val="en-US"/>
        </w:rPr>
        <w:t xml:space="preserve">e sure to have identified offset epochs in </w:t>
      </w:r>
      <w:r>
        <w:rPr>
          <w:rFonts w:ascii="Times New Roman" w:hAnsi="Times New Roman"/>
          <w:lang w:val="en-US"/>
        </w:rPr>
        <w:t>all</w:t>
      </w:r>
      <w:r>
        <w:rPr>
          <w:rFonts w:ascii="Times New Roman" w:hAnsi="Times New Roman"/>
          <w:lang w:val="en-US"/>
        </w:rPr>
        <w:t xml:space="preserve"> the time-series. For the NGL data set this task is facilitated by </w:t>
      </w:r>
      <w:r>
        <w:rPr>
          <w:rFonts w:ascii="Times New Roman" w:hAnsi="Times New Roman"/>
          <w:lang w:val="en-US"/>
        </w:rPr>
        <w:t>the availability of</w:t>
      </w:r>
      <w:r>
        <w:rPr>
          <w:rFonts w:ascii="Times New Roman" w:hAnsi="Times New Roman"/>
          <w:lang w:val="en-US"/>
        </w:rPr>
        <w:t xml:space="preserve"> a data base of when equipment was changed and when earthquakes of a certain size happened within a certain distance to </w:t>
      </w:r>
      <w:r>
        <w:rPr>
          <w:rFonts w:ascii="Times New Roman" w:hAnsi="Times New Roman"/>
          <w:lang w:val="en-US"/>
        </w:rPr>
        <w:t>a</w:t>
      </w:r>
      <w:r>
        <w:rPr>
          <w:rFonts w:ascii="Times New Roman" w:hAnsi="Times New Roman"/>
          <w:lang w:val="en-US"/>
        </w:rPr>
        <w:t xml:space="preserve"> station. </w:t>
      </w:r>
      <w:r>
        <w:rPr>
          <w:rFonts w:ascii="Times New Roman" w:hAnsi="Times New Roman"/>
          <w:lang w:val="en-US"/>
        </w:rPr>
        <w:t>We supplement th</w:t>
      </w:r>
      <w:r>
        <w:rPr>
          <w:rFonts w:ascii="Times New Roman" w:hAnsi="Times New Roman"/>
          <w:lang w:val="en-US"/>
        </w:rPr>
        <w:t>is</w:t>
      </w:r>
      <w:r>
        <w:rPr>
          <w:rFonts w:ascii="Times New Roman" w:hAnsi="Times New Roman"/>
          <w:lang w:val="en-US"/>
        </w:rPr>
        <w:t xml:space="preserve"> data base with any undocumented offsets that we found through visual inspection, </w:t>
      </w:r>
      <w:r>
        <w:rPr>
          <w:rFonts w:ascii="Times New Roman" w:hAnsi="Times New Roman"/>
          <w:lang w:val="en-US"/>
        </w:rPr>
        <w:t>particularly for those stations that appeared to have anomalous velocities</w:t>
      </w:r>
      <w:r>
        <w:rPr>
          <w:rFonts w:ascii="Times New Roman" w:hAnsi="Times New Roman"/>
          <w:lang w:val="en-US"/>
        </w:rPr>
        <w:t xml:space="preserve">. </w:t>
      </w:r>
      <w:r>
        <w:rPr>
          <w:rFonts w:ascii="Times New Roman" w:hAnsi="Times New Roman"/>
          <w:lang w:val="en-US"/>
        </w:rPr>
        <w:t>For the campaign time-series we manually identified offsets related to large regional earthquakes.</w:t>
      </w:r>
    </w:p>
    <w:p>
      <w:pPr>
        <w:pStyle w:val="Normal"/>
        <w:spacing w:lineRule="auto" w:line="240"/>
        <w:rPr>
          <w:lang w:val="en-US"/>
        </w:rPr>
      </w:pPr>
      <w:r>
        <w:rPr>
          <w:lang w:val="en-US"/>
        </w:rPr>
      </w:r>
    </w:p>
    <w:p>
      <w:pPr>
        <w:pStyle w:val="Normal"/>
        <w:spacing w:lineRule="auto" w:line="240"/>
        <w:rPr>
          <w:lang w:val="en-US"/>
        </w:rPr>
      </w:pPr>
      <w:r>
        <w:rPr>
          <w:lang w:val="en-US"/>
        </w:rPr>
        <w:tab/>
      </w:r>
      <w:r>
        <w:rPr>
          <w:b/>
          <w:bCs/>
          <w:lang w:val="en-US"/>
        </w:rPr>
        <w:t>Postseismic Correction</w:t>
      </w:r>
    </w:p>
    <w:p>
      <w:pPr>
        <w:pStyle w:val="Normal"/>
        <w:spacing w:lineRule="auto" w:line="240"/>
        <w:rPr>
          <w:lang w:val="en-US"/>
        </w:rPr>
      </w:pPr>
      <w:r>
        <w:rPr>
          <w:lang w:val="en-US"/>
        </w:rPr>
      </w:r>
    </w:p>
    <w:p>
      <w:pPr>
        <w:pStyle w:val="Normal"/>
        <w:rPr/>
      </w:pPr>
      <w:r>
        <w:rPr>
          <w:rFonts w:ascii="Times New Roman" w:hAnsi="Times New Roman"/>
          <w:lang w:val="en-US"/>
        </w:rPr>
        <w:t xml:space="preserve">We correct the position time-series for post-seismic visco-elastic relaxation. This task is necessitated by obvious post-seismic transient deformation observed in station time-series that have been running over the last few decades and were affected by e.g., the 2010 </w:t>
      </w:r>
      <w:r>
        <w:rPr>
          <w:rFonts w:ascii="Times New Roman" w:hAnsi="Times New Roman"/>
          <w:b w:val="false"/>
          <w:bCs w:val="false"/>
          <w:i/>
          <w:iCs/>
          <w:lang w:val="en-US" w:eastAsia="zh-CN" w:bidi="hi-IN"/>
        </w:rPr>
        <w:t>m</w:t>
      </w:r>
      <w:r>
        <w:rPr>
          <w:rFonts w:ascii="Times New Roman" w:hAnsi="Times New Roman"/>
          <w:b w:val="false"/>
          <w:bCs w:val="false"/>
          <w:vertAlign w:val="subscript"/>
          <w:lang w:val="en-US" w:eastAsia="zh-CN" w:bidi="hi-IN"/>
        </w:rPr>
        <w:t>w</w:t>
      </w:r>
      <w:r>
        <w:rPr>
          <w:rFonts w:ascii="Times New Roman" w:hAnsi="Times New Roman"/>
          <w:b w:val="false"/>
          <w:bCs w:val="false"/>
          <w:lang w:val="en-US" w:eastAsia="zh-CN" w:bidi="hi-IN"/>
        </w:rPr>
        <w:t>=7.2</w:t>
      </w:r>
      <w:r>
        <w:rPr>
          <w:rFonts w:ascii="Times New Roman" w:hAnsi="Times New Roman"/>
          <w:lang w:val="en-US"/>
        </w:rPr>
        <w:t xml:space="preserve"> El-Mayor Cucapah or 2019 </w:t>
      </w:r>
      <w:r>
        <w:rPr>
          <w:rFonts w:ascii="Times New Roman" w:hAnsi="Times New Roman"/>
          <w:b w:val="false"/>
          <w:bCs w:val="false"/>
          <w:i/>
          <w:iCs/>
          <w:lang w:val="en-US" w:eastAsia="zh-CN" w:bidi="hi-IN"/>
        </w:rPr>
        <w:t>m</w:t>
      </w:r>
      <w:r>
        <w:rPr>
          <w:rFonts w:ascii="Times New Roman" w:hAnsi="Times New Roman"/>
          <w:b w:val="false"/>
          <w:bCs w:val="false"/>
          <w:vertAlign w:val="subscript"/>
          <w:lang w:val="en-US" w:eastAsia="zh-CN" w:bidi="hi-IN"/>
        </w:rPr>
        <w:t>w</w:t>
      </w:r>
      <w:r>
        <w:rPr>
          <w:rFonts w:ascii="Times New Roman" w:hAnsi="Times New Roman"/>
          <w:b w:val="false"/>
          <w:bCs w:val="false"/>
          <w:lang w:val="en-US" w:eastAsia="zh-CN" w:bidi="hi-IN"/>
        </w:rPr>
        <w:t xml:space="preserve">=7.1 </w:t>
      </w:r>
      <w:r>
        <w:rPr>
          <w:rFonts w:ascii="Times New Roman" w:hAnsi="Times New Roman"/>
          <w:lang w:val="en-US"/>
        </w:rPr>
        <w:t xml:space="preserve">Ridgecrest earthquakes. </w:t>
      </w:r>
      <w:r>
        <w:rPr>
          <w:rFonts w:ascii="Times New Roman" w:hAnsi="Times New Roman"/>
          <w:lang w:val="en-US"/>
        </w:rPr>
        <w:t>More generally, we want</w:t>
      </w:r>
      <w:r>
        <w:rPr>
          <w:rFonts w:ascii="Times New Roman" w:hAnsi="Times New Roman"/>
          <w:lang w:val="en-US"/>
        </w:rPr>
        <w:t xml:space="preserve"> the inferred strain rate model </w:t>
      </w:r>
      <w:r>
        <w:rPr>
          <w:rFonts w:ascii="Times New Roman" w:hAnsi="Times New Roman"/>
          <w:lang w:val="en-US"/>
        </w:rPr>
        <w:t>to be</w:t>
      </w:r>
      <w:r>
        <w:rPr>
          <w:rFonts w:ascii="Times New Roman" w:hAnsi="Times New Roman"/>
          <w:lang w:val="en-US"/>
        </w:rPr>
        <w:t xml:space="preserve"> </w:t>
      </w:r>
      <w:r>
        <w:rPr>
          <w:rFonts w:ascii="Times New Roman" w:hAnsi="Times New Roman"/>
          <w:lang w:val="en-US"/>
        </w:rPr>
        <w:t xml:space="preserve">as </w:t>
      </w:r>
      <w:r>
        <w:rPr>
          <w:rFonts w:ascii="Times New Roman" w:hAnsi="Times New Roman"/>
          <w:lang w:val="en-US"/>
        </w:rPr>
        <w:t xml:space="preserve">time-invariable as possible and </w:t>
      </w:r>
      <w:r>
        <w:rPr>
          <w:rFonts w:ascii="Times New Roman" w:hAnsi="Times New Roman"/>
          <w:lang w:val="en-US"/>
        </w:rPr>
        <w:t>therefore requi</w:t>
      </w:r>
      <w:r>
        <w:rPr>
          <w:rFonts w:ascii="Times New Roman" w:hAnsi="Times New Roman"/>
          <w:lang w:val="en-US"/>
        </w:rPr>
        <w:t>r</w:t>
      </w:r>
      <w:r>
        <w:rPr>
          <w:rFonts w:ascii="Times New Roman" w:hAnsi="Times New Roman"/>
          <w:lang w:val="en-US"/>
        </w:rPr>
        <w:t>e</w:t>
      </w:r>
      <w:r>
        <w:rPr>
          <w:rFonts w:ascii="Times New Roman" w:hAnsi="Times New Roman"/>
          <w:lang w:val="en-US"/>
        </w:rPr>
        <w:t xml:space="preserve"> any known transient deformation </w:t>
      </w:r>
      <w:r>
        <w:rPr>
          <w:rFonts w:ascii="Times New Roman" w:hAnsi="Times New Roman"/>
          <w:lang w:val="en-US"/>
        </w:rPr>
        <w:t>to</w:t>
      </w:r>
      <w:r>
        <w:rPr>
          <w:rFonts w:ascii="Times New Roman" w:hAnsi="Times New Roman"/>
          <w:lang w:val="en-US"/>
        </w:rPr>
        <w:t xml:space="preserve"> be removed. We therefore decided to estimate the visco-elastic deformation following a large number of </w:t>
      </w:r>
      <w:r>
        <w:rPr>
          <w:rFonts w:ascii="Times New Roman" w:hAnsi="Times New Roman"/>
          <w:lang w:val="en-US"/>
        </w:rPr>
        <w:t>earthquake</w:t>
      </w:r>
      <w:r>
        <w:rPr>
          <w:rFonts w:ascii="Times New Roman" w:hAnsi="Times New Roman"/>
          <w:lang w:val="en-US"/>
        </w:rPr>
        <w:t xml:space="preserve">s that have occurred in the western U.S. since the </w:t>
      </w:r>
      <w:r>
        <w:rPr>
          <w:rFonts w:ascii="Times New Roman" w:hAnsi="Times New Roman"/>
          <w:lang w:val="en-US"/>
        </w:rPr>
        <w:t xml:space="preserve">1700 Cascadia earthquake </w:t>
      </w:r>
      <w:r>
        <w:rPr>
          <w:rFonts w:ascii="Times New Roman" w:hAnsi="Times New Roman"/>
          <w:lang w:val="en-US"/>
        </w:rPr>
        <w:t xml:space="preserve">(Table </w:t>
      </w:r>
      <w:r>
        <w:rPr>
          <w:rFonts w:ascii="Times New Roman" w:hAnsi="Times New Roman"/>
          <w:lang w:val="en-US"/>
        </w:rPr>
        <w:t>S1</w:t>
      </w:r>
      <w:r>
        <w:rPr>
          <w:rFonts w:ascii="Times New Roman" w:hAnsi="Times New Roman"/>
          <w:lang w:val="en-US"/>
        </w:rPr>
        <w:t>)</w:t>
      </w:r>
      <w:r>
        <w:rPr>
          <w:rFonts w:ascii="Times New Roman" w:hAnsi="Times New Roman"/>
          <w:lang w:val="en-US"/>
        </w:rPr>
        <w:t>. For Earth’s viscosity structure, we use th</w:t>
      </w:r>
      <w:r>
        <w:rPr>
          <w:rFonts w:ascii="Times New Roman" w:hAnsi="Times New Roman"/>
          <w:lang w:val="en-US"/>
        </w:rPr>
        <w:t>e parameters</w:t>
      </w:r>
      <w:r>
        <w:rPr>
          <w:rFonts w:ascii="Times New Roman" w:hAnsi="Times New Roman"/>
          <w:lang w:val="en-US"/>
        </w:rPr>
        <w:t xml:space="preserve"> from recent studies of visco-elastic deformation in southern California and the southern Basin and Range </w:t>
      </w:r>
      <w:bookmarkStart w:id="12" w:name="__UnoMark__35064_4250909747"/>
      <w:bookmarkStart w:id="13" w:name="__UnoMark__34535_4250909747"/>
      <w:r>
        <w:rPr>
          <w:rFonts w:ascii="Times New Roman" w:hAnsi="Times New Roman"/>
          <w:b w:val="false"/>
          <w:caps w:val="false"/>
          <w:smallCaps w:val="false"/>
          <w:position w:val="0"/>
          <w:sz w:val="24"/>
          <w:u w:val="none"/>
          <w:vertAlign w:val="baseline"/>
          <w:lang w:val="en-US"/>
        </w:rPr>
        <w:t xml:space="preserve">(Guns and Bennett, 2020; Broermann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2"/>
      <w:bookmarkEnd w:id="13"/>
      <w:r>
        <w:rPr>
          <w:rFonts w:ascii="Times New Roman" w:hAnsi="Times New Roman"/>
          <w:lang w:val="en-US"/>
        </w:rPr>
        <w:t>.</w:t>
      </w:r>
      <w:r>
        <w:rPr>
          <w:rFonts w:ascii="Times New Roman" w:hAnsi="Times New Roman"/>
          <w:lang w:val="en-US"/>
        </w:rPr>
        <w:t xml:space="preserve"> </w:t>
      </w:r>
      <w:r>
        <w:rPr>
          <w:rFonts w:ascii="Times New Roman" w:hAnsi="Times New Roman"/>
          <w:lang w:val="en-US"/>
        </w:rPr>
        <w:t>The post-seismic time-series for each event are calculated usi</w:t>
      </w:r>
      <w:r>
        <w:rPr>
          <w:rFonts w:ascii="Times New Roman" w:hAnsi="Times New Roman"/>
          <w:sz w:val="24"/>
          <w:szCs w:val="24"/>
          <w:lang w:val="en-US"/>
        </w:rPr>
        <w:t xml:space="preserve">ng the </w:t>
      </w:r>
      <w:r>
        <w:rPr>
          <w:rFonts w:ascii="Times New Roman" w:hAnsi="Times New Roman"/>
          <w:b w:val="false"/>
          <w:i w:val="false"/>
          <w:caps w:val="false"/>
          <w:smallCaps w:val="false"/>
          <w:color w:val="1C1D1E"/>
          <w:spacing w:val="0"/>
          <w:sz w:val="24"/>
          <w:szCs w:val="24"/>
          <w:lang w:val="en-US"/>
        </w:rPr>
        <w:t>PSGRN/PSCMP</w:t>
      </w:r>
      <w:r>
        <w:rPr>
          <w:rFonts w:ascii="Times New Roman" w:hAnsi="Times New Roman"/>
          <w:sz w:val="24"/>
          <w:szCs w:val="24"/>
          <w:lang w:val="en-US"/>
        </w:rPr>
        <w:t xml:space="preserve"> softw</w:t>
      </w:r>
      <w:r>
        <w:rPr>
          <w:rFonts w:ascii="Times New Roman" w:hAnsi="Times New Roman"/>
          <w:lang w:val="en-US"/>
        </w:rPr>
        <w:t xml:space="preserve">are </w:t>
      </w:r>
      <w:bookmarkStart w:id="14" w:name="__UnoMark__35071_4250909747"/>
      <w:bookmarkStart w:id="15" w:name="__UnoMark__34536_4250909747"/>
      <w:r>
        <w:rPr>
          <w:rFonts w:ascii="Times New Roman" w:hAnsi="Times New Roman"/>
          <w:b w:val="false"/>
          <w:caps w:val="false"/>
          <w:smallCaps w:val="false"/>
          <w:position w:val="0"/>
          <w:sz w:val="24"/>
          <w:u w:val="none"/>
          <w:vertAlign w:val="baseline"/>
          <w:lang w:val="en-US"/>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14"/>
      <w:bookmarkEnd w:id="15"/>
      <w:r>
        <w:rPr>
          <w:rFonts w:ascii="Times New Roman" w:hAnsi="Times New Roman"/>
          <w:lang w:val="en-US"/>
        </w:rPr>
        <w:t xml:space="preserve">. </w:t>
      </w:r>
      <w:r>
        <w:rPr>
          <w:rFonts w:ascii="Times New Roman" w:hAnsi="Times New Roman"/>
          <w:lang w:val="en-US"/>
        </w:rPr>
        <w:t xml:space="preserve">It is worth noting that our correction is done at the time-series level and not at the velocity level, which differs from the approach of, e.g., Hearn et al. </w:t>
      </w:r>
      <w:bookmarkStart w:id="16" w:name="__UnoMark__35075_4250909747"/>
      <w:bookmarkStart w:id="17" w:name="__UnoMark__34538_4250909747"/>
      <w:bookmarkStart w:id="18" w:name="__UnoMark__35054_4250909747"/>
      <w:bookmarkEnd w:id="18"/>
      <w:r>
        <w:rPr>
          <w:rFonts w:ascii="Times New Roman" w:hAnsi="Times New Roman"/>
          <w:lang w:val="en-US"/>
        </w:rPr>
        <w:t>(2013)</w:t>
      </w:r>
      <w:bookmarkStart w:id="19" w:name="__UnoMark__35057_4250909747"/>
      <w:bookmarkEnd w:id="16"/>
      <w:bookmarkEnd w:id="17"/>
      <w:bookmarkEnd w:id="19"/>
      <w:r>
        <w:rPr>
          <w:rFonts w:ascii="Times New Roman" w:hAnsi="Times New Roman"/>
          <w:lang w:val="en-US"/>
        </w:rPr>
        <w:t xml:space="preserve"> </w:t>
      </w:r>
      <w:r>
        <w:rPr>
          <w:rFonts w:ascii="Times New Roman" w:hAnsi="Times New Roman"/>
          <w:lang w:val="en-US"/>
        </w:rPr>
        <w:t xml:space="preserve">which relies on deviations from a seismic cycle </w:t>
      </w:r>
      <w:r>
        <w:rPr>
          <w:rFonts w:ascii="Times New Roman" w:hAnsi="Times New Roman"/>
          <w:lang w:val="en-US"/>
        </w:rPr>
        <w:t xml:space="preserve">velocity </w:t>
      </w:r>
      <w:r>
        <w:rPr>
          <w:rFonts w:ascii="Times New Roman" w:hAnsi="Times New Roman"/>
          <w:lang w:val="en-US"/>
        </w:rPr>
        <w:t>average</w:t>
      </w:r>
      <w:r>
        <w:rPr>
          <w:rFonts w:ascii="Times New Roman" w:hAnsi="Times New Roman"/>
          <w:lang w:val="en-US"/>
        </w:rPr>
        <w:t>.</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 xml:space="preserve">After we correct the time-series for post-seismic deformation, there still remains a transient decay </w:t>
      </w:r>
      <w:r>
        <w:rPr>
          <w:rFonts w:ascii="Times New Roman" w:hAnsi="Times New Roman"/>
          <w:sz w:val="24"/>
          <w:szCs w:val="24"/>
          <w:lang w:val="en-US"/>
        </w:rPr>
        <w:t xml:space="preserve">signal </w:t>
      </w:r>
      <w:r>
        <w:rPr>
          <w:rFonts w:ascii="Times New Roman" w:hAnsi="Times New Roman"/>
          <w:sz w:val="24"/>
          <w:szCs w:val="24"/>
          <w:lang w:val="en-US"/>
        </w:rPr>
        <w:t xml:space="preserve">in some near-field stations </w:t>
      </w:r>
      <w:r>
        <w:rPr>
          <w:rFonts w:ascii="Times New Roman" w:hAnsi="Times New Roman"/>
          <w:sz w:val="24"/>
          <w:szCs w:val="24"/>
          <w:lang w:val="en-US"/>
        </w:rPr>
        <w:t xml:space="preserve">after some recent earthquakes, which can be attributed to afterslip </w:t>
      </w:r>
      <w:r>
        <w:rPr>
          <w:rFonts w:ascii="Times New Roman" w:hAnsi="Times New Roman"/>
          <w:b w:val="false"/>
          <w:i w:val="false"/>
          <w:caps w:val="false"/>
          <w:smallCaps w:val="false"/>
          <w:color w:val="000033"/>
          <w:spacing w:val="0"/>
          <w:sz w:val="24"/>
          <w:szCs w:val="24"/>
          <w:lang w:val="en-US"/>
        </w:rPr>
        <w:t>or an inaccurate visco-elastic model</w:t>
      </w:r>
      <w:r>
        <w:rPr>
          <w:rFonts w:ascii="Times New Roman" w:hAnsi="Times New Roman"/>
          <w:sz w:val="24"/>
          <w:szCs w:val="24"/>
          <w:lang w:val="en-US"/>
        </w:rPr>
        <w:t xml:space="preserve">. We </w:t>
      </w:r>
      <w:r>
        <w:rPr>
          <w:rFonts w:ascii="Times New Roman" w:hAnsi="Times New Roman"/>
          <w:sz w:val="24"/>
          <w:szCs w:val="24"/>
          <w:lang w:val="en-US"/>
        </w:rPr>
        <w:t>remove</w:t>
      </w:r>
      <w:r>
        <w:rPr>
          <w:rFonts w:ascii="Times New Roman" w:hAnsi="Times New Roman"/>
          <w:sz w:val="24"/>
          <w:szCs w:val="24"/>
          <w:lang w:val="en-US"/>
        </w:rPr>
        <w:t xml:space="preserve"> the affected part of the time-series, which can be ~</w:t>
      </w:r>
      <w:r>
        <w:rPr>
          <w:rFonts w:ascii="Times New Roman" w:hAnsi="Times New Roman"/>
          <w:sz w:val="24"/>
          <w:szCs w:val="24"/>
          <w:lang w:val="en-US"/>
        </w:rPr>
        <w:t>1-</w:t>
      </w:r>
      <w:r>
        <w:rPr>
          <w:rFonts w:ascii="Times New Roman" w:hAnsi="Times New Roman"/>
          <w:sz w:val="24"/>
          <w:szCs w:val="24"/>
          <w:lang w:val="en-US"/>
        </w:rPr>
        <w:t xml:space="preserve">2 years after events such as 1999 </w:t>
      </w:r>
      <w:r>
        <w:rPr>
          <w:rFonts w:cs="Arial" w:ascii="Times New Roman" w:hAnsi="Times New Roman"/>
          <w:i/>
          <w:iCs/>
          <w:sz w:val="24"/>
          <w:szCs w:val="24"/>
          <w:lang w:val="en-US"/>
        </w:rPr>
        <w:t>m</w:t>
      </w:r>
      <w:r>
        <w:rPr>
          <w:rFonts w:cs="Arial" w:ascii="Times New Roman" w:hAnsi="Times New Roman"/>
          <w:sz w:val="24"/>
          <w:szCs w:val="24"/>
          <w:vertAlign w:val="subscript"/>
          <w:lang w:val="en-US"/>
        </w:rPr>
        <w:t>w</w:t>
      </w:r>
      <w:r>
        <w:rPr>
          <w:rFonts w:cs="Arial" w:ascii="Times New Roman" w:hAnsi="Times New Roman"/>
          <w:sz w:val="24"/>
          <w:szCs w:val="24"/>
          <w:lang w:val="en-US"/>
        </w:rPr>
        <w:t>=7.</w:t>
      </w:r>
      <w:r>
        <w:rPr>
          <w:rFonts w:cs="Arial" w:ascii="Times New Roman" w:hAnsi="Times New Roman"/>
          <w:sz w:val="24"/>
          <w:szCs w:val="24"/>
          <w:lang w:val="en-US"/>
        </w:rPr>
        <w:t>1</w:t>
      </w:r>
      <w:r>
        <w:rPr>
          <w:rFonts w:ascii="Times New Roman" w:hAnsi="Times New Roman"/>
          <w:sz w:val="24"/>
          <w:szCs w:val="24"/>
          <w:lang w:val="en-US"/>
        </w:rPr>
        <w:t xml:space="preserve"> Hector Mine </w:t>
      </w:r>
      <w:bookmarkStart w:id="20" w:name="__UnoMark__35065_4250909747"/>
      <w:bookmarkStart w:id="21" w:name="__UnoMark__34548_4250909747"/>
      <w:r>
        <w:rPr>
          <w:rFonts w:ascii="Times New Roman" w:hAnsi="Times New Roman"/>
          <w:b w:val="false"/>
          <w:caps w:val="false"/>
          <w:smallCaps w:val="false"/>
          <w:position w:val="0"/>
          <w:sz w:val="24"/>
          <w:sz w:val="24"/>
          <w:szCs w:val="24"/>
          <w:u w:val="none"/>
          <w:vertAlign w:val="baseline"/>
          <w:lang w:val="en-US"/>
        </w:rPr>
        <w:t xml:space="preserve">(Owen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w:t>
      </w:r>
      <w:bookmarkEnd w:id="20"/>
      <w:bookmarkEnd w:id="21"/>
      <w:r>
        <w:rPr>
          <w:rFonts w:ascii="Times New Roman" w:hAnsi="Times New Roman"/>
          <w:sz w:val="24"/>
          <w:szCs w:val="24"/>
          <w:lang w:val="en-US"/>
        </w:rPr>
        <w:t xml:space="preserve"> and 2010 </w:t>
      </w:r>
      <w:r>
        <w:rPr>
          <w:rFonts w:cs="Arial" w:ascii="Times New Roman" w:hAnsi="Times New Roman"/>
          <w:i/>
          <w:iCs/>
          <w:sz w:val="24"/>
          <w:szCs w:val="24"/>
          <w:lang w:val="en-US"/>
        </w:rPr>
        <w:t>m</w:t>
      </w:r>
      <w:r>
        <w:rPr>
          <w:rFonts w:cs="Arial" w:ascii="Times New Roman" w:hAnsi="Times New Roman"/>
          <w:sz w:val="24"/>
          <w:szCs w:val="24"/>
          <w:vertAlign w:val="subscript"/>
          <w:lang w:val="en-US"/>
        </w:rPr>
        <w:t>w</w:t>
      </w:r>
      <w:r>
        <w:rPr>
          <w:rFonts w:cs="Arial" w:ascii="Times New Roman" w:hAnsi="Times New Roman"/>
          <w:sz w:val="24"/>
          <w:szCs w:val="24"/>
          <w:lang w:val="en-US"/>
        </w:rPr>
        <w:t>=7.2</w:t>
      </w:r>
      <w:r>
        <w:rPr>
          <w:rFonts w:ascii="Times New Roman" w:hAnsi="Times New Roman"/>
          <w:sz w:val="24"/>
          <w:szCs w:val="24"/>
          <w:lang w:val="en-US"/>
        </w:rPr>
        <w:t xml:space="preserve"> El-Mayor Cucapah</w:t>
      </w:r>
      <w:r>
        <w:rPr>
          <w:rFonts w:ascii="Times New Roman" w:hAnsi="Times New Roman"/>
          <w:sz w:val="24"/>
          <w:szCs w:val="24"/>
          <w:lang w:val="en-US"/>
        </w:rPr>
        <w:t xml:space="preserve"> </w:t>
      </w:r>
      <w:bookmarkStart w:id="22" w:name="__UnoMark__35066_4250909747"/>
      <w:bookmarkStart w:id="23" w:name="__UnoMark__34549_4250909747"/>
      <w:r>
        <w:rPr>
          <w:rFonts w:ascii="Times New Roman" w:hAnsi="Times New Roman"/>
          <w:b w:val="false"/>
          <w:caps w:val="false"/>
          <w:smallCaps w:val="false"/>
          <w:position w:val="0"/>
          <w:sz w:val="24"/>
          <w:sz w:val="24"/>
          <w:szCs w:val="24"/>
          <w:u w:val="none"/>
          <w:vertAlign w:val="baseline"/>
          <w:lang w:val="en-US"/>
        </w:rPr>
        <w:t xml:space="preserve">(e.g., Rollins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2015; Dickinson-Lovell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22"/>
      <w:bookmarkEnd w:id="23"/>
      <w:r>
        <w:rPr>
          <w:rFonts w:ascii="Times New Roman" w:hAnsi="Times New Roman"/>
          <w:sz w:val="24"/>
          <w:szCs w:val="24"/>
          <w:lang w:val="en-US"/>
        </w:rPr>
        <w:t xml:space="preserve">. The 2004 </w:t>
      </w:r>
      <w:r>
        <w:rPr>
          <w:rFonts w:ascii="Times New Roman" w:hAnsi="Times New Roman"/>
          <w:b w:val="false"/>
          <w:bCs w:val="false"/>
          <w:i/>
          <w:iCs/>
          <w:sz w:val="24"/>
          <w:szCs w:val="24"/>
          <w:lang w:val="en-US" w:eastAsia="zh-CN" w:bidi="hi-IN"/>
        </w:rPr>
        <w:t>m</w:t>
      </w:r>
      <w:r>
        <w:rPr>
          <w:rFonts w:ascii="Times New Roman" w:hAnsi="Times New Roman"/>
          <w:b w:val="false"/>
          <w:bCs w:val="false"/>
          <w:sz w:val="24"/>
          <w:szCs w:val="24"/>
          <w:vertAlign w:val="subscript"/>
          <w:lang w:val="en-US" w:eastAsia="zh-CN" w:bidi="hi-IN"/>
        </w:rPr>
        <w:t>w</w:t>
      </w:r>
      <w:r>
        <w:rPr>
          <w:rFonts w:ascii="Times New Roman" w:hAnsi="Times New Roman"/>
          <w:b w:val="false"/>
          <w:bCs w:val="false"/>
          <w:sz w:val="24"/>
          <w:szCs w:val="24"/>
          <w:lang w:val="en-US" w:eastAsia="zh-CN" w:bidi="hi-IN"/>
        </w:rPr>
        <w:t xml:space="preserve">=6.0 </w:t>
      </w:r>
      <w:r>
        <w:rPr>
          <w:rFonts w:ascii="Times New Roman" w:hAnsi="Times New Roman"/>
          <w:sz w:val="24"/>
          <w:szCs w:val="24"/>
          <w:lang w:val="en-US"/>
        </w:rPr>
        <w:t xml:space="preserve">Parkfield earthquake is an exception where afterslip </w:t>
      </w:r>
      <w:r>
        <w:rPr>
          <w:rFonts w:ascii="Times New Roman" w:hAnsi="Times New Roman"/>
          <w:sz w:val="24"/>
          <w:szCs w:val="24"/>
          <w:lang w:val="en-US"/>
        </w:rPr>
        <w:t>is much more prolonged</w:t>
      </w:r>
      <w:r>
        <w:rPr>
          <w:rFonts w:ascii="Times New Roman" w:hAnsi="Times New Roman"/>
          <w:sz w:val="24"/>
          <w:szCs w:val="24"/>
          <w:lang w:val="en-US"/>
        </w:rPr>
        <w:t xml:space="preserve">, consistent with previous findings </w:t>
      </w:r>
      <w:bookmarkStart w:id="24" w:name="__UnoMark__35067_4250909747"/>
      <w:bookmarkStart w:id="25" w:name="__UnoMark__34550_4250909747"/>
      <w:r>
        <w:rPr>
          <w:rFonts w:ascii="Times New Roman" w:hAnsi="Times New Roman"/>
          <w:b w:val="false"/>
          <w:caps w:val="false"/>
          <w:smallCaps w:val="false"/>
          <w:position w:val="0"/>
          <w:sz w:val="24"/>
          <w:sz w:val="24"/>
          <w:szCs w:val="24"/>
          <w:u w:val="none"/>
          <w:vertAlign w:val="baseline"/>
          <w:lang w:val="en-US"/>
        </w:rPr>
        <w:t xml:space="preserve">(Lienkaemper and McFarland, 2017; Klein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24"/>
      <w:bookmarkEnd w:id="25"/>
      <w:r>
        <w:rPr>
          <w:rFonts w:ascii="Times New Roman" w:hAnsi="Times New Roman"/>
          <w:sz w:val="24"/>
          <w:szCs w:val="24"/>
          <w:lang w:val="en-US"/>
        </w:rPr>
        <w:t xml:space="preserve">, and we remove all post-event time-series for </w:t>
      </w:r>
      <w:r>
        <w:rPr>
          <w:rFonts w:ascii="Times New Roman" w:hAnsi="Times New Roman"/>
          <w:sz w:val="24"/>
          <w:szCs w:val="24"/>
          <w:lang w:val="en-US"/>
        </w:rPr>
        <w:t xml:space="preserve">affected </w:t>
      </w:r>
      <w:r>
        <w:rPr>
          <w:rFonts w:ascii="Times New Roman" w:hAnsi="Times New Roman"/>
          <w:sz w:val="24"/>
          <w:szCs w:val="24"/>
          <w:lang w:val="en-US"/>
        </w:rPr>
        <w:t>nearby stations.</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rFonts w:ascii="Times New Roman" w:hAnsi="Times New Roman"/>
          <w:lang w:val="en-US"/>
        </w:rPr>
      </w:pPr>
      <w:r>
        <w:rPr>
          <w:rFonts w:ascii="Times New Roman" w:hAnsi="Times New Roman"/>
          <w:lang w:val="en-US"/>
        </w:rPr>
        <w:tab/>
      </w:r>
      <w:r>
        <w:rPr>
          <w:rFonts w:ascii="Times New Roman" w:hAnsi="Times New Roman"/>
          <w:b/>
          <w:bCs/>
          <w:lang w:val="en-US"/>
        </w:rPr>
        <w:t>Velocity Field</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 xml:space="preserve">We take the time-series corrected for postseismic deformation and use </w:t>
      </w:r>
      <w:r>
        <w:rPr>
          <w:rFonts w:ascii="Times New Roman" w:hAnsi="Times New Roman"/>
          <w:lang w:val="en-US"/>
        </w:rPr>
        <w:t xml:space="preserve">a </w:t>
      </w:r>
      <w:r>
        <w:rPr>
          <w:rFonts w:ascii="Times New Roman" w:hAnsi="Times New Roman"/>
          <w:lang w:val="en-US"/>
        </w:rPr>
        <w:t xml:space="preserve">linear least-squares regression to fit a station motion model to it that includes an annual and semi-annual </w:t>
      </w:r>
      <w:r>
        <w:rPr>
          <w:rFonts w:ascii="Times New Roman" w:hAnsi="Times New Roman"/>
          <w:lang w:val="en-US"/>
        </w:rPr>
        <w:t>sinusoid</w:t>
      </w:r>
      <w:r>
        <w:rPr>
          <w:rFonts w:ascii="Times New Roman" w:hAnsi="Times New Roman"/>
          <w:lang w:val="en-US"/>
        </w:rPr>
        <w:t xml:space="preserve"> as well as offsets at time of known/observed/suspected offsets. We then correct the time-series for the inferred offsets and </w:t>
      </w:r>
      <w:r>
        <w:rPr>
          <w:rFonts w:ascii="Times New Roman" w:hAnsi="Times New Roman"/>
          <w:lang w:val="en-US"/>
        </w:rPr>
        <w:t xml:space="preserve">subsequently </w:t>
      </w:r>
      <w:r>
        <w:rPr>
          <w:rFonts w:ascii="Times New Roman" w:hAnsi="Times New Roman"/>
          <w:lang w:val="en-US"/>
        </w:rPr>
        <w:t xml:space="preserve">apply the MIDAS algorithm </w:t>
      </w:r>
      <w:bookmarkStart w:id="26" w:name="__UnoMark__35068_4250909747"/>
      <w:bookmarkStart w:id="27" w:name="__UnoMark__34551_4250909747"/>
      <w:r>
        <w:rPr>
          <w:rFonts w:ascii="Times New Roman" w:hAnsi="Times New Roman"/>
          <w:b w:val="false"/>
          <w:caps w:val="false"/>
          <w:smallCaps w:val="false"/>
          <w:position w:val="0"/>
          <w:sz w:val="24"/>
          <w:u w:val="none"/>
          <w:vertAlign w:val="baseline"/>
          <w:lang w:val="en-US"/>
        </w:rPr>
        <w:t xml:space="preserve">(Blewitt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26"/>
      <w:bookmarkEnd w:id="27"/>
      <w:r>
        <w:rPr>
          <w:rFonts w:ascii="Times New Roman" w:hAnsi="Times New Roman"/>
          <w:lang w:val="en-US"/>
        </w:rPr>
        <w:t xml:space="preserve"> to the resulting time-series to infer the velocity and its uncertainty.</w:t>
      </w:r>
    </w:p>
    <w:p>
      <w:pPr>
        <w:pStyle w:val="Normal"/>
        <w:spacing w:lineRule="auto" w:line="240"/>
        <w:rPr>
          <w:rFonts w:ascii="Times New Roman" w:hAnsi="Times New Roman"/>
          <w:lang w:val="en-US"/>
        </w:rPr>
      </w:pPr>
      <w:r>
        <w:rPr>
          <w:rFonts w:ascii="Times New Roman" w:hAnsi="Times New Roman"/>
          <w:lang w:val="en-US"/>
        </w:rPr>
      </w:r>
    </w:p>
    <w:p>
      <w:pPr>
        <w:pStyle w:val="Normal"/>
        <w:spacing w:lineRule="auto" w:line="240"/>
        <w:rPr/>
      </w:pPr>
      <w:r>
        <w:rPr>
          <w:rFonts w:ascii="Times New Roman" w:hAnsi="Times New Roman"/>
          <w:lang w:val="en-US"/>
        </w:rPr>
        <w:t xml:space="preserve">The IGS14 velocity field is then transformed to a North America </w:t>
      </w:r>
      <w:r>
        <w:rPr>
          <w:rFonts w:ascii="Times New Roman" w:hAnsi="Times New Roman"/>
          <w:lang w:val="en-US"/>
        </w:rPr>
        <w:t xml:space="preserve">(NA) </w:t>
      </w:r>
      <w:r>
        <w:rPr>
          <w:rFonts w:ascii="Times New Roman" w:hAnsi="Times New Roman"/>
          <w:lang w:val="en-US"/>
        </w:rPr>
        <w:t xml:space="preserve">reference frame (for visualization) </w:t>
      </w:r>
      <w:r>
        <w:rPr>
          <w:rFonts w:ascii="Times New Roman" w:hAnsi="Times New Roman"/>
          <w:lang w:val="en-US"/>
        </w:rPr>
        <w:t xml:space="preserve">and a Juan de Fuca (JF) reference frame (for the modeling) </w:t>
      </w:r>
      <w:r>
        <w:rPr>
          <w:rFonts w:ascii="Times New Roman" w:hAnsi="Times New Roman"/>
          <w:lang w:val="en-US"/>
        </w:rPr>
        <w:t>using the Euler vector</w:t>
      </w:r>
      <w:r>
        <w:rPr>
          <w:rFonts w:ascii="Times New Roman" w:hAnsi="Times New Roman"/>
          <w:lang w:val="en-US"/>
        </w:rPr>
        <w:t>s</w:t>
      </w:r>
      <w:r>
        <w:rPr>
          <w:rFonts w:ascii="Times New Roman" w:hAnsi="Times New Roman"/>
          <w:lang w:val="en-US"/>
        </w:rPr>
        <w:t xml:space="preserve"> published by Kreemer </w:t>
      </w:r>
      <w:r>
        <w:rPr>
          <w:rFonts w:ascii="Times New Roman" w:hAnsi="Times New Roman"/>
          <w:i/>
          <w:iCs/>
          <w:lang w:val="en-US"/>
        </w:rPr>
        <w:t>et al.</w:t>
      </w:r>
      <w:r>
        <w:rPr>
          <w:rFonts w:ascii="Times New Roman" w:hAnsi="Times New Roman"/>
          <w:lang w:val="en-US"/>
        </w:rPr>
        <w:t xml:space="preserve"> </w:t>
      </w:r>
      <w:bookmarkStart w:id="28" w:name="__UnoMark__35069_4250909747"/>
      <w:bookmarkStart w:id="29" w:name="__UnoMark__34552_4250909747"/>
      <w:r>
        <w:rPr>
          <w:rFonts w:ascii="Times New Roman" w:hAnsi="Times New Roman"/>
          <w:lang w:val="en-US"/>
        </w:rPr>
        <w:t>(2014)</w:t>
      </w:r>
      <w:bookmarkEnd w:id="28"/>
      <w:bookmarkEnd w:id="29"/>
      <w:r>
        <w:rPr>
          <w:rFonts w:ascii="Times New Roman" w:hAnsi="Times New Roman"/>
          <w:lang w:val="en-US"/>
        </w:rPr>
        <w:t xml:space="preserve"> </w:t>
      </w:r>
      <w:r>
        <w:rPr>
          <w:rFonts w:ascii="Times New Roman" w:hAnsi="Times New Roman"/>
          <w:lang w:val="en-US"/>
        </w:rPr>
        <w:t xml:space="preserve">(which relies on the JF motion published by </w:t>
      </w:r>
      <w:r>
        <w:rPr>
          <w:rFonts w:ascii="Times New Roman" w:hAnsi="Times New Roman"/>
          <w:lang w:val="en-US"/>
        </w:rPr>
        <w:t xml:space="preserve">DeMets </w:t>
      </w:r>
      <w:r>
        <w:rPr>
          <w:rStyle w:val="Emphasis"/>
          <w:rFonts w:ascii="Times New Roman" w:hAnsi="Times New Roman"/>
          <w:lang w:val="en-US"/>
        </w:rPr>
        <w:t>et al.</w:t>
      </w:r>
      <w:r>
        <w:rPr>
          <w:rFonts w:ascii="Times New Roman" w:hAnsi="Times New Roman"/>
          <w:lang w:val="en-US"/>
        </w:rPr>
        <w:t xml:space="preserve"> </w:t>
      </w:r>
      <w:bookmarkStart w:id="30" w:name="__UnoMark__35070_4250909747"/>
      <w:bookmarkStart w:id="31" w:name="__UnoMark__34553_4250909747"/>
      <w:r>
        <w:rPr/>
        <w:t>(2010)</w:t>
      </w:r>
      <w:bookmarkEnd w:id="30"/>
      <w:bookmarkEnd w:id="31"/>
      <w:r>
        <w:rPr>
          <w:rFonts w:ascii="Times New Roman" w:hAnsi="Times New Roman"/>
          <w:lang w:val="en-US"/>
        </w:rPr>
        <w:t>).</w:t>
      </w:r>
      <w:r>
        <w:rPr>
          <w:rFonts w:ascii="Times New Roman" w:hAnsi="Times New Roman"/>
          <w:lang w:val="en-US"/>
        </w:rPr>
        <w:t xml:space="preserve"> </w:t>
      </w:r>
      <w:r>
        <w:rPr>
          <w:rFonts w:ascii="Times New Roman" w:hAnsi="Times New Roman"/>
          <w:lang w:val="en-US"/>
        </w:rPr>
        <w:t xml:space="preserve">The shown velocity field excludes some outlier velocities, which were identified with the strain rate modeling </w:t>
      </w:r>
      <w:r>
        <w:rPr>
          <w:rFonts w:ascii="Times New Roman" w:hAnsi="Times New Roman"/>
          <w:lang w:val="en-US"/>
        </w:rPr>
        <w:t>(below)</w:t>
      </w:r>
      <w:r>
        <w:rPr>
          <w:rFonts w:ascii="Times New Roman" w:hAnsi="Times New Roman"/>
          <w:lang w:val="en-US"/>
        </w:rPr>
        <w:t xml:space="preserve">. </w:t>
      </w:r>
      <w:r>
        <w:rPr>
          <w:rFonts w:eastAsia="Noto Sans Mono CJK SC" w:cs="Liberation Mono"/>
          <w:b w:val="false"/>
          <w:i w:val="false"/>
          <w:caps w:val="false"/>
          <w:smallCaps w:val="false"/>
          <w:color w:val="000000"/>
          <w:spacing w:val="0"/>
          <w:sz w:val="24"/>
          <w:szCs w:val="24"/>
          <w:lang w:val="en-US"/>
        </w:rPr>
        <w:t xml:space="preserve">The velocities can be found here: </w:t>
      </w:r>
      <w:r>
        <w:rPr>
          <w:rFonts w:eastAsia="Noto Sans Mono CJK SC" w:cs="Liberation Mono"/>
          <w:b w:val="false"/>
          <w:i w:val="false"/>
          <w:caps w:val="false"/>
          <w:smallCaps w:val="false"/>
          <w:strike w:val="false"/>
          <w:dstrike w:val="false"/>
          <w:color w:val="000000"/>
          <w:spacing w:val="0"/>
          <w:sz w:val="24"/>
          <w:szCs w:val="24"/>
          <w:u w:val="none"/>
          <w:effect w:val="none"/>
          <w:lang w:val="en-US"/>
        </w:rPr>
        <w:t xml:space="preserve">https://doi.org/10.7910/DVN/BICMWB. </w:t>
      </w:r>
    </w:p>
    <w:p>
      <w:pPr>
        <w:pStyle w:val="Normal"/>
        <w:spacing w:lineRule="auto" w:line="240"/>
        <w:rPr>
          <w:rFonts w:ascii="Times New Roman" w:hAnsi="Times New Roman"/>
          <w:lang w:val="en-US"/>
        </w:rPr>
      </w:pPr>
      <w:r>
        <w:rPr/>
      </w:r>
    </w:p>
    <w:p>
      <w:pPr>
        <w:pStyle w:val="Normal"/>
        <w:spacing w:lineRule="auto" w:line="240"/>
        <w:rPr>
          <w:b/>
          <w:b/>
          <w:bCs/>
          <w:lang w:val="en-US"/>
        </w:rPr>
      </w:pPr>
      <w:r>
        <w:rPr>
          <w:b/>
          <w:bCs/>
          <w:lang w:val="en-US"/>
        </w:rPr>
        <w:t>STRAIN RATE MODEL</w:t>
      </w:r>
    </w:p>
    <w:p>
      <w:pPr>
        <w:pStyle w:val="Normal"/>
        <w:spacing w:lineRule="auto" w:line="240"/>
        <w:rPr>
          <w:lang w:val="en-US"/>
        </w:rPr>
      </w:pPr>
      <w:r>
        <w:rPr>
          <w:lang w:val="en-US"/>
        </w:rPr>
      </w:r>
    </w:p>
    <w:p>
      <w:pPr>
        <w:pStyle w:val="Normal"/>
        <w:spacing w:lineRule="auto" w:line="240"/>
        <w:rPr/>
      </w:pPr>
      <w:r>
        <w:rPr>
          <w:rFonts w:ascii="Times New Roman" w:hAnsi="Times New Roman"/>
          <w:sz w:val="24"/>
          <w:szCs w:val="24"/>
          <w:lang w:val="en-US"/>
        </w:rPr>
        <w:t xml:space="preserve">We use a combination of the robust MELD algorithm </w:t>
      </w:r>
      <w:bookmarkStart w:id="32" w:name="__UnoMark__35058_4250909747"/>
      <w:bookmarkStart w:id="33" w:name="__UnoMark__34542_4250909747"/>
      <w:r>
        <w:rPr>
          <w:rFonts w:ascii="Times New Roman" w:hAnsi="Times New Roman"/>
          <w:b w:val="false"/>
          <w:caps w:val="false"/>
          <w:smallCaps w:val="false"/>
          <w:position w:val="0"/>
          <w:sz w:val="24"/>
          <w:sz w:val="24"/>
          <w:szCs w:val="24"/>
          <w:u w:val="none"/>
          <w:vertAlign w:val="baseline"/>
          <w:lang w:val="en-US"/>
        </w:rPr>
        <w:t xml:space="preserve">(Kreemer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 2020)</w:t>
      </w:r>
      <w:bookmarkEnd w:id="32"/>
      <w:bookmarkEnd w:id="33"/>
      <w:r>
        <w:rPr>
          <w:rFonts w:ascii="Times New Roman" w:hAnsi="Times New Roman"/>
          <w:sz w:val="24"/>
          <w:szCs w:val="24"/>
          <w:lang w:val="en-US"/>
        </w:rPr>
        <w:t xml:space="preserve"> and </w:t>
      </w:r>
      <w:r>
        <w:rPr>
          <w:rFonts w:cs="Arial" w:ascii="Times New Roman" w:hAnsi="Times New Roman"/>
          <w:sz w:val="24"/>
          <w:szCs w:val="24"/>
          <w:lang w:val="en-US"/>
        </w:rPr>
        <w:t xml:space="preserve">the methodology of ‘Haines and Holt’ </w:t>
      </w:r>
      <w:bookmarkStart w:id="34" w:name="__UnoMark__35074_4250909747"/>
      <w:bookmarkStart w:id="35" w:name="__UnoMark__34556_4250909747"/>
      <w:r>
        <w:rPr>
          <w:rFonts w:cs="Arial" w:ascii="Times New Roman" w:hAnsi="Times New Roman"/>
          <w:b w:val="false"/>
          <w:caps w:val="false"/>
          <w:smallCaps w:val="false"/>
          <w:position w:val="0"/>
          <w:sz w:val="24"/>
          <w:sz w:val="24"/>
          <w:szCs w:val="24"/>
          <w:u w:val="none"/>
          <w:vertAlign w:val="baseline"/>
          <w:lang w:val="en-US"/>
        </w:rPr>
        <w:t xml:space="preserve">(Haines and Holt, 1993; Holt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2000; Kreemer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2000; Beavan and Haines, 2001)</w:t>
      </w:r>
      <w:bookmarkEnd w:id="34"/>
      <w:bookmarkEnd w:id="35"/>
      <w:r>
        <w:rPr>
          <w:rFonts w:cs="Arial" w:ascii="Times New Roman" w:hAnsi="Times New Roman"/>
          <w:sz w:val="24"/>
          <w:szCs w:val="24"/>
          <w:lang w:val="en-US"/>
        </w:rPr>
        <w:t xml:space="preserve">. </w:t>
      </w:r>
      <w:r>
        <w:rPr>
          <w:rFonts w:ascii="Times New Roman" w:hAnsi="Times New Roman"/>
          <w:lang w:val="en-US"/>
        </w:rPr>
        <w:t xml:space="preserve">We first take the geodetic velocity field and use it as input to the MELD algorithm to estimate a robust, but smooth, strain rate field. </w:t>
      </w:r>
      <w:r>
        <w:rPr>
          <w:lang w:val="en-US"/>
        </w:rPr>
        <w:t xml:space="preserve">We use a minimum number of 56 triangles per grid point and set </w:t>
      </w:r>
      <w:r>
        <w:rPr>
          <w:rFonts w:ascii="Liberation Serif" w:hAnsi="Liberation Serif"/>
          <w:lang w:val="en-US"/>
        </w:rPr>
        <w:t>σ</w:t>
      </w:r>
      <w:r>
        <w:rPr>
          <w:vertAlign w:val="subscript"/>
          <w:lang w:val="en-US"/>
        </w:rPr>
        <w:t>max</w:t>
      </w:r>
      <w:r>
        <w:rPr>
          <w:lang w:val="en-US"/>
        </w:rPr>
        <w:t xml:space="preserve"> to 35. </w:t>
      </w:r>
      <w:r>
        <w:rPr>
          <w:rFonts w:ascii="Liberation Serif" w:hAnsi="Liberation Serif"/>
          <w:lang w:val="en-US"/>
        </w:rPr>
        <w:t>σ</w:t>
      </w:r>
      <w:r>
        <w:rPr>
          <w:vertAlign w:val="subscript"/>
          <w:lang w:val="en-US"/>
        </w:rPr>
        <w:t>max</w:t>
      </w:r>
      <w:r>
        <w:rPr>
          <w:lang w:val="en-US"/>
        </w:rPr>
        <w:t xml:space="preserve"> </w:t>
      </w:r>
      <w:r>
        <w:rPr>
          <w:lang w:val="en-US"/>
        </w:rPr>
        <w:t>puts an upper limit on the allowed strain rate uncertainty, which is controlled by the size/shape of the triangle, and our chosen value</w:t>
      </w:r>
      <w:r>
        <w:rPr>
          <w:lang w:val="en-US"/>
        </w:rPr>
        <w:t xml:space="preserve"> ensures a minimum triangle size corresponding to a circle radius of 15 km. </w:t>
      </w:r>
      <w:r>
        <w:rPr>
          <w:lang w:val="en-US"/>
        </w:rPr>
        <w:t>After running MELD,</w:t>
      </w:r>
      <w:r>
        <w:rPr>
          <w:lang w:val="en-US"/>
        </w:rPr>
        <w:t xml:space="preserve"> some velocities end up </w:t>
      </w:r>
      <w:r>
        <w:rPr>
          <w:lang w:val="en-US"/>
        </w:rPr>
        <w:t>having not been</w:t>
      </w:r>
      <w:r>
        <w:rPr>
          <w:lang w:val="en-US"/>
        </w:rPr>
        <w:t xml:space="preserve"> used (because they are always causing outlier strain rates), </w:t>
      </w:r>
      <w:r>
        <w:rPr>
          <w:lang w:val="en-US"/>
        </w:rPr>
        <w:t xml:space="preserve">and </w:t>
      </w:r>
      <w:r>
        <w:rPr>
          <w:lang w:val="en-US"/>
        </w:rPr>
        <w:t xml:space="preserve">we subsequently remove </w:t>
      </w:r>
      <w:r>
        <w:rPr>
          <w:lang w:val="en-US"/>
        </w:rPr>
        <w:t>those</w:t>
      </w:r>
      <w:r>
        <w:rPr>
          <w:lang w:val="en-US"/>
        </w:rPr>
        <w:t xml:space="preserve">. Additionally, we remove any station for which the weighted residual velocity is larger than 1.2, or the weighted residual velocity is larger than 0.25 while the absolute residual velocity is larger than 5 mm/yr. These thresholds were chosen such that the outlier velocity detection was reasonable. The reduced velocity data base is then put through MELD </w:t>
      </w:r>
      <w:r>
        <w:rPr>
          <w:lang w:val="en-US"/>
        </w:rPr>
        <w:t>one more time</w:t>
      </w:r>
      <w:r>
        <w:rPr>
          <w:lang w:val="en-US"/>
        </w:rPr>
        <w:t>.</w:t>
      </w:r>
    </w:p>
    <w:p>
      <w:pPr>
        <w:pStyle w:val="Normal"/>
        <w:spacing w:lineRule="auto" w:line="240"/>
        <w:rPr>
          <w:lang w:val="en-US"/>
        </w:rPr>
      </w:pPr>
      <w:r>
        <w:rPr>
          <w:lang w:val="en-US"/>
        </w:rPr>
      </w:r>
    </w:p>
    <w:p>
      <w:pPr>
        <w:pStyle w:val="Normal"/>
        <w:spacing w:lineRule="auto" w:line="240"/>
        <w:rPr/>
      </w:pPr>
      <w:r>
        <w:rPr>
          <w:lang w:val="en-US"/>
        </w:rPr>
        <w:t xml:space="preserve">For our final </w:t>
      </w:r>
      <w:r>
        <w:rPr>
          <w:lang w:val="en-US"/>
        </w:rPr>
        <w:t xml:space="preserve">geodetic </w:t>
      </w:r>
      <w:r>
        <w:rPr>
          <w:lang w:val="en-US"/>
        </w:rPr>
        <w:t xml:space="preserve">strain rate model, we use the Haines and Holt </w:t>
      </w:r>
      <w:r>
        <w:rPr>
          <w:lang w:val="en-US"/>
        </w:rPr>
        <w:t>method</w:t>
      </w:r>
      <w:r>
        <w:rPr>
          <w:lang w:val="en-US"/>
        </w:rPr>
        <w:t xml:space="preserve">. </w:t>
      </w:r>
      <w:r>
        <w:rPr>
          <w:lang w:val="en-US"/>
        </w:rPr>
        <w:t xml:space="preserve">This </w:t>
      </w:r>
      <w:r>
        <w:rPr>
          <w:lang w:val="en-US"/>
        </w:rPr>
        <w:t xml:space="preserve">technique </w:t>
      </w:r>
      <w:r>
        <w:rPr>
          <w:lang w:val="en-US"/>
        </w:rPr>
        <w:t xml:space="preserve">uses spline functions to fit a continuous velocity gradient tensor field to the data (in this case GPS velocities, but in next section geologic </w:t>
      </w:r>
      <w:r>
        <w:rPr>
          <w:lang w:val="en-US"/>
        </w:rPr>
        <w:t>strain rate ‘data’</w:t>
      </w:r>
      <w:r>
        <w:rPr>
          <w:lang w:val="en-US"/>
        </w:rPr>
        <w:t xml:space="preserve">). </w:t>
      </w:r>
      <w:r>
        <w:rPr>
          <w:lang w:val="en-US"/>
        </w:rPr>
        <w:t>We create a grid with 0.2</w:t>
      </w:r>
      <w:r>
        <w:rPr>
          <w:rFonts w:ascii="Liberation Serif" w:hAnsi="Liberation Serif"/>
          <w:lang w:val="en-US"/>
        </w:rPr>
        <w:t>°</w:t>
      </w:r>
      <w:r>
        <w:rPr>
          <w:lang w:val="en-US"/>
        </w:rPr>
        <w:t xml:space="preserve"> by 0.15</w:t>
      </w:r>
      <w:r>
        <w:rPr>
          <w:rFonts w:ascii="Liberation Serif" w:hAnsi="Liberation Serif"/>
          <w:lang w:val="en-US"/>
        </w:rPr>
        <w:t>°</w:t>
      </w:r>
      <w:r>
        <w:rPr>
          <w:lang w:val="en-US"/>
        </w:rPr>
        <w:t xml:space="preserve"> cells (in east and north dimension, respectively). </w:t>
      </w:r>
      <w:r>
        <w:rPr>
          <w:lang w:val="en-US"/>
        </w:rPr>
        <w:t>We only define the offshore are</w:t>
      </w:r>
      <w:r>
        <w:rPr>
          <w:lang w:val="en-US"/>
        </w:rPr>
        <w:t>a</w:t>
      </w:r>
      <w:r>
        <w:rPr>
          <w:lang w:val="en-US"/>
        </w:rPr>
        <w:t xml:space="preserve"> north of the </w:t>
      </w:r>
      <w:r>
        <w:rPr>
          <w:lang w:val="en-US"/>
        </w:rPr>
        <w:t xml:space="preserve">Mendocino Triple Junction </w:t>
      </w:r>
      <w:r>
        <w:rPr>
          <w:lang w:val="en-US"/>
        </w:rPr>
        <w:t>(i.e., the J</w:t>
      </w:r>
      <w:r>
        <w:rPr>
          <w:lang w:val="en-US"/>
        </w:rPr>
        <w:t>uan de Fuca</w:t>
      </w:r>
      <w:r>
        <w:rPr>
          <w:lang w:val="en-US"/>
        </w:rPr>
        <w:t xml:space="preserve"> </w:t>
      </w:r>
      <w:r>
        <w:rPr>
          <w:lang w:val="en-US"/>
        </w:rPr>
        <w:t>p</w:t>
      </w:r>
      <w:r>
        <w:rPr>
          <w:lang w:val="en-US"/>
        </w:rPr>
        <w:t xml:space="preserve">late) to be rigid, and this area acts as the reference frame for the modeling. We do not make </w:t>
      </w:r>
      <w:r>
        <w:rPr>
          <w:lang w:val="en-US"/>
        </w:rPr>
        <w:t xml:space="preserve">the western edge of the grid </w:t>
      </w:r>
      <w:r>
        <w:rPr>
          <w:lang w:val="en-US"/>
        </w:rPr>
        <w:t>south of the Mendocino Triple Junction</w:t>
      </w:r>
      <w:r>
        <w:rPr>
          <w:lang w:val="en-US"/>
        </w:rPr>
        <w:t xml:space="preserve"> (i.e., the Pacific plate) rigid, </w:t>
      </w:r>
      <w:r>
        <w:rPr>
          <w:lang w:val="en-US"/>
        </w:rPr>
        <w:t xml:space="preserve">because </w:t>
      </w:r>
      <w:r>
        <w:rPr>
          <w:lang w:val="en-US"/>
        </w:rPr>
        <w:t xml:space="preserve">we wish to </w:t>
      </w:r>
      <w:r>
        <w:rPr>
          <w:lang w:val="en-US"/>
        </w:rPr>
        <w:t>minimize</w:t>
      </w:r>
      <w:r>
        <w:rPr>
          <w:lang w:val="en-US"/>
        </w:rPr>
        <w:t xml:space="preserve"> </w:t>
      </w:r>
      <w:r>
        <w:rPr>
          <w:lang w:val="en-US"/>
        </w:rPr>
        <w:t xml:space="preserve">creating </w:t>
      </w:r>
      <w:r>
        <w:rPr>
          <w:lang w:val="en-US"/>
        </w:rPr>
        <w:t>any artificial strain rates between the western most stations offshore California and the edge of the grid.</w:t>
      </w:r>
      <w:r>
        <w:rPr>
          <w:lang w:val="en-US"/>
        </w:rPr>
        <w:t xml:space="preserve"> The eastern edge of the grid is </w:t>
      </w:r>
      <w:r>
        <w:rPr>
          <w:lang w:val="en-US"/>
        </w:rPr>
        <w:t xml:space="preserve">also </w:t>
      </w:r>
      <w:r>
        <w:rPr>
          <w:lang w:val="en-US"/>
        </w:rPr>
        <w:t>free to deform; we do not constrain it to be rigid (</w:t>
      </w:r>
      <w:r>
        <w:rPr>
          <w:lang w:val="en-US"/>
        </w:rPr>
        <w:t xml:space="preserve">i.e., </w:t>
      </w:r>
      <w:r>
        <w:rPr>
          <w:lang w:val="en-US"/>
        </w:rPr>
        <w:t xml:space="preserve">North America </w:t>
      </w:r>
      <w:r>
        <w:rPr>
          <w:lang w:val="en-US"/>
        </w:rPr>
        <w:t>plate</w:t>
      </w:r>
      <w:r>
        <w:rPr>
          <w:lang w:val="en-US"/>
        </w:rPr>
        <w:t xml:space="preserve">), because of the shown internal deformation of the North American plate </w:t>
      </w:r>
      <w:bookmarkStart w:id="36" w:name="__UnoMark__35073_4250909747"/>
      <w:bookmarkStart w:id="37" w:name="__UnoMark__34555_4250909747"/>
      <w:r>
        <w:rPr>
          <w:b w:val="false"/>
          <w:caps w:val="false"/>
          <w:smallCaps w:val="false"/>
          <w:position w:val="0"/>
          <w:sz w:val="24"/>
          <w:u w:val="none"/>
          <w:vertAlign w:val="baseline"/>
          <w:lang w:val="en-US"/>
        </w:rPr>
        <w:t xml:space="preserve">(Kreemer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36"/>
      <w:bookmarkEnd w:id="37"/>
      <w:r>
        <w:rPr>
          <w:lang w:val="en-US"/>
        </w:rPr>
        <w:t xml:space="preserve">. </w:t>
      </w:r>
    </w:p>
    <w:p>
      <w:pPr>
        <w:pStyle w:val="Normal"/>
        <w:spacing w:lineRule="auto" w:line="240"/>
        <w:rPr>
          <w:lang w:val="en-US"/>
        </w:rPr>
      </w:pPr>
      <w:r>
        <w:rPr>
          <w:lang w:val="en-US"/>
        </w:rPr>
      </w:r>
    </w:p>
    <w:p>
      <w:pPr>
        <w:pStyle w:val="Normal"/>
        <w:spacing w:lineRule="auto" w:line="240"/>
        <w:rPr/>
      </w:pPr>
      <w:r>
        <w:rPr>
          <w:lang w:val="en-US"/>
        </w:rPr>
        <w:t xml:space="preserve">The Haines and Holt technique is a Bayesian type approach in which an </w:t>
      </w:r>
      <w:r>
        <w:rPr>
          <w:i/>
          <w:iCs/>
          <w:lang w:val="en-US"/>
        </w:rPr>
        <w:t>a priori</w:t>
      </w:r>
      <w:r>
        <w:rPr>
          <w:lang w:val="en-US"/>
        </w:rPr>
        <w:t xml:space="preserve"> strain rate covariance matrix needs to be supplied. We choose an empirical approach in which we use</w:t>
      </w:r>
      <w:r>
        <w:rPr>
          <w:lang w:val="en-US"/>
        </w:rPr>
        <w:t xml:space="preserve"> </w:t>
      </w:r>
      <w:r>
        <w:rPr>
          <w:lang w:val="en-US"/>
        </w:rPr>
        <w:t xml:space="preserve">the strain rate tensor </w:t>
      </w:r>
      <w:r>
        <w:rPr>
          <w:lang w:val="en-US"/>
        </w:rPr>
        <w:t xml:space="preserve">calculated from the </w:t>
      </w:r>
      <w:r>
        <w:rPr>
          <w:lang w:val="en-US"/>
        </w:rPr>
        <w:t xml:space="preserve">second iteration MELD model </w:t>
      </w:r>
      <w:r>
        <w:rPr>
          <w:lang w:val="en-US"/>
        </w:rPr>
        <w:t>for</w:t>
      </w:r>
      <w:r>
        <w:rPr>
          <w:lang w:val="en-US"/>
        </w:rPr>
        <w:t xml:space="preserve"> the midpoints </w:t>
      </w:r>
      <w:r>
        <w:rPr>
          <w:lang w:val="en-US"/>
        </w:rPr>
        <w:t xml:space="preserve">used </w:t>
      </w:r>
      <w:r>
        <w:rPr>
          <w:lang w:val="en-US"/>
        </w:rPr>
        <w:t>f</w:t>
      </w:r>
      <w:r>
        <w:rPr>
          <w:lang w:val="en-US"/>
        </w:rPr>
        <w:t>or</w:t>
      </w:r>
      <w:r>
        <w:rPr>
          <w:lang w:val="en-US"/>
        </w:rPr>
        <w:t xml:space="preserve"> the Haines and Holt grid. We do this by calculating the second invariant of the MELD strain rates and assign that value to the standard deviation in </w:t>
      </w:r>
      <w:r>
        <w:rPr>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xx</m:t>
            </m:r>
          </m:sub>
        </m:sSub>
      </m:oMath>
      <w:r>
        <w:rPr>
          <w:lang w:val="en-US"/>
        </w:rPr>
        <w:t xml:space="preserve"> and </w:t>
      </w:r>
      <w:r>
        <w:rPr>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yy</m:t>
            </m:r>
          </m:sub>
        </m:sSub>
      </m:oMath>
      <w:r>
        <w:rPr>
          <w:lang w:val="en-US"/>
        </w:rPr>
        <w:t xml:space="preserve"> and the second invariant divided by </w:t>
      </w:r>
      <w:r>
        <w:rPr>
          <w:lang w:val="en-US"/>
        </w:rPr>
      </w:r>
      <m:oMath xmlns:m="http://schemas.openxmlformats.org/officeDocument/2006/math">
        <m:rad>
          <m:radPr>
            <m:degHide m:val="1"/>
          </m:radPr>
          <m:deg/>
          <m:e>
            <m:r>
              <w:rPr>
                <w:rFonts w:ascii="Cambria Math" w:hAnsi="Cambria Math"/>
              </w:rPr>
              <m:t xml:space="preserve">2</m:t>
            </m:r>
          </m:e>
        </m:rad>
      </m:oMath>
      <w:r>
        <w:rPr>
          <w:lang w:val="en-US"/>
        </w:rPr>
        <w:t xml:space="preserve"> for the standard deviation in </w:t>
      </w:r>
      <w:r>
        <w:rPr>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xy</m:t>
            </m:r>
          </m:sub>
        </m:sSub>
      </m:oMath>
      <w:r>
        <w:rPr>
          <w:lang w:val="en-US"/>
        </w:rPr>
        <w:t xml:space="preserve">. We introduce a scaling factor with which those </w:t>
      </w:r>
      <w:r>
        <w:rPr>
          <w:i/>
          <w:iCs/>
          <w:lang w:val="en-US"/>
        </w:rPr>
        <w:t>a priori</w:t>
      </w:r>
      <w:r>
        <w:rPr>
          <w:lang w:val="en-US"/>
        </w:rPr>
        <w:t xml:space="preserve"> values are being multiplied in order to end up with a median weighted residual velocity from the Haines and Holt model that is approximately 2.0. This is obtained when that scaling factor is 0.1</w:t>
      </w:r>
      <w:r>
        <w:rPr>
          <w:lang w:val="en-US"/>
        </w:rPr>
        <w:t>7</w:t>
      </w:r>
      <w:r>
        <w:rPr>
          <w:lang w:val="en-US"/>
        </w:rPr>
        <w:t xml:space="preserve">5. </w:t>
      </w:r>
      <w:r>
        <w:rPr>
          <w:lang w:val="en-US"/>
        </w:rPr>
        <w:t xml:space="preserve">We choose the median misfit because we will inevitably have large misfits across the creeping portion of the SAFS and we do not want those to affect the overall fit between modeled and observed velocities. </w:t>
      </w:r>
      <w:r>
        <w:rPr>
          <w:lang w:val="en-US"/>
        </w:rPr>
        <w:t xml:space="preserve">The weighted RMS </w:t>
      </w:r>
      <w:r>
        <w:rPr>
          <w:lang w:val="en-US"/>
        </w:rPr>
        <w:t xml:space="preserve">between GPS velocities and model velocities at the GPS locations </w:t>
      </w:r>
      <w:r>
        <w:rPr>
          <w:lang w:val="en-US"/>
        </w:rPr>
        <w:t>is 4.9.</w:t>
      </w:r>
      <w:r>
        <w:rPr>
          <w:lang w:val="en-US"/>
        </w:rPr>
        <w:t xml:space="preserve"> </w:t>
      </w:r>
    </w:p>
    <w:p>
      <w:pPr>
        <w:pStyle w:val="Normal"/>
        <w:spacing w:lineRule="auto" w:line="240"/>
        <w:rPr>
          <w:lang w:val="en-US"/>
        </w:rPr>
      </w:pPr>
      <w:r>
        <w:rPr/>
      </w:r>
    </w:p>
    <w:p>
      <w:pPr>
        <w:pStyle w:val="Normal"/>
        <w:spacing w:lineRule="auto" w:line="240"/>
        <w:rPr/>
      </w:pPr>
      <w:r>
        <w:rPr>
          <w:lang w:val="en-US"/>
        </w:rPr>
        <w:t>We infer from the</w:t>
      </w:r>
      <w:r>
        <w:rPr>
          <w:lang w:val="en-US"/>
        </w:rPr>
        <w:t xml:space="preserve"> geodetic strain rate mode</w:t>
      </w:r>
      <w:r>
        <w:rPr>
          <w:lang w:val="en-US"/>
        </w:rPr>
        <w:t>l the principal strain rates,</w:t>
      </w:r>
      <w:r>
        <w:rPr>
          <w:b w:val="false"/>
          <w:bCs w:val="false"/>
          <w:i w:val="false"/>
          <w:iCs w:val="false"/>
          <w:sz w:val="24"/>
          <w:szCs w:val="24"/>
          <w:lang w:val="en-US"/>
        </w:rPr>
        <w:t xml:space="preserve"> </w:t>
      </w:r>
      <w:r>
        <w:rPr>
          <w:b w:val="false"/>
          <w:bCs w:val="false"/>
          <w:i w:val="false"/>
          <w:iCs w:val="false"/>
          <w:sz w:val="24"/>
          <w:szCs w:val="24"/>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1</m:t>
            </m:r>
          </m:sub>
        </m:sSub>
      </m:oMath>
      <w:r>
        <w:rPr>
          <w:b w:val="false"/>
          <w:bCs w:val="false"/>
          <w:i w:val="false"/>
          <w:iCs w:val="false"/>
          <w:sz w:val="24"/>
          <w:szCs w:val="24"/>
          <w:lang w:val="en-US"/>
        </w:rPr>
        <w:t xml:space="preserve"> and </w:t>
      </w:r>
      <w:r>
        <w:rPr>
          <w:b w:val="false"/>
          <w:bCs w:val="false"/>
          <w:i w:val="false"/>
          <w:iCs w:val="false"/>
          <w:sz w:val="24"/>
          <w:szCs w:val="24"/>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2</m:t>
            </m:r>
          </m:sub>
        </m:sSub>
      </m:oMath>
      <w:r>
        <w:rPr>
          <w:b w:val="false"/>
          <w:bCs w:val="false"/>
          <w:i w:val="false"/>
          <w:iCs w:val="false"/>
          <w:sz w:val="24"/>
          <w:szCs w:val="24"/>
          <w:lang w:val="en-US"/>
        </w:rPr>
        <w:t>,</w:t>
      </w:r>
      <w:r>
        <w:rPr>
          <w:lang w:val="en-US"/>
        </w:rPr>
        <w:t xml:space="preserve"> and calculate</w:t>
      </w:r>
      <w:r>
        <w:rPr>
          <w:i w:val="false"/>
          <w:iCs w:val="false"/>
          <w:sz w:val="24"/>
          <w:szCs w:val="24"/>
          <w:lang w:val="en-US"/>
        </w:rPr>
        <w:t xml:space="preserve"> the</w:t>
      </w:r>
      <w:r>
        <w:rPr>
          <w:i w:val="false"/>
          <w:iCs w:val="false"/>
          <w:sz w:val="24"/>
          <w:szCs w:val="24"/>
          <w:lang w:val="en-US"/>
        </w:rPr>
        <w:t xml:space="preserve"> </w:t>
      </w:r>
      <w:r>
        <w:rPr>
          <w:b w:val="false"/>
          <w:bCs w:val="false"/>
          <w:i w:val="false"/>
          <w:iCs w:val="false"/>
          <w:sz w:val="24"/>
          <w:szCs w:val="24"/>
          <w:lang w:val="en-US"/>
        </w:rPr>
        <w:t>second invariant (</w:t>
      </w:r>
      <w:r>
        <w:rPr>
          <w:b w:val="false"/>
          <w:bCs w:val="false"/>
          <w:i w:val="false"/>
          <w:iCs w:val="false"/>
          <w:sz w:val="24"/>
          <w:szCs w:val="24"/>
          <w:lang w:val="en-US"/>
        </w:rPr>
      </w:r>
      <m:oMath xmlns:m="http://schemas.openxmlformats.org/officeDocument/2006/math">
        <m:rad>
          <m:radPr>
            <m:degHide m:val="1"/>
          </m:radPr>
          <m:deg/>
          <m:e>
            <m:sSubSup>
              <m:e>
                <m:acc>
                  <m:accPr>
                    <m:chr m:val="˙"/>
                  </m:accPr>
                  <m:e>
                    <m:r>
                      <w:rPr>
                        <w:rFonts w:ascii="Cambria Math" w:hAnsi="Cambria Math"/>
                      </w:rPr>
                      <m:t xml:space="preserve">ε</m:t>
                    </m:r>
                  </m:e>
                </m:acc>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acc>
                  <m:accPr>
                    <m:chr m:val="˙"/>
                  </m:accPr>
                  <m:e>
                    <m:r>
                      <w:rPr>
                        <w:rFonts w:ascii="Cambria Math" w:hAnsi="Cambria Math"/>
                      </w:rPr>
                      <m:t xml:space="preserve">ε</m:t>
                    </m:r>
                  </m:e>
                </m:acc>
              </m:e>
              <m:sub>
                <m:r>
                  <w:rPr>
                    <w:rFonts w:ascii="Cambria Math" w:hAnsi="Cambria Math"/>
                  </w:rPr>
                  <m:t xml:space="preserve">2</m:t>
                </m:r>
              </m:sub>
              <m:sup>
                <m:r>
                  <w:rPr>
                    <w:rFonts w:ascii="Cambria Math" w:hAnsi="Cambria Math"/>
                  </w:rPr>
                  <m:t xml:space="preserve">2</m:t>
                </m:r>
              </m:sup>
            </m:sSubSup>
          </m:e>
        </m:rad>
      </m:oMath>
      <w:r>
        <w:rPr>
          <w:b w:val="false"/>
          <w:bCs w:val="false"/>
          <w:i w:val="false"/>
          <w:iCs w:val="false"/>
          <w:sz w:val="24"/>
          <w:szCs w:val="24"/>
          <w:lang w:val="en-US"/>
        </w:rPr>
        <w:t xml:space="preserve">), </w:t>
      </w:r>
      <w:r>
        <w:rPr>
          <w:b w:val="false"/>
          <w:bCs w:val="false"/>
          <w:i w:val="false"/>
          <w:iCs w:val="false"/>
          <w:sz w:val="24"/>
          <w:szCs w:val="24"/>
          <w:lang w:val="en-US"/>
        </w:rPr>
        <w:t>the</w:t>
      </w:r>
      <w:r>
        <w:rPr>
          <w:b w:val="false"/>
          <w:bCs w:val="false"/>
          <w:i w:val="false"/>
          <w:iCs w:val="false"/>
          <w:sz w:val="24"/>
          <w:szCs w:val="24"/>
          <w:lang w:val="en-US"/>
        </w:rPr>
        <w:t xml:space="preserve"> dilatation rate (</w:t>
      </w:r>
      <w:r>
        <w:rPr>
          <w:b w:val="false"/>
          <w:bCs w:val="false"/>
          <w:i w:val="false"/>
          <w:iCs w:val="false"/>
          <w:sz w:val="24"/>
          <w:szCs w:val="24"/>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ε</m:t>
                </m:r>
              </m:e>
            </m:acc>
          </m:e>
          <m:sub>
            <m:r>
              <w:rPr>
                <w:rFonts w:ascii="Cambria Math" w:hAnsi="Cambria Math"/>
              </w:rPr>
              <m:t xml:space="preserve">2</m:t>
            </m:r>
          </m:sub>
        </m:sSub>
      </m:oMath>
      <w:r>
        <w:rPr>
          <w:b w:val="false"/>
          <w:bCs w:val="false"/>
          <w:i w:val="false"/>
          <w:iCs w:val="false"/>
          <w:sz w:val="24"/>
          <w:szCs w:val="24"/>
          <w:lang w:val="en-US"/>
        </w:rPr>
        <w:t xml:space="preserve">), </w:t>
      </w:r>
      <w:r>
        <w:rPr>
          <w:b w:val="false"/>
          <w:bCs w:val="false"/>
          <w:i w:val="false"/>
          <w:iCs w:val="false"/>
          <w:sz w:val="24"/>
          <w:szCs w:val="24"/>
          <w:lang w:val="en-US"/>
        </w:rPr>
        <w:t>and</w:t>
      </w:r>
      <w:r>
        <w:rPr>
          <w:b w:val="false"/>
          <w:bCs w:val="false"/>
          <w:i w:val="false"/>
          <w:iCs w:val="false"/>
          <w:sz w:val="24"/>
          <w:szCs w:val="24"/>
          <w:lang w:val="en-US"/>
        </w:rPr>
        <w:t xml:space="preserve"> shear rate (</w:t>
      </w:r>
      <w:r>
        <w:rPr>
          <w:b w:val="false"/>
          <w:bCs w:val="false"/>
          <w:i w:val="false"/>
          <w:iCs w:val="false"/>
          <w:sz w:val="24"/>
          <w:szCs w:val="24"/>
          <w:lang w:val="en-US"/>
        </w:rPr>
      </w:r>
      <m:oMath xmlns:m="http://schemas.openxmlformats.org/officeDocument/2006/math">
        <m:r>
          <w:rPr>
            <w:rFonts w:ascii="Cambria Math" w:hAnsi="Cambria Math"/>
          </w:rPr>
          <m:t xml:space="preserve">min</m:t>
        </m:r>
        <m:d>
          <m:dPr>
            <m:begChr m:val="("/>
            <m:endChr m:val=")"/>
          </m:dPr>
          <m:e>
            <m:d>
              <m:dPr>
                <m:begChr m:val="|"/>
                <m:endChr m:val="|"/>
              </m:dPr>
              <m:e>
                <m:sSub>
                  <m:e>
                    <m:acc>
                      <m:accPr>
                        <m:chr m:val="˙"/>
                      </m:accPr>
                      <m:e>
                        <m:r>
                          <w:rPr>
                            <w:rFonts w:ascii="Cambria Math" w:hAnsi="Cambria Math"/>
                          </w:rPr>
                          <m:t xml:space="preserve">ε</m:t>
                        </m:r>
                      </m:e>
                    </m:acc>
                  </m:e>
                  <m:sub>
                    <m:r>
                      <w:rPr>
                        <w:rFonts w:ascii="Cambria Math" w:hAnsi="Cambria Math"/>
                      </w:rPr>
                      <m:t xml:space="preserve">1</m:t>
                    </m:r>
                  </m:sub>
                </m:sSub>
              </m:e>
            </m:d>
            <m:r>
              <w:rPr>
                <w:rFonts w:ascii="Cambria Math" w:hAnsi="Cambria Math"/>
              </w:rPr>
              <m:t xml:space="preserve">,</m:t>
            </m:r>
            <m:d>
              <m:dPr>
                <m:begChr m:val="|"/>
                <m:endChr m:val="|"/>
              </m:dPr>
              <m:e>
                <m:sSub>
                  <m:e>
                    <m:acc>
                      <m:accPr>
                        <m:chr m:val="˙"/>
                      </m:accPr>
                      <m:e>
                        <m:r>
                          <w:rPr>
                            <w:rFonts w:ascii="Cambria Math" w:hAnsi="Cambria Math"/>
                          </w:rPr>
                          <m:t xml:space="preserve">ε</m:t>
                        </m:r>
                      </m:e>
                    </m:acc>
                  </m:e>
                  <m:sub>
                    <m:r>
                      <w:rPr>
                        <w:rFonts w:ascii="Cambria Math" w:hAnsi="Cambria Math"/>
                      </w:rPr>
                      <m:t xml:space="preserve">2</m:t>
                    </m:r>
                  </m:sub>
                </m:sSub>
              </m:e>
            </m:d>
          </m:e>
        </m:d>
      </m:oMath>
      <w:r>
        <w:rPr>
          <w:b w:val="false"/>
          <w:bCs w:val="false"/>
          <w:i w:val="false"/>
          <w:iCs w:val="false"/>
          <w:sz w:val="24"/>
          <w:szCs w:val="24"/>
          <w:lang w:val="en-US"/>
        </w:rPr>
        <w:t xml:space="preserve"> </w:t>
      </w:r>
      <w:r>
        <w:rPr>
          <w:b w:val="false"/>
          <w:bCs w:val="false"/>
          <w:i w:val="false"/>
          <w:iCs w:val="false"/>
          <w:sz w:val="24"/>
          <w:szCs w:val="24"/>
          <w:lang w:val="en-US"/>
        </w:rPr>
        <w:t xml:space="preserve">when </w:t>
      </w:r>
      <w:r>
        <w:rPr>
          <w:b w:val="false"/>
          <w:bCs w:val="false"/>
          <w:i w:val="false"/>
          <w:iCs w:val="false"/>
          <w:sz w:val="24"/>
          <w:szCs w:val="24"/>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1</m:t>
            </m:r>
          </m:sub>
        </m:sSub>
      </m:oMath>
      <w:r>
        <w:rPr>
          <w:b w:val="false"/>
          <w:bCs w:val="false"/>
          <w:i w:val="false"/>
          <w:iCs w:val="false"/>
          <w:sz w:val="24"/>
          <w:szCs w:val="24"/>
          <w:lang w:val="en-US"/>
        </w:rPr>
        <w:t xml:space="preserve"> and </w:t>
      </w:r>
      <w:r>
        <w:rPr>
          <w:b w:val="false"/>
          <w:bCs w:val="false"/>
          <w:i w:val="false"/>
          <w:iCs w:val="false"/>
          <w:sz w:val="24"/>
          <w:szCs w:val="24"/>
          <w:lang w:val="en-US"/>
        </w:rPr>
      </w:r>
      <m:oMath xmlns:m="http://schemas.openxmlformats.org/officeDocument/2006/math">
        <m:sSub>
          <m:e>
            <m:acc>
              <m:accPr>
                <m:chr m:val="˙"/>
              </m:accPr>
              <m:e>
                <m:r>
                  <w:rPr>
                    <w:rFonts w:ascii="Cambria Math" w:hAnsi="Cambria Math"/>
                  </w:rPr>
                  <m:t xml:space="preserve">ε</m:t>
                </m:r>
              </m:e>
            </m:acc>
          </m:e>
          <m:sub>
            <m:r>
              <w:rPr>
                <w:rFonts w:ascii="Cambria Math" w:hAnsi="Cambria Math"/>
              </w:rPr>
              <m:t xml:space="preserve">2</m:t>
            </m:r>
          </m:sub>
        </m:sSub>
      </m:oMath>
      <w:r>
        <w:rPr>
          <w:b w:val="false"/>
          <w:bCs w:val="false"/>
          <w:i w:val="false"/>
          <w:iCs w:val="false"/>
          <w:sz w:val="24"/>
          <w:szCs w:val="24"/>
          <w:lang w:val="en-US"/>
        </w:rPr>
        <w:t xml:space="preserve"> have opposite signs, otherwise zero</w:t>
      </w:r>
      <w:r>
        <w:rPr>
          <w:b w:val="false"/>
          <w:bCs w:val="false"/>
          <w:i w:val="false"/>
          <w:iCs w:val="false"/>
          <w:sz w:val="24"/>
          <w:szCs w:val="24"/>
          <w:lang w:val="en-US"/>
        </w:rPr>
        <w:t>).</w:t>
      </w:r>
    </w:p>
    <w:p>
      <w:pPr>
        <w:pStyle w:val="Normal"/>
        <w:spacing w:lineRule="auto" w:line="240"/>
        <w:rPr>
          <w:rFonts w:ascii="Liberation Serif" w:hAnsi="Liberation Serif"/>
          <w:color w:val="000000"/>
          <w:sz w:val="24"/>
          <w:szCs w:val="24"/>
          <w:lang w:val="en-US"/>
        </w:rPr>
      </w:pPr>
      <w:r>
        <w:rPr>
          <w:color w:val="000000"/>
          <w:sz w:val="24"/>
          <w:szCs w:val="24"/>
          <w:lang w:val="en-US"/>
        </w:rPr>
      </w:r>
    </w:p>
    <w:p>
      <w:pPr>
        <w:pStyle w:val="Normal"/>
        <w:spacing w:lineRule="auto" w:line="240"/>
        <w:rPr>
          <w:b/>
          <w:b/>
          <w:bCs/>
          <w:lang w:val="en-US"/>
        </w:rPr>
      </w:pPr>
      <w:r>
        <w:rPr>
          <w:b/>
          <w:bCs/>
          <w:lang w:val="en-US"/>
        </w:rPr>
        <w:t>REFERENCES</w:t>
      </w:r>
    </w:p>
    <w:p>
      <w:pPr>
        <w:pStyle w:val="Normal"/>
        <w:spacing w:lineRule="auto" w:line="240"/>
        <w:rPr>
          <w:lang w:val="en-US"/>
        </w:rPr>
      </w:pPr>
      <w:r>
        <w:rPr>
          <w:lang w:val="en-US"/>
        </w:rPr>
      </w:r>
    </w:p>
    <w:p>
      <w:pPr>
        <w:sectPr>
          <w:footerReference w:type="default" r:id="rId2"/>
          <w:type w:val="nextPage"/>
          <w:pgSz w:w="11906" w:h="16838"/>
          <w:pgMar w:left="1134" w:right="1134" w:header="0" w:top="1134" w:footer="1134" w:bottom="1693" w:gutter="0"/>
          <w:pgNumType w:fmt="decimal"/>
          <w:formProt w:val="false"/>
          <w:textDirection w:val="lrTb"/>
          <w:docGrid w:type="default" w:linePitch="312" w:charSpace="4294961151"/>
        </w:sectPr>
      </w:pPr>
    </w:p>
    <w:p>
      <w:pPr>
        <w:pStyle w:val="Bibliography1"/>
        <w:rPr/>
      </w:pPr>
      <w:bookmarkStart w:id="38" w:name="__UnoMark__35076_4250909747"/>
      <w:bookmarkStart w:id="39" w:name="__UnoMark__34557_4250909747"/>
      <w:bookmarkEnd w:id="38"/>
      <w:bookmarkEnd w:id="39"/>
      <w:r>
        <w:rPr/>
        <w:t xml:space="preserve">Beavan, J., and J. Haines (2001). Contemporary horizontal velocity and strain rate fields of the Pacific-Australian plate boundary zone through New Zealand, </w:t>
      </w:r>
      <w:r>
        <w:rPr>
          <w:i/>
        </w:rPr>
        <w:t>J. Geophys. Res.</w:t>
      </w:r>
      <w:r>
        <w:rPr/>
        <w:t xml:space="preserve"> </w:t>
      </w:r>
      <w:r>
        <w:rPr>
          <w:b/>
        </w:rPr>
        <w:t>106</w:t>
      </w:r>
      <w:r>
        <w:rPr/>
        <w:t>, no. B1, 741–770, doi: 10.1029/2000JB900302.</w:t>
      </w:r>
    </w:p>
    <w:p>
      <w:pPr>
        <w:pStyle w:val="Bibliography1"/>
        <w:rPr/>
      </w:pPr>
      <w:r>
        <w:rPr/>
        <w:t xml:space="preserve">Blewitt, G., W. C. Hammond, and C. Kreemer (2009). Geodetic observation of contemporary deformation in the northern Walker Lane: 1. Semipermanent GPS strategy, </w:t>
      </w:r>
      <w:r>
        <w:rPr>
          <w:i/>
        </w:rPr>
        <w:t>Geological Society of America Special Papers</w:t>
      </w:r>
      <w:r>
        <w:rPr/>
        <w:t xml:space="preserve"> </w:t>
      </w:r>
      <w:r>
        <w:rPr>
          <w:b/>
        </w:rPr>
        <w:t>447</w:t>
      </w:r>
      <w:r>
        <w:rPr/>
        <w:t>, 1–15, doi: 10.1130/2009.2447(01).</w:t>
      </w:r>
    </w:p>
    <w:p>
      <w:pPr>
        <w:pStyle w:val="Bibliography1"/>
        <w:rPr/>
      </w:pPr>
      <w:r>
        <w:rPr/>
        <w:t xml:space="preserve">Blewitt, G., W. C. Hammond, and C. Kreemer (2018). Harnessing the GPS data explosion for interdisciplinary science, </w:t>
      </w:r>
      <w:r>
        <w:rPr>
          <w:i/>
        </w:rPr>
        <w:t>Eos</w:t>
      </w:r>
      <w:r>
        <w:rPr/>
        <w:t xml:space="preserve"> </w:t>
      </w:r>
      <w:r>
        <w:rPr>
          <w:b/>
        </w:rPr>
        <w:t>99</w:t>
      </w:r>
      <w:r>
        <w:rPr/>
        <w:t>, doi: 10.1029/2018EO104623.</w:t>
      </w:r>
    </w:p>
    <w:p>
      <w:pPr>
        <w:pStyle w:val="Bibliography1"/>
        <w:rPr/>
      </w:pPr>
      <w:r>
        <w:rPr/>
        <w:t xml:space="preserve">Blewitt, G., C. Kreemer, W. C. Hammond, and J. Gazeaux (2016). MIDAS robust trend estimator for accurate GPS station velocities without step detection, </w:t>
      </w:r>
      <w:r>
        <w:rPr>
          <w:i/>
        </w:rPr>
        <w:t>J. Geophys. Res. Solid Earth</w:t>
      </w:r>
      <w:r>
        <w:rPr/>
        <w:t xml:space="preserve"> </w:t>
      </w:r>
      <w:r>
        <w:rPr>
          <w:b/>
        </w:rPr>
        <w:t>121</w:t>
      </w:r>
      <w:r>
        <w:rPr/>
        <w:t>, no. 3, 2054–2068, doi: 10.1002/2015JB012552.</w:t>
      </w:r>
    </w:p>
    <w:p>
      <w:pPr>
        <w:pStyle w:val="Bibliography1"/>
        <w:rPr/>
      </w:pPr>
      <w:r>
        <w:rPr/>
        <w:t xml:space="preserve">Broermann, J., R. A. Bennett, C. Kreemer, G. Blewitt, and P. A. Pearthree (2021). Geodetic extension across the Southern Basin and Range and Colorado Plateau, </w:t>
      </w:r>
      <w:r>
        <w:rPr>
          <w:i/>
        </w:rPr>
        <w:t>Journal of Geophysical Research: Solid Earth</w:t>
      </w:r>
      <w:r>
        <w:rPr/>
        <w:t xml:space="preserve"> </w:t>
      </w:r>
      <w:r>
        <w:rPr>
          <w:b/>
        </w:rPr>
        <w:t>126</w:t>
      </w:r>
      <w:r>
        <w:rPr/>
        <w:t>, no. 6, e2020JB021355, doi: https://doi.org/10.1029/2020JB021355.</w:t>
      </w:r>
    </w:p>
    <w:p>
      <w:pPr>
        <w:pStyle w:val="Bibliography1"/>
        <w:rPr/>
      </w:pPr>
      <w:r>
        <w:rPr/>
        <w:t xml:space="preserve">DeMets, C., R. G. Gordon, and D. F. Argus (2010). Geologically current plate motions, </w:t>
      </w:r>
      <w:r>
        <w:rPr>
          <w:i/>
        </w:rPr>
        <w:t>Geophys. J. Int.</w:t>
      </w:r>
      <w:r>
        <w:rPr/>
        <w:t xml:space="preserve"> </w:t>
      </w:r>
      <w:r>
        <w:rPr>
          <w:b/>
        </w:rPr>
        <w:t>181</w:t>
      </w:r>
      <w:r>
        <w:rPr/>
        <w:t>, no. 1, 1–80, doi: 10.1111/j.1365-246X.2009.04491.x.</w:t>
      </w:r>
    </w:p>
    <w:p>
      <w:pPr>
        <w:pStyle w:val="Bibliography1"/>
        <w:rPr/>
      </w:pPr>
      <w:r>
        <w:rPr/>
        <w:t xml:space="preserve">Dickinson-Lovell, H., M.-H. Huang, A. M. Freed, E. Fielding, R. Bürgmann, and C. Andronicos (2018). Inferred rheological structure and mantle conditions from postseismic deformation following the 2010 Mw 7.2 El Mayor-Cucapah Earthquake, </w:t>
      </w:r>
      <w:r>
        <w:rPr>
          <w:i/>
        </w:rPr>
        <w:t>Geophysical Journal International</w:t>
      </w:r>
      <w:r>
        <w:rPr/>
        <w:t xml:space="preserve"> </w:t>
      </w:r>
      <w:r>
        <w:rPr>
          <w:b/>
        </w:rPr>
        <w:t>213</w:t>
      </w:r>
      <w:r>
        <w:rPr/>
        <w:t>, no. 3, 1720–1730, doi: 10.1093/gji/ggx546.</w:t>
      </w:r>
    </w:p>
    <w:p>
      <w:pPr>
        <w:pStyle w:val="Bibliography1"/>
        <w:rPr/>
      </w:pPr>
      <w:r>
        <w:rPr/>
        <w:t xml:space="preserve">Guns, K. A., and R. A. Bennett (2020). Assessing long-Term postseismic transients from GPS time series in Southern California, </w:t>
      </w:r>
      <w:r>
        <w:rPr>
          <w:i/>
        </w:rPr>
        <w:t>Journal of Geophysical Research: Solid Earth</w:t>
      </w:r>
      <w:r>
        <w:rPr/>
        <w:t xml:space="preserve"> </w:t>
      </w:r>
      <w:r>
        <w:rPr>
          <w:b/>
        </w:rPr>
        <w:t>125</w:t>
      </w:r>
      <w:r>
        <w:rPr/>
        <w:t>, no. 4, e2019JB018670, doi: 10.1029/2019JB018670.</w:t>
      </w:r>
    </w:p>
    <w:p>
      <w:pPr>
        <w:pStyle w:val="Bibliography1"/>
        <w:rPr/>
      </w:pPr>
      <w:r>
        <w:rPr/>
        <w:t xml:space="preserve">Haines, A. J., and W. E. Holt (1993). A procedure for obtaining the complete horizontal motions within zones of distributed deformation from the inversion of strain rate data, </w:t>
      </w:r>
      <w:r>
        <w:rPr>
          <w:i/>
        </w:rPr>
        <w:t>J. Geophys. Res.</w:t>
      </w:r>
      <w:r>
        <w:rPr/>
        <w:t xml:space="preserve"> </w:t>
      </w:r>
      <w:r>
        <w:rPr>
          <w:b/>
        </w:rPr>
        <w:t>98</w:t>
      </w:r>
      <w:r>
        <w:rPr/>
        <w:t>, no. B7, 12057–12082, doi: 10.1029/93JB00892.</w:t>
      </w:r>
    </w:p>
    <w:p>
      <w:pPr>
        <w:pStyle w:val="Bibliography1"/>
        <w:rPr/>
      </w:pPr>
      <w:r>
        <w:rPr/>
        <w:t xml:space="preserve">Hammond, W. C., and W. Thatcher (2004). Contemporary tectonic deformation of the Basin and Range province, western United States: 10 years of observation with the Global Positioning System, </w:t>
      </w:r>
      <w:r>
        <w:rPr>
          <w:i/>
        </w:rPr>
        <w:t>J. Geophys. Res.</w:t>
      </w:r>
      <w:r>
        <w:rPr/>
        <w:t xml:space="preserve"> </w:t>
      </w:r>
      <w:r>
        <w:rPr>
          <w:b/>
        </w:rPr>
        <w:t>109</w:t>
      </w:r>
      <w:r>
        <w:rPr/>
        <w:t>, no. B8, B08403, doi: 10.1029/2003JB002746.</w:t>
      </w:r>
    </w:p>
    <w:p>
      <w:pPr>
        <w:pStyle w:val="Bibliography1"/>
        <w:rPr/>
      </w:pPr>
      <w:r>
        <w:rPr/>
        <w:t xml:space="preserve">Hammond, W.C., and W. Thatcher (2007). Crustal deformation across the Sierra Nevada, Northern Walker Lane, Basin and Range transition, Western United States, measured with GPS, 2000-2004, </w:t>
      </w:r>
      <w:r>
        <w:rPr>
          <w:i/>
        </w:rPr>
        <w:t>Journal of Geophysical Research</w:t>
      </w:r>
      <w:r>
        <w:rPr/>
        <w:t xml:space="preserve"> </w:t>
      </w:r>
      <w:r>
        <w:rPr>
          <w:b/>
        </w:rPr>
        <w:t>112, B05411, doi:10.1029/2006JB004625</w:t>
      </w:r>
      <w:r>
        <w:rPr/>
        <w:t>.</w:t>
      </w:r>
    </w:p>
    <w:p>
      <w:pPr>
        <w:pStyle w:val="Bibliography1"/>
        <w:rPr/>
      </w:pPr>
      <w:r>
        <w:rPr/>
        <w:t xml:space="preserve">Hammond, William C., and W. Thatcher (2007). Crustal deformation across the Sierra Nevada, northern Walker Lane, Basin and Range transition, western United States measured with GPS, 2000–2004, </w:t>
      </w:r>
      <w:r>
        <w:rPr>
          <w:i/>
        </w:rPr>
        <w:t>J. Geophys. Res.</w:t>
      </w:r>
      <w:r>
        <w:rPr/>
        <w:t xml:space="preserve"> </w:t>
      </w:r>
      <w:r>
        <w:rPr>
          <w:b/>
        </w:rPr>
        <w:t>112</w:t>
      </w:r>
      <w:r>
        <w:rPr/>
        <w:t>, no. B5, B05411, doi: 10.1029/2006JB004625.</w:t>
      </w:r>
    </w:p>
    <w:p>
      <w:pPr>
        <w:pStyle w:val="Bibliography1"/>
        <w:rPr/>
      </w:pPr>
      <w:r>
        <w:rPr/>
        <w:t xml:space="preserve">Hearn, E. H., F. F. Pollitz, W. R. Thatcher, and C. T. Onishi (2013). How do “ghost transients” from past earthquakes affect GPS slip rate estimates on southern California faults?, </w:t>
      </w:r>
      <w:r>
        <w:rPr>
          <w:i/>
        </w:rPr>
        <w:t>Geochemistry, Geophysics, Geosystems</w:t>
      </w:r>
      <w:r>
        <w:rPr/>
        <w:t xml:space="preserve"> </w:t>
      </w:r>
      <w:r>
        <w:rPr>
          <w:b/>
        </w:rPr>
        <w:t>14</w:t>
      </w:r>
      <w:r>
        <w:rPr/>
        <w:t>, no. 4, 828–838, doi: 10.1002/ggge.20080.</w:t>
      </w:r>
    </w:p>
    <w:p>
      <w:pPr>
        <w:pStyle w:val="Bibliography1"/>
        <w:rPr/>
      </w:pPr>
      <w:r>
        <w:rPr/>
        <w:t xml:space="preserve">Holt, W. E., N. Chamot-Rooke, X. Le Pichon, A. J. Haines, B. Shen-Tu, and J. Ren (2000). Velocity field in Asia inferred from Quaternary fault slip rates and Global Positioning System observations, </w:t>
      </w:r>
      <w:r>
        <w:rPr>
          <w:i/>
        </w:rPr>
        <w:t>J. Geophys. Res.</w:t>
      </w:r>
      <w:r>
        <w:rPr/>
        <w:t xml:space="preserve"> </w:t>
      </w:r>
      <w:r>
        <w:rPr>
          <w:b/>
        </w:rPr>
        <w:t>105</w:t>
      </w:r>
      <w:r>
        <w:rPr/>
        <w:t>, 19,185-19,209.</w:t>
      </w:r>
    </w:p>
    <w:p>
      <w:pPr>
        <w:pStyle w:val="Bibliography1"/>
        <w:rPr/>
      </w:pPr>
      <w:r>
        <w:rPr/>
        <w:t xml:space="preserve">Klein, E., Y. Bock, X. Xu, D. T. Sandwell, D. Golriz, P. Fang, and L. Su (2019). Transient Deformation in California From Two Decades of GPS Displacements: Implications for a Three-Dimensional Kinematic Reference Frame, </w:t>
      </w:r>
      <w:r>
        <w:rPr>
          <w:i/>
        </w:rPr>
        <w:t>Journal of Geophysical Research: Solid Earth</w:t>
      </w:r>
      <w:r>
        <w:rPr/>
        <w:t xml:space="preserve"> </w:t>
      </w:r>
      <w:r>
        <w:rPr>
          <w:b/>
        </w:rPr>
        <w:t>124</w:t>
      </w:r>
      <w:r>
        <w:rPr/>
        <w:t>, no. 11, 12189–12223, doi: 10.1029/2018JB017201.</w:t>
      </w:r>
    </w:p>
    <w:p>
      <w:pPr>
        <w:pStyle w:val="Bibliography1"/>
        <w:rPr/>
      </w:pPr>
      <w:r>
        <w:rPr/>
        <w:t xml:space="preserve">Kreemer, C., G. Blewitt, and P. M. Davis (2020). Geodetic evidence for a buoyant mantle plume beneath the Eifel volcanic area, NW Europe, </w:t>
      </w:r>
      <w:r>
        <w:rPr>
          <w:i/>
        </w:rPr>
        <w:t>Geophys J Int</w:t>
      </w:r>
      <w:r>
        <w:rPr/>
        <w:t xml:space="preserve"> </w:t>
      </w:r>
      <w:r>
        <w:rPr>
          <w:b/>
        </w:rPr>
        <w:t>222</w:t>
      </w:r>
      <w:r>
        <w:rPr/>
        <w:t>, no. 2, 1316–1332, doi: 10.1093/gji/ggaa227.</w:t>
      </w:r>
    </w:p>
    <w:p>
      <w:pPr>
        <w:pStyle w:val="Bibliography1"/>
        <w:rPr/>
      </w:pPr>
      <w:r>
        <w:rPr/>
        <w:t xml:space="preserve">Kreemer, C., G. Blewitt, and E. C. Klein (2014). A geodetic plate motion and Global Strain Rate Model, </w:t>
      </w:r>
      <w:r>
        <w:rPr>
          <w:i/>
        </w:rPr>
        <w:t>Geochem. Geophys. Geosyst.</w:t>
      </w:r>
      <w:r>
        <w:rPr/>
        <w:t xml:space="preserve"> </w:t>
      </w:r>
      <w:r>
        <w:rPr>
          <w:b/>
        </w:rPr>
        <w:t>15</w:t>
      </w:r>
      <w:r>
        <w:rPr/>
        <w:t>, no. 10, 3849–3889, doi: 10.1002/2014GC005407.</w:t>
      </w:r>
    </w:p>
    <w:p>
      <w:pPr>
        <w:pStyle w:val="Bibliography1"/>
        <w:rPr/>
      </w:pPr>
      <w:r>
        <w:rPr/>
        <w:t xml:space="preserve">Kreemer, C., J. Haines, W. Holt, G. Blewitt, and D. Lavallée (2000). On the determination of a global strain rate model., </w:t>
      </w:r>
      <w:r>
        <w:rPr>
          <w:i/>
        </w:rPr>
        <w:t>Geophys. J. Int.</w:t>
      </w:r>
      <w:r>
        <w:rPr/>
        <w:t xml:space="preserve"> </w:t>
      </w:r>
      <w:r>
        <w:rPr>
          <w:b/>
        </w:rPr>
        <w:t>52</w:t>
      </w:r>
      <w:r>
        <w:rPr/>
        <w:t>, no. 10, 765–770.</w:t>
      </w:r>
    </w:p>
    <w:p>
      <w:pPr>
        <w:pStyle w:val="Bibliography1"/>
        <w:rPr/>
      </w:pPr>
      <w:r>
        <w:rPr/>
        <w:t xml:space="preserve">Kreemer, C., W. C. Hammond, and G. Blewitt (2018). A robust estimation of the 3-D intraplate deformation of the North American plate from GPS, </w:t>
      </w:r>
      <w:r>
        <w:rPr>
          <w:i/>
        </w:rPr>
        <w:t>Journal of Geophysical Research-Solid Earth</w:t>
      </w:r>
      <w:r>
        <w:rPr/>
        <w:t xml:space="preserve"> </w:t>
      </w:r>
      <w:r>
        <w:rPr>
          <w:b/>
        </w:rPr>
        <w:t>123</w:t>
      </w:r>
      <w:r>
        <w:rPr/>
        <w:t>, 4388–4412, doi: 10.1029/2017JB015257.</w:t>
      </w:r>
    </w:p>
    <w:p>
      <w:pPr>
        <w:pStyle w:val="Bibliography1"/>
        <w:rPr/>
      </w:pPr>
      <w:r>
        <w:rPr/>
        <w:t xml:space="preserve">Lienkaemper, J. J., and F. S. McFarland (2017). Long‐term afterslip of the 2004 M 6.0 Parkfield, California, earthquake—Implications for forecasting amount and duration of afterslip on other major creeping faults Long, </w:t>
      </w:r>
      <w:r>
        <w:rPr>
          <w:i/>
        </w:rPr>
        <w:t>Bull. Seismol. Soc. Am.</w:t>
      </w:r>
      <w:r>
        <w:rPr/>
        <w:t xml:space="preserve"> </w:t>
      </w:r>
      <w:r>
        <w:rPr>
          <w:b/>
        </w:rPr>
        <w:t>107</w:t>
      </w:r>
      <w:r>
        <w:rPr/>
        <w:t>, no. 3, 1082–1093, doi: 10.1785/0120160321.</w:t>
      </w:r>
    </w:p>
    <w:p>
      <w:pPr>
        <w:pStyle w:val="Bibliography1"/>
        <w:rPr/>
      </w:pPr>
      <w:r>
        <w:rPr/>
        <w:t xml:space="preserve">Murray, J. R., S. E. Minson, and J. Svarc (2014). Slip rates and spatially variable creep on faults of the northern San Andreas system inferred through Bayesian inversion of Global Positioning System data, </w:t>
      </w:r>
      <w:r>
        <w:rPr>
          <w:i/>
        </w:rPr>
        <w:t>Journal of Geophysical Research: Solid Earth</w:t>
      </w:r>
      <w:r>
        <w:rPr/>
        <w:t xml:space="preserve"> </w:t>
      </w:r>
      <w:r>
        <w:rPr>
          <w:b/>
        </w:rPr>
        <w:t>119</w:t>
      </w:r>
      <w:r>
        <w:rPr/>
        <w:t>, no. 7, 6023–6047, doi: 10.1002/2014JB010966.</w:t>
      </w:r>
    </w:p>
    <w:p>
      <w:pPr>
        <w:pStyle w:val="Bibliography1"/>
        <w:rPr/>
      </w:pPr>
      <w:r>
        <w:rPr/>
        <w:t xml:space="preserve">Murray, J. R., and J. Svarc (2017). Global Positioning System Data Collection, Processing, and Analysis Conducted by the U.S. Geological Survey Earthquake Hazards Program, </w:t>
      </w:r>
      <w:r>
        <w:rPr>
          <w:i/>
        </w:rPr>
        <w:t>Seismological Research Letters</w:t>
      </w:r>
      <w:r>
        <w:rPr/>
        <w:t>, doi: 10.1785/0220160204.</w:t>
      </w:r>
    </w:p>
    <w:p>
      <w:pPr>
        <w:pStyle w:val="Bibliography1"/>
        <w:rPr/>
      </w:pPr>
      <w:r>
        <w:rPr/>
        <w:t xml:space="preserve">Owen, S., G. Anderson, D. C. Agnew, H. Johnson, K. Hurst, R. Reilinger, Z.-K. Shen, J. Svarc, and T. Baker (2002). Early postseismic deformation from the 16 October 1999 Mw 7.1 Hector Mine, California, earthquake as measured by survey-mode GPS, </w:t>
      </w:r>
      <w:r>
        <w:rPr>
          <w:i/>
        </w:rPr>
        <w:t>Bulletin of the Seismological Society of America</w:t>
      </w:r>
      <w:r>
        <w:rPr/>
        <w:t xml:space="preserve"> </w:t>
      </w:r>
      <w:r>
        <w:rPr>
          <w:b/>
        </w:rPr>
        <w:t>92</w:t>
      </w:r>
      <w:r>
        <w:rPr/>
        <w:t>, no. 4, 1423–1432, doi: 10.1785/0120000930.</w:t>
      </w:r>
    </w:p>
    <w:p>
      <w:pPr>
        <w:pStyle w:val="Bibliography1"/>
        <w:rPr/>
      </w:pPr>
      <w:r>
        <w:rPr/>
        <w:t xml:space="preserve">Rollins, C., S. Barbot, and J.-P. Avouac (2015). Postseismic deformation following the 2010 M = 7.2 El Mayor-Cucapah earthquake: Observations, kinematic inversions, and dynamic models, </w:t>
      </w:r>
      <w:r>
        <w:rPr>
          <w:i/>
        </w:rPr>
        <w:t>Pure Appl. Geophys.</w:t>
      </w:r>
      <w:r>
        <w:rPr/>
        <w:t xml:space="preserve"> </w:t>
      </w:r>
      <w:r>
        <w:rPr>
          <w:b/>
        </w:rPr>
        <w:t>172</w:t>
      </w:r>
      <w:r>
        <w:rPr/>
        <w:t>, no. 5, 1305–1358, doi: 10.1007/s00024-014-1005-6.</w:t>
      </w:r>
    </w:p>
    <w:p>
      <w:pPr>
        <w:pStyle w:val="Bibliography1"/>
        <w:rPr/>
      </w:pPr>
      <w:r>
        <w:rPr/>
        <w:t xml:space="preserve">Shen, Z.-K., R. W. King, D. C. Agnew, M. Wang, T. A. Herring, D. Dong, and P. Fang (2011). A unified analysis of crustal motion in Southern California, 1970–2004: The SCEC crustal motion map, </w:t>
      </w:r>
      <w:r>
        <w:rPr>
          <w:i/>
        </w:rPr>
        <w:t>J. Geophys. Res.</w:t>
      </w:r>
      <w:r>
        <w:rPr/>
        <w:t xml:space="preserve"> </w:t>
      </w:r>
      <w:r>
        <w:rPr>
          <w:b/>
        </w:rPr>
        <w:t>116</w:t>
      </w:r>
      <w:r>
        <w:rPr/>
        <w:t>, no. B11, B11402, doi: 10.1029/2011JB008549.</w:t>
      </w:r>
    </w:p>
    <w:p>
      <w:pPr>
        <w:pStyle w:val="Bibliography1"/>
        <w:spacing w:lineRule="atLeast" w:line="240" w:before="0" w:after="240"/>
        <w:ind w:left="720" w:right="0" w:hanging="720"/>
        <w:rPr/>
      </w:pPr>
      <w:r>
        <w:rPr/>
        <w:t xml:space="preserve">Wang, R., F. Lorenzo-Martín, and F. Roth (2006). PSGRN/PSCMP—a new code for calculating co- and post-seismic deformation, geoid and gravity changes based on the viscoelastic-gravitational dislocation theory, </w:t>
      </w:r>
      <w:r>
        <w:rPr>
          <w:i/>
        </w:rPr>
        <w:t>Computers &amp; Geosciences</w:t>
      </w:r>
      <w:r>
        <w:rPr/>
        <w:t xml:space="preserve"> </w:t>
      </w:r>
      <w:r>
        <w:rPr>
          <w:b/>
        </w:rPr>
        <w:t>32</w:t>
      </w:r>
      <w:r>
        <w:rPr/>
        <w:t>, no. 4, 527–541, doi: 10.1016/j.cageo.2005.08.006.</w:t>
      </w:r>
      <w:bookmarkStart w:id="40" w:name="__UnoMark__35310_4250909747"/>
      <w:bookmarkStart w:id="41" w:name="__UnoMark__34675_4250909747"/>
      <w:bookmarkEnd w:id="40"/>
      <w:bookmarkEnd w:id="41"/>
    </w:p>
    <w:p>
      <w:pPr>
        <w:sectPr>
          <w:type w:val="continuous"/>
          <w:pgSz w:w="11906" w:h="16838"/>
          <w:pgMar w:left="1134" w:right="1134" w:header="0" w:top="1134" w:footer="1134" w:bottom="1693" w:gutter="0"/>
          <w:formProt w:val="false"/>
          <w:textDirection w:val="lrTb"/>
          <w:docGrid w:type="default" w:linePitch="312" w:charSpace="4294961151"/>
        </w:sectPr>
      </w:pPr>
    </w:p>
    <w:sectPr>
      <w:type w:val="continuous"/>
      <w:pgSz w:w="11906" w:h="16838"/>
      <w:pgMar w:left="1134" w:right="1134" w:header="0" w:top="1134" w:footer="1134" w:bottom="1693"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Times New Roman">
    <w:charset w:val="00"/>
    <w:family w:val="roman"/>
    <w:pitch w:val="default"/>
  </w:font>
  <w:font w:name="Liberation Serif">
    <w:altName w:val="Times New Roman"/>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lang w:val="en-US"/>
      </w:rPr>
    </w:pPr>
    <w:r>
      <w:rPr>
        <w:lang w:val="en-US"/>
      </w:rPr>
      <w:t xml:space="preserve">         </w:t>
    </w:r>
  </w:p>
</w:ftr>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ans CJK SC" w:cs="Lohit Devanagari"/>
      <w:color w:val="auto"/>
      <w:kern w:val="2"/>
      <w:sz w:val="24"/>
      <w:szCs w:val="24"/>
      <w:lang w:val="en-US" w:eastAsia="zh-CN" w:bidi="hi-IN"/>
    </w:rPr>
  </w:style>
  <w:style w:type="character" w:styleId="FootnoteCharacters">
    <w:name w:val="Footnote Characters"/>
    <w:qFormat/>
    <w:rPr/>
  </w:style>
  <w:style w:type="character" w:styleId="FootnoteAnchor">
    <w:name w:val="Footnote Anchor"/>
    <w:rPr>
      <w:vertAlign w:val="superscript"/>
    </w:rPr>
  </w:style>
  <w:style w:type="character" w:styleId="LineNumbering">
    <w:name w:val="Line Numbering"/>
    <w:rPr/>
  </w:style>
  <w:style w:type="character" w:styleId="Emphasis">
    <w:name w:val="Emphasis"/>
    <w:qFormat/>
    <w:rPr>
      <w:i/>
      <w:iC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pPr>
      <w:suppressLineNumbers/>
      <w:ind w:left="339" w:right="0" w:hanging="339"/>
    </w:pPr>
    <w:rPr>
      <w:sz w:val="20"/>
      <w:szCs w:val="20"/>
    </w:rPr>
  </w:style>
  <w:style w:type="paragraph" w:styleId="HeaderandFooter">
    <w:name w:val="Header and Footer"/>
    <w:basedOn w:val="Normal"/>
    <w:qFormat/>
    <w:pPr>
      <w:suppressLineNumbers/>
      <w:tabs>
        <w:tab w:val="center" w:pos="4819" w:leader="none"/>
        <w:tab w:val="right" w:pos="9638" w:leader="none"/>
      </w:tabs>
    </w:pPr>
    <w:rPr/>
  </w:style>
  <w:style w:type="paragraph" w:styleId="Footer">
    <w:name w:val="Footer"/>
    <w:basedOn w:val="Normal"/>
    <w:pPr>
      <w:suppressLineNumbers/>
      <w:tabs>
        <w:tab w:val="center" w:pos="4819" w:leader="none"/>
        <w:tab w:val="right" w:pos="9638" w:leader="none"/>
      </w:tabs>
    </w:pPr>
    <w:rPr/>
  </w:style>
  <w:style w:type="paragraph" w:styleId="Header">
    <w:name w:val="Header"/>
    <w:basedOn w:val="Normal"/>
    <w:pPr>
      <w:suppressLineNumbers/>
      <w:tabs>
        <w:tab w:val="center" w:pos="4819" w:leader="none"/>
        <w:tab w:val="right" w:pos="9638" w:leader="none"/>
      </w:tabs>
    </w:pPr>
    <w:rPr/>
  </w:style>
  <w:style w:type="paragraph" w:styleId="Bibliography1">
    <w:name w:val="Bibliography 1"/>
    <w:basedOn w:val="Index"/>
    <w:qFormat/>
    <w:pPr>
      <w:spacing w:lineRule="atLeast" w:line="240" w:before="0" w:after="240"/>
      <w:ind w:left="720" w:right="0" w:hanging="72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3989</TotalTime>
  <Application>LibreOffice/6.0.7.3$Windows_X86_64 LibreOffice_project/dc89aa7a9eabfd848af146d5086077aeed2ae4a5</Application>
  <Pages>5</Pages>
  <Words>2439</Words>
  <Characters>13361</Characters>
  <CharactersWithSpaces>15758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2022-01-10T12:06:47Z</dcterms:created>
  <dc:creator/>
  <dc:description/>
  <dc:language>en-US</dc:language>
  <cp:lastModifiedBy/>
  <dcterms:modified xsi:type="dcterms:W3CDTF">2022-07-07T22:00:05Z</dcterms:modified>
  <cp:revision>144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id="VuWMB9Fi"/&gt;&lt;style id="http://www.zotero.org/styles/seismological-research-letters" hasBibliography="1" bibliographyStyleHasBeenSet="1"/&gt;&lt;prefs&gt;&lt;pref name="fieldType" value="ReferenceMark"/&gt;&lt;/prefs</vt:lpwstr>
  </property>
  <property fmtid="{D5CDD505-2E9C-101B-9397-08002B2CF9AE}" pid="3" name="ZOTERO_PREF_2">
    <vt:lpwstr>&gt;&lt;/data&gt;</vt:lpwstr>
  </property>
</Properties>
</file>