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rPr/>
      </w:pPr>
      <w:r>
        <w:rPr>
          <w:rFonts w:ascii="Times New Roman" w:hAnsi="Times New Roman"/>
          <w:lang w:val="en-US"/>
        </w:rPr>
        <w:t xml:space="preserve">We </w:t>
      </w:r>
      <w:r>
        <w:rPr>
          <w:rFonts w:ascii="Times New Roman" w:hAnsi="Times New Roman"/>
          <w:lang w:val="en-US"/>
        </w:rPr>
        <w:t xml:space="preserve">consider earthquakes with depth </w:t>
      </w:r>
      <w:r>
        <w:rPr>
          <w:rFonts w:eastAsia="Times New Roman" w:cs="Times New Roman" w:ascii="Times New Roman" w:hAnsi="Times New Roman"/>
          <w:lang w:val="en-US"/>
        </w:rPr>
        <w:t>≤</w:t>
      </w:r>
      <w:r>
        <w:rPr>
          <w:rFonts w:ascii="Times New Roman" w:hAnsi="Times New Roman"/>
          <w:lang w:val="en-US"/>
        </w:rPr>
        <w:t>30 km in</w:t>
      </w:r>
      <w:r>
        <w:rPr>
          <w:rFonts w:ascii="Times New Roman" w:hAnsi="Times New Roman"/>
          <w:lang w:val="en-US"/>
        </w:rPr>
        <w:t xml:space="preserve"> the ANSS/Comcat catalog </w:t>
      </w:r>
      <w:bookmarkStart w:id="0" w:name="__UnoMark__35685_4250909747"/>
      <w:r>
        <w:rPr>
          <w:rFonts w:ascii="Times New Roman" w:hAnsi="Times New Roman"/>
          <w:lang w:val="en-US"/>
        </w:rPr>
        <w:t>(US. Geological Survey, 2017)</w:t>
      </w:r>
      <w:bookmarkEnd w:id="0"/>
      <w:r>
        <w:rPr>
          <w:rFonts w:ascii="Times New Roman" w:hAnsi="Times New Roman"/>
          <w:lang w:val="en-US"/>
        </w:rPr>
        <w:t xml:space="preserve"> from </w:t>
      </w:r>
      <w:r>
        <w:rPr>
          <w:rFonts w:ascii="Times New Roman" w:hAnsi="Times New Roman"/>
          <w:lang w:val="en-US"/>
        </w:rPr>
        <w:t>2003</w:t>
      </w:r>
      <w:r>
        <w:rPr>
          <w:rFonts w:ascii="Times New Roman" w:hAnsi="Times New Roman"/>
          <w:lang w:val="en-US"/>
        </w:rPr>
        <w:t xml:space="preserve">-2020 (inclusive). </w:t>
      </w:r>
      <w:r>
        <w:rPr>
          <w:rFonts w:ascii="Times New Roman" w:hAnsi="Times New Roman"/>
          <w:lang w:val="en-US"/>
        </w:rPr>
        <w:t>Based on a version of the same catalog starting in 1984, e</w:t>
      </w:r>
      <w:r>
        <w:rPr>
          <w:rFonts w:ascii="Times New Roman" w:hAnsi="Times New Roman"/>
          <w:lang w:val="en-US"/>
        </w:rPr>
        <w:t xml:space="preserve">vents were identified as either independent </w:t>
      </w:r>
      <w:r>
        <w:rPr>
          <w:rFonts w:ascii="Times New Roman" w:hAnsi="Times New Roman"/>
          <w:lang w:val="en-US"/>
        </w:rPr>
        <w:t xml:space="preserve">(i.e., main shocks) </w:t>
      </w:r>
      <w:r>
        <w:rPr>
          <w:rFonts w:ascii="Times New Roman" w:hAnsi="Times New Roman"/>
          <w:lang w:val="en-US"/>
        </w:rPr>
        <w:t xml:space="preserve">or dependent using the statistical cluster analysis of </w:t>
      </w:r>
      <w:bookmarkStart w:id="1" w:name="__UnoMark__35686_4250909747"/>
      <w:r>
        <w:rPr>
          <w:rFonts w:ascii="Times New Roman" w:hAnsi="Times New Roman"/>
          <w:b w:val="false"/>
          <w:caps w:val="false"/>
          <w:smallCaps w:val="false"/>
          <w:position w:val="0"/>
          <w:sz w:val="24"/>
          <w:u w:val="none"/>
          <w:vertAlign w:val="baseline"/>
          <w:lang w:val="en-US"/>
        </w:rPr>
        <w:t xml:space="preserve">(Zaliapin </w:t>
      </w:r>
      <w:r>
        <w:rPr>
          <w:b w:val="false"/>
          <w:i/>
          <w:caps w:val="false"/>
          <w:smallCaps w:val="false"/>
          <w:position w:val="0"/>
          <w:sz w:val="24"/>
          <w:u w:val="none"/>
          <w:vertAlign w:val="baseline"/>
        </w:rPr>
        <w:t>et al.</w:t>
      </w:r>
      <w:r>
        <w:rPr>
          <w:b w:val="false"/>
          <w:caps w:val="false"/>
          <w:smallCaps w:val="false"/>
          <w:position w:val="0"/>
          <w:sz w:val="24"/>
          <w:u w:val="none"/>
          <w:vertAlign w:val="baseline"/>
        </w:rPr>
        <w:t>, 2008; Zaliapin and Ben-Zion, 2013, 2016)</w:t>
      </w:r>
      <w:bookmarkEnd w:id="1"/>
      <w:r>
        <w:rPr>
          <w:rFonts w:ascii="Times New Roman" w:hAnsi="Times New Roman"/>
          <w:lang w:val="en-US"/>
        </w:rPr>
        <w:t xml:space="preserve">. </w:t>
      </w:r>
      <w:r>
        <w:rPr>
          <w:rFonts w:ascii="Times New Roman" w:hAnsi="Times New Roman"/>
          <w:lang w:val="en-US"/>
        </w:rPr>
        <w:t>This analysis on a threshold</w:t>
      </w:r>
      <w:r>
        <w:rPr>
          <w:rFonts w:ascii="Times New Roman" w:hAnsi="Times New Roman"/>
          <w:b w:val="false"/>
          <w:bCs w:val="false"/>
          <w:lang w:val="en-US"/>
        </w:rPr>
        <w:t xml:space="preserve"> parameter (</w:t>
      </w:r>
      <w:r>
        <w:rPr>
          <w:rFonts w:ascii="Liberation Serif" w:hAnsi="Liberation Serif"/>
          <w:b w:val="false"/>
          <w:bCs w:val="false"/>
          <w:lang w:val="en-US"/>
        </w:rPr>
        <w:t>α</w:t>
      </w:r>
      <w:r>
        <w:rPr>
          <w:rFonts w:ascii="Times New Roman" w:hAnsi="Times New Roman"/>
          <w:b w:val="false"/>
          <w:bCs w:val="false"/>
          <w:lang w:val="en-US"/>
        </w:rPr>
        <w:t xml:space="preserve">), </w:t>
      </w:r>
      <w:r>
        <w:rPr>
          <w:rFonts w:ascii="Times New Roman" w:hAnsi="Times New Roman"/>
          <w:b w:val="false"/>
          <w:bCs w:val="false"/>
          <w:lang w:val="en-US"/>
        </w:rPr>
        <w:t>and the lower this value the more events are identified</w:t>
      </w:r>
      <w:r>
        <w:rPr>
          <w:rFonts w:ascii="Times New Roman" w:hAnsi="Times New Roman"/>
          <w:b w:val="false"/>
          <w:bCs w:val="false"/>
          <w:lang w:val="en-US"/>
        </w:rPr>
        <w:t xml:space="preserve"> as being dependent. </w:t>
      </w:r>
      <w:r>
        <w:rPr>
          <w:rFonts w:ascii="Times New Roman" w:hAnsi="Times New Roman"/>
          <w:b w:val="false"/>
          <w:bCs w:val="false"/>
          <w:lang w:val="en-US"/>
        </w:rPr>
        <w:t xml:space="preserve">We consider </w:t>
      </w:r>
      <w:r>
        <w:rPr>
          <w:rFonts w:ascii="Liberation Serif" w:hAnsi="Liberation Serif"/>
          <w:b w:val="false"/>
          <w:bCs w:val="false"/>
          <w:lang w:val="en-US"/>
        </w:rPr>
        <w:t>α</w:t>
      </w:r>
      <w:r>
        <w:rPr>
          <w:rFonts w:ascii="Times New Roman" w:hAnsi="Times New Roman"/>
          <w:b w:val="false"/>
          <w:bCs w:val="false"/>
          <w:lang w:val="en-US"/>
        </w:rPr>
        <w:t xml:space="preserve">=0.05, </w:t>
      </w:r>
      <w:r>
        <w:rPr>
          <w:rFonts w:ascii="Liberation Serif" w:hAnsi="Liberation Serif"/>
          <w:b w:val="false"/>
          <w:bCs w:val="false"/>
          <w:lang w:val="en-US"/>
        </w:rPr>
        <w:t xml:space="preserve">α=0.1, </w:t>
      </w:r>
      <w:r>
        <w:rPr>
          <w:rFonts w:ascii="Liberation Serif" w:hAnsi="Liberation Serif"/>
          <w:b w:val="false"/>
          <w:bCs w:val="false"/>
          <w:lang w:val="en-US"/>
        </w:rPr>
        <w:t>and</w:t>
      </w:r>
      <w:r>
        <w:rPr>
          <w:rFonts w:ascii="Liberation Serif" w:hAnsi="Liberation Serif"/>
          <w:b w:val="false"/>
          <w:bCs w:val="false"/>
          <w:lang w:val="en-US"/>
        </w:rPr>
        <w:t xml:space="preserve"> α=0.15</w:t>
      </w:r>
      <w:r>
        <w:rPr>
          <w:rFonts w:ascii="Times New Roman" w:hAnsi="Times New Roman"/>
          <w:b w:val="false"/>
          <w:bCs w:val="false"/>
          <w:lang w:val="en-US"/>
        </w:rPr>
        <w:t xml:space="preserve">, and we </w:t>
      </w:r>
      <w:r>
        <w:rPr>
          <w:rFonts w:ascii="Times New Roman" w:hAnsi="Times New Roman"/>
          <w:b w:val="false"/>
          <w:bCs w:val="false"/>
          <w:lang w:val="en-US"/>
        </w:rPr>
        <w:t>present earthquake rate densities based on dependent and independent events separately.</w:t>
      </w:r>
    </w:p>
    <w:p>
      <w:pPr>
        <w:pStyle w:val="Normal"/>
        <w:spacing w:lineRule="auto" w:line="240"/>
        <w:rPr>
          <w:rFonts w:ascii="Times New Roman" w:hAnsi="Times New Roman"/>
          <w:lang w:val="en-US"/>
        </w:rPr>
      </w:pPr>
      <w:r>
        <w:rPr/>
      </w:r>
    </w:p>
    <w:p>
      <w:pPr>
        <w:pStyle w:val="Normal"/>
        <w:spacing w:lineRule="auto" w:line="240"/>
        <w:rPr/>
      </w:pPr>
      <w:r>
        <w:rPr>
          <w:rFonts w:ascii="Times New Roman" w:hAnsi="Times New Roman"/>
          <w:lang w:val="en-US"/>
        </w:rPr>
        <w:t xml:space="preserve">We consider all events with a magnitude of </w:t>
      </w:r>
      <w:r>
        <w:rPr>
          <w:rFonts w:ascii="Times New Roman" w:hAnsi="Times New Roman"/>
          <w:lang w:val="en-US"/>
        </w:rPr>
        <w:t>2.0</w:t>
      </w:r>
      <w:r>
        <w:rPr>
          <w:rFonts w:ascii="Times New Roman" w:hAnsi="Times New Roman"/>
          <w:lang w:val="en-US"/>
        </w:rPr>
        <w:t xml:space="preserve"> and larger. </w:t>
      </w:r>
      <w:r>
        <w:rPr>
          <w:rFonts w:ascii="Times New Roman" w:hAnsi="Times New Roman"/>
          <w:lang w:val="en-US"/>
        </w:rPr>
        <w:t>Based on the independent events, w</w:t>
      </w:r>
      <w:r>
        <w:rPr>
          <w:rFonts w:ascii="Times New Roman" w:hAnsi="Times New Roman"/>
          <w:lang w:val="en-US"/>
        </w:rPr>
        <w:t>e find that the overall completeness magnitude for our considered area and time-span is 1.</w:t>
      </w:r>
      <w:r>
        <w:rPr>
          <w:rFonts w:ascii="Times New Roman" w:hAnsi="Times New Roman"/>
          <w:lang w:val="en-US"/>
        </w:rPr>
        <w:t>8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(using the MAXC approach of picking magnitude bin with most events </w:t>
      </w:r>
      <w:bookmarkStart w:id="2" w:name="__UnoMark__35687_4250909747"/>
      <w:r>
        <w:rPr>
          <w:rFonts w:ascii="Times New Roman" w:hAnsi="Times New Roman"/>
          <w:lang w:val="en-US"/>
        </w:rPr>
        <w:t>(Wiemer and Wyss, 2000)</w:t>
      </w:r>
      <w:bookmarkEnd w:id="2"/>
      <w:r>
        <w:rPr>
          <w:rFonts w:ascii="Times New Roman" w:hAnsi="Times New Roman"/>
          <w:lang w:val="en-US"/>
        </w:rPr>
        <w:t>).</w:t>
      </w:r>
      <w:r>
        <w:rPr>
          <w:rFonts w:ascii="Times New Roman" w:hAnsi="Times New Roman"/>
          <w:lang w:val="en-US"/>
        </w:rPr>
        <w:t xml:space="preserve"> A separate analysis for </w:t>
      </w:r>
      <w:r>
        <w:rPr>
          <w:rFonts w:ascii="Times New Roman" w:hAnsi="Times New Roman"/>
          <w:lang w:val="en-US"/>
        </w:rPr>
        <w:t>the area east of the longitude of the Wasatch Fault</w:t>
      </w:r>
      <w:r>
        <w:rPr>
          <w:rFonts w:ascii="Times New Roman" w:hAnsi="Times New Roman"/>
          <w:lang w:val="en-US"/>
        </w:rPr>
        <w:t xml:space="preserve"> gives a </w:t>
      </w:r>
      <w:r>
        <w:rPr>
          <w:rFonts w:ascii="Times New Roman" w:hAnsi="Times New Roman"/>
          <w:lang w:val="en-US"/>
        </w:rPr>
        <w:t xml:space="preserve">MAXC </w:t>
      </w:r>
      <w:r>
        <w:rPr>
          <w:rFonts w:ascii="Times New Roman" w:hAnsi="Times New Roman"/>
          <w:lang w:val="en-US"/>
        </w:rPr>
        <w:t>completeness magnitude of 1.</w:t>
      </w:r>
      <w:r>
        <w:rPr>
          <w:rFonts w:ascii="Times New Roman" w:hAnsi="Times New Roman"/>
          <w:lang w:val="en-US"/>
        </w:rPr>
        <w:t xml:space="preserve">8. 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  <w:lang w:val="en-US"/>
        </w:rPr>
        <w:t xml:space="preserve">his </w:t>
      </w:r>
      <w:r>
        <w:rPr>
          <w:rFonts w:ascii="Times New Roman" w:hAnsi="Times New Roman"/>
          <w:lang w:val="en-US"/>
        </w:rPr>
        <w:t xml:space="preserve">may </w:t>
      </w:r>
      <w:r>
        <w:rPr>
          <w:rFonts w:ascii="Times New Roman" w:hAnsi="Times New Roman"/>
          <w:lang w:val="en-US"/>
        </w:rPr>
        <w:t xml:space="preserve">suggest that there may not be significant heterogeneity in completeness across our study area (for this time-frame), </w:t>
      </w:r>
      <w:r>
        <w:rPr>
          <w:rFonts w:ascii="Times New Roman" w:hAnsi="Times New Roman"/>
          <w:lang w:val="en-US"/>
        </w:rPr>
        <w:t>but</w:t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we still </w:t>
      </w:r>
      <w:r>
        <w:rPr>
          <w:rFonts w:ascii="Times New Roman" w:hAnsi="Times New Roman"/>
          <w:lang w:val="en-US"/>
        </w:rPr>
        <w:t xml:space="preserve">add 0.2 to </w:t>
      </w:r>
      <w:r>
        <w:rPr>
          <w:rFonts w:ascii="Times New Roman" w:hAnsi="Times New Roman"/>
          <w:lang w:val="en-US"/>
        </w:rPr>
        <w:t xml:space="preserve">the found completeness magnitude </w:t>
      </w:r>
      <w:r>
        <w:rPr>
          <w:rFonts w:ascii="Times New Roman" w:hAnsi="Times New Roman"/>
          <w:lang w:val="en-US"/>
        </w:rPr>
        <w:t xml:space="preserve">to </w:t>
      </w:r>
      <w:r>
        <w:rPr>
          <w:rFonts w:ascii="Times New Roman" w:hAnsi="Times New Roman"/>
          <w:lang w:val="en-US"/>
        </w:rPr>
        <w:t xml:space="preserve">account for any </w:t>
      </w:r>
      <w:r>
        <w:rPr>
          <w:rFonts w:ascii="Times New Roman" w:hAnsi="Times New Roman"/>
          <w:lang w:val="en-US"/>
        </w:rPr>
        <w:t xml:space="preserve">heterogeneity in the catalog </w:t>
      </w:r>
      <w:bookmarkStart w:id="3" w:name="__UnoMark__35688_4250909747"/>
      <w:r>
        <w:rPr>
          <w:rFonts w:ascii="Times New Roman" w:hAnsi="Times New Roman"/>
          <w:lang w:val="en-US"/>
        </w:rPr>
        <w:t>(Woessner and Wiemer, 2005)</w:t>
      </w:r>
      <w:bookmarkEnd w:id="3"/>
      <w:r>
        <w:rPr>
          <w:rFonts w:ascii="Times New Roman" w:hAnsi="Times New Roman"/>
          <w:lang w:val="en-US"/>
        </w:rPr>
        <w:t>.</w:t>
      </w:r>
    </w:p>
    <w:p>
      <w:pPr>
        <w:pStyle w:val="Normal"/>
        <w:spacing w:lineRule="auto" w:line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spacing w:lineRule="auto" w:line="240"/>
        <w:rPr/>
      </w:pPr>
      <w:r>
        <w:rPr>
          <w:lang w:val="en-US"/>
        </w:rPr>
        <w:t xml:space="preserve">We exclude seismicity for a few selected areas: </w:t>
      </w:r>
      <w:r>
        <w:rPr>
          <w:lang w:val="en-US"/>
        </w:rPr>
        <w:t xml:space="preserve">1) </w:t>
      </w:r>
      <w:r>
        <w:rPr>
          <w:lang w:val="en-US"/>
        </w:rPr>
        <w:t xml:space="preserve">Long Valley </w:t>
      </w:r>
      <w:r>
        <w:rPr>
          <w:lang w:val="en-US"/>
        </w:rPr>
        <w:t>and Yellowstone</w:t>
      </w:r>
      <w:r>
        <w:rPr>
          <w:lang w:val="en-US"/>
        </w:rPr>
        <w:t xml:space="preserve"> (where we also exclude GPS data), </w:t>
      </w:r>
      <w:r>
        <w:rPr>
          <w:lang w:val="en-US"/>
        </w:rPr>
        <w:t xml:space="preserve">2) </w:t>
      </w:r>
      <w:r>
        <w:rPr>
          <w:lang w:val="en-US"/>
        </w:rPr>
        <w:t xml:space="preserve">the induced seismicity areas near Raton (New Mexico/Colorado border) </w:t>
      </w:r>
      <w:bookmarkStart w:id="4" w:name="__UnoMark__35689_4250909747"/>
      <w:r>
        <w:rPr>
          <w:b w:val="false"/>
          <w:caps w:val="false"/>
          <w:smallCaps w:val="false"/>
          <w:position w:val="0"/>
          <w:sz w:val="24"/>
          <w:u w:val="none"/>
          <w:vertAlign w:val="baseline"/>
          <w:lang w:val="en-US"/>
        </w:rPr>
        <w:t xml:space="preserve">(Glasgow </w:t>
      </w:r>
      <w:r>
        <w:rPr>
          <w:b w:val="false"/>
          <w:i/>
          <w:caps w:val="false"/>
          <w:smallCaps w:val="false"/>
          <w:position w:val="0"/>
          <w:sz w:val="24"/>
          <w:u w:val="none"/>
          <w:vertAlign w:val="baseline"/>
        </w:rPr>
        <w:t>et al.</w:t>
      </w:r>
      <w:r>
        <w:rPr>
          <w:b w:val="false"/>
          <w:caps w:val="false"/>
          <w:smallCaps w:val="false"/>
          <w:position w:val="0"/>
          <w:sz w:val="24"/>
          <w:u w:val="none"/>
          <w:vertAlign w:val="baseline"/>
        </w:rPr>
        <w:t>, 2021)</w:t>
      </w:r>
      <w:bookmarkEnd w:id="4"/>
      <w:r>
        <w:rPr>
          <w:lang w:val="en-US"/>
        </w:rPr>
        <w:t xml:space="preserve"> </w:t>
      </w:r>
      <w:r>
        <w:rPr>
          <w:lang w:val="en-US"/>
        </w:rPr>
        <w:t>and</w:t>
      </w:r>
      <w:r>
        <w:rPr>
          <w:lang w:val="en-US"/>
        </w:rPr>
        <w:t xml:space="preserve"> in the Delaware Basin (west Texas) </w:t>
      </w:r>
      <w:bookmarkStart w:id="5" w:name="__UnoMark__35690_4250909747"/>
      <w:r>
        <w:rPr>
          <w:b w:val="false"/>
          <w:caps w:val="false"/>
          <w:smallCaps w:val="false"/>
          <w:position w:val="0"/>
          <w:sz w:val="24"/>
          <w:u w:val="none"/>
          <w:vertAlign w:val="baseline"/>
          <w:lang w:val="en-US"/>
        </w:rPr>
        <w:t xml:space="preserve">(Savvaidis </w:t>
      </w:r>
      <w:r>
        <w:rPr>
          <w:b w:val="false"/>
          <w:i/>
          <w:caps w:val="false"/>
          <w:smallCaps w:val="false"/>
          <w:position w:val="0"/>
          <w:sz w:val="24"/>
          <w:u w:val="none"/>
          <w:vertAlign w:val="baseline"/>
        </w:rPr>
        <w:t>et al.</w:t>
      </w:r>
      <w:r>
        <w:rPr>
          <w:b w:val="false"/>
          <w:caps w:val="false"/>
          <w:smallCaps w:val="false"/>
          <w:position w:val="0"/>
          <w:sz w:val="24"/>
          <w:u w:val="none"/>
          <w:vertAlign w:val="baseline"/>
        </w:rPr>
        <w:t>, 2020)</w:t>
      </w:r>
      <w:bookmarkEnd w:id="5"/>
      <w:r>
        <w:rPr>
          <w:lang w:val="en-US"/>
        </w:rPr>
        <w:t xml:space="preserve">, </w:t>
      </w:r>
      <w:r>
        <w:rPr>
          <w:lang w:val="en-US"/>
        </w:rPr>
        <w:t xml:space="preserve">3) </w:t>
      </w:r>
      <w:r>
        <w:rPr>
          <w:lang w:val="en-US"/>
        </w:rPr>
        <w:t xml:space="preserve">the region around the 1872 Entiat </w:t>
      </w:r>
      <w:r>
        <w:rPr>
          <w:lang w:val="en-US"/>
        </w:rPr>
        <w:t>(</w:t>
      </w:r>
      <w:r>
        <w:rPr>
          <w:lang w:val="en-US"/>
        </w:rPr>
        <w:t>Washington State</w:t>
      </w:r>
      <w:r>
        <w:rPr>
          <w:lang w:val="en-US"/>
        </w:rPr>
        <w:t>)</w:t>
      </w:r>
      <w:r>
        <w:rPr>
          <w:lang w:val="en-US"/>
        </w:rPr>
        <w:t xml:space="preserve"> </w:t>
      </w:r>
      <w:r>
        <w:rPr>
          <w:lang w:val="en-US"/>
        </w:rPr>
        <w:t xml:space="preserve">and 1983 </w:t>
      </w:r>
      <w:r>
        <w:rPr>
          <w:b w:val="false"/>
          <w:bCs w:val="false"/>
          <w:i/>
          <w:iCs/>
          <w:lang w:val="en-US" w:eastAsia="zh-CN" w:bidi="hi-IN"/>
        </w:rPr>
        <w:t>m</w:t>
      </w:r>
      <w:r>
        <w:rPr>
          <w:b w:val="false"/>
          <w:bCs w:val="false"/>
          <w:vertAlign w:val="subscript"/>
          <w:lang w:val="en-US" w:eastAsia="zh-CN" w:bidi="hi-IN"/>
        </w:rPr>
        <w:t>w</w:t>
      </w:r>
      <w:r>
        <w:rPr>
          <w:b w:val="false"/>
          <w:bCs w:val="false"/>
          <w:lang w:val="en-US" w:eastAsia="zh-CN" w:bidi="hi-IN"/>
        </w:rPr>
        <w:t xml:space="preserve">=6.9 </w:t>
      </w:r>
      <w:r>
        <w:rPr>
          <w:lang w:val="en-US"/>
        </w:rPr>
        <w:t>Borah Peak (Idaho) earthquakes</w:t>
      </w:r>
      <w:r>
        <w:rPr>
          <w:lang w:val="en-US"/>
        </w:rPr>
        <w:t xml:space="preserve">, which </w:t>
      </w:r>
      <w:r>
        <w:rPr>
          <w:lang w:val="en-US"/>
        </w:rPr>
        <w:t xml:space="preserve">both </w:t>
      </w:r>
      <w:r>
        <w:rPr>
          <w:lang w:val="en-US"/>
        </w:rPr>
        <w:t>ha</w:t>
      </w:r>
      <w:r>
        <w:rPr>
          <w:lang w:val="en-US"/>
        </w:rPr>
        <w:t>ve</w:t>
      </w:r>
      <w:r>
        <w:rPr>
          <w:lang w:val="en-US"/>
        </w:rPr>
        <w:t xml:space="preserve"> been interpreted as having prolonged aftershock sequence</w:t>
      </w:r>
      <w:r>
        <w:rPr>
          <w:lang w:val="en-US"/>
        </w:rPr>
        <w:t>s</w:t>
      </w:r>
      <w:r>
        <w:rPr>
          <w:lang w:val="en-US"/>
        </w:rPr>
        <w:t xml:space="preserve"> </w:t>
      </w:r>
      <w:bookmarkStart w:id="6" w:name="__UnoMark__35691_4250909747"/>
      <w:r>
        <w:rPr>
          <w:b w:val="false"/>
          <w:caps w:val="false"/>
          <w:smallCaps w:val="false"/>
          <w:position w:val="0"/>
          <w:sz w:val="24"/>
          <w:u w:val="none"/>
          <w:vertAlign w:val="baseline"/>
          <w:lang w:val="en-US"/>
        </w:rPr>
        <w:t xml:space="preserve">(Brocher </w:t>
      </w:r>
      <w:r>
        <w:rPr>
          <w:b w:val="false"/>
          <w:i/>
          <w:caps w:val="false"/>
          <w:smallCaps w:val="false"/>
          <w:position w:val="0"/>
          <w:sz w:val="24"/>
          <w:u w:val="none"/>
          <w:vertAlign w:val="baseline"/>
        </w:rPr>
        <w:t>et al.</w:t>
      </w:r>
      <w:r>
        <w:rPr>
          <w:b w:val="false"/>
          <w:caps w:val="false"/>
          <w:smallCaps w:val="false"/>
          <w:position w:val="0"/>
          <w:sz w:val="24"/>
          <w:u w:val="none"/>
          <w:vertAlign w:val="baseline"/>
        </w:rPr>
        <w:t xml:space="preserve">, 2017; Pang </w:t>
      </w:r>
      <w:r>
        <w:rPr>
          <w:b w:val="false"/>
          <w:i/>
          <w:caps w:val="false"/>
          <w:smallCaps w:val="false"/>
          <w:position w:val="0"/>
          <w:sz w:val="24"/>
          <w:u w:val="none"/>
          <w:vertAlign w:val="baseline"/>
        </w:rPr>
        <w:t>et al.</w:t>
      </w:r>
      <w:r>
        <w:rPr>
          <w:b w:val="false"/>
          <w:caps w:val="false"/>
          <w:smallCaps w:val="false"/>
          <w:position w:val="0"/>
          <w:sz w:val="24"/>
          <w:u w:val="none"/>
          <w:vertAlign w:val="baseline"/>
        </w:rPr>
        <w:t>, 2018)</w:t>
      </w:r>
      <w:bookmarkEnd w:id="6"/>
      <w:r>
        <w:rPr>
          <w:lang w:val="en-US"/>
        </w:rPr>
        <w:t xml:space="preserve"> </w:t>
      </w:r>
      <w:r>
        <w:rPr>
          <w:lang w:val="en-US"/>
        </w:rPr>
        <w:t xml:space="preserve">that have </w:t>
      </w:r>
      <w:r>
        <w:rPr>
          <w:lang w:val="en-US"/>
        </w:rPr>
        <w:t xml:space="preserve">not been recognized as such by the declustering algorithm </w:t>
      </w:r>
      <w:r>
        <w:rPr>
          <w:lang w:val="en-US"/>
        </w:rPr>
        <w:t xml:space="preserve">(which is based on catalog </w:t>
      </w:r>
      <w:r>
        <w:rPr>
          <w:lang w:val="en-US"/>
        </w:rPr>
        <w:t xml:space="preserve">that </w:t>
      </w:r>
      <w:r>
        <w:rPr>
          <w:lang w:val="en-US"/>
        </w:rPr>
        <w:t>start</w:t>
      </w:r>
      <w:r>
        <w:rPr>
          <w:lang w:val="en-US"/>
        </w:rPr>
        <w:t>s</w:t>
      </w:r>
      <w:r>
        <w:rPr>
          <w:lang w:val="en-US"/>
        </w:rPr>
        <w:t xml:space="preserve"> after these events)</w:t>
      </w:r>
      <w:r>
        <w:rPr>
          <w:lang w:val="en-US"/>
        </w:rPr>
        <w:t xml:space="preserve">, </w:t>
      </w:r>
      <w:r>
        <w:rPr>
          <w:lang w:val="en-US"/>
        </w:rPr>
        <w:t xml:space="preserve">and 4) deep crustal earthquakes underneath the stable Sierra Nevada mountains </w:t>
      </w:r>
      <w:bookmarkStart w:id="7" w:name="__UnoMark__35692_4250909747"/>
      <w:r>
        <w:rPr>
          <w:b w:val="false"/>
          <w:caps w:val="false"/>
          <w:smallCaps w:val="false"/>
          <w:position w:val="0"/>
          <w:sz w:val="24"/>
          <w:u w:val="none"/>
          <w:vertAlign w:val="baseline"/>
          <w:lang w:val="en-US"/>
        </w:rPr>
        <w:t xml:space="preserve">(Wong and Savage, 1983; Ryan </w:t>
      </w:r>
      <w:r>
        <w:rPr>
          <w:b w:val="false"/>
          <w:i/>
          <w:caps w:val="false"/>
          <w:smallCaps w:val="false"/>
          <w:position w:val="0"/>
          <w:sz w:val="24"/>
          <w:u w:val="none"/>
          <w:vertAlign w:val="baseline"/>
        </w:rPr>
        <w:t>et al.</w:t>
      </w:r>
      <w:r>
        <w:rPr>
          <w:b w:val="false"/>
          <w:caps w:val="false"/>
          <w:smallCaps w:val="false"/>
          <w:position w:val="0"/>
          <w:sz w:val="24"/>
          <w:u w:val="none"/>
          <w:vertAlign w:val="baseline"/>
        </w:rPr>
        <w:t>, 2020)</w:t>
      </w:r>
      <w:bookmarkEnd w:id="7"/>
      <w:r>
        <w:rPr>
          <w:lang w:val="en-US"/>
        </w:rPr>
        <w:t>.</w:t>
      </w:r>
    </w:p>
    <w:p>
      <w:pPr>
        <w:pStyle w:val="Normal"/>
        <w:spacing w:lineRule="auto" w:line="24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/>
        <w:rPr>
          <w:lang w:val="en-US"/>
        </w:rPr>
      </w:pPr>
      <w:r>
        <w:rPr>
          <w:lang w:val="en-US"/>
        </w:rPr>
        <w:t xml:space="preserve">To infer the relative spatial variability in seismicity, we create a earthquake rate density map as follows. For each midpoint of the grid used in the strain rate analysis, we consider the nearest </w:t>
      </w:r>
      <w:r>
        <w:rPr>
          <w:i/>
          <w:iCs/>
          <w:lang w:val="en-US"/>
        </w:rPr>
        <w:t>N</w:t>
      </w:r>
      <w:r>
        <w:rPr>
          <w:lang w:val="en-US"/>
        </w:rPr>
        <w:t xml:space="preserve"> earthquakes. We give each event a weight (</w:t>
      </w:r>
      <w:r>
        <w:rPr>
          <w:i/>
          <w:iCs/>
          <w:lang w:val="en-US"/>
        </w:rPr>
        <w:t>w</w:t>
      </w:r>
      <w:r>
        <w:rPr>
          <w:lang w:val="en-US"/>
        </w:rPr>
        <w:t>), which is a function of its distance to the grid point (</w:t>
      </w:r>
      <w:r>
        <w:rPr>
          <w:i/>
          <w:iCs/>
          <w:lang w:val="en-US"/>
        </w:rPr>
        <w:t>r</w:t>
      </w:r>
      <w:r>
        <w:rPr>
          <w:lang w:val="en-US"/>
        </w:rPr>
        <w:t xml:space="preserve">) and the distance from the grid point to the farthest of the </w:t>
      </w:r>
      <w:r>
        <w:rPr>
          <w:i/>
          <w:iCs/>
          <w:lang w:val="en-US"/>
        </w:rPr>
        <w:t>N</w:t>
      </w:r>
      <w:r>
        <w:rPr>
          <w:lang w:val="en-US"/>
        </w:rPr>
        <w:t xml:space="preserve"> events (</w:t>
      </w:r>
      <w:r>
        <w:rPr>
          <w:i/>
          <w:iCs/>
          <w:lang w:val="en-US"/>
        </w:rPr>
        <w:t>r</w:t>
      </w:r>
      <w:r>
        <w:rPr>
          <w:vertAlign w:val="subscript"/>
          <w:lang w:val="en-US"/>
        </w:rPr>
        <w:t>max</w:t>
      </w:r>
      <w:r>
        <w:rPr>
          <w:lang w:val="en-US"/>
        </w:rPr>
        <w:t xml:space="preserve">): </w:t>
      </w:r>
      <w:r>
        <w:rPr>
          <w:lang w:val="en-US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f>
          <m:fPr>
            <m:type m:val="lin"/>
          </m:fPr>
          <m:num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</w:rPr>
                  <m:t xml:space="preserve">max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den>
        </m:f>
      </m:oMath>
      <w:r>
        <w:rPr>
          <w:lang w:val="en-US"/>
        </w:rPr>
        <w:t xml:space="preserve"> . The sum of the weights is then divided by the time period considered and by a representation of area (i.e., </w:t>
      </w:r>
      <w:r>
        <w:rPr>
          <w:rFonts w:ascii="Liberation Serif" w:hAnsi="Liberation Serif"/>
          <w:lang w:val="en-US"/>
        </w:rPr>
        <w:t>π</w:t>
      </w:r>
      <w:r>
        <w:rPr>
          <w:rFonts w:ascii="Liberation Serif" w:hAnsi="Liberation Serif"/>
          <w:lang w:val="en-US"/>
        </w:rPr>
        <w:t>[(1-</w:t>
      </w:r>
      <w:r>
        <w:rPr>
          <w:rFonts w:ascii="Liberation Serif" w:hAnsi="Liberation Serif"/>
          <w:lang w:val="en-US"/>
        </w:rPr>
        <w:t>Σ</w:t>
      </w:r>
      <w:r>
        <w:rPr>
          <w:rFonts w:ascii="Liberation Serif" w:hAnsi="Liberation Serif"/>
          <w:i/>
          <w:iCs/>
          <w:lang w:val="en-US"/>
        </w:rPr>
        <w:t>w</w:t>
      </w:r>
      <w:r>
        <w:rPr>
          <w:rFonts w:ascii="Liberation Serif" w:hAnsi="Liberation Serif"/>
          <w:lang w:val="en-US"/>
        </w:rPr>
        <w:t>/</w:t>
      </w:r>
      <w:r>
        <w:rPr>
          <w:rFonts w:ascii="Liberation Serif" w:hAnsi="Liberation Serif"/>
          <w:i/>
          <w:iCs/>
          <w:lang w:val="en-US"/>
        </w:rPr>
        <w:t>N</w:t>
      </w:r>
      <w:r>
        <w:rPr>
          <w:rFonts w:ascii="Liberation Serif" w:hAnsi="Liberation Serif"/>
          <w:lang w:val="en-US"/>
        </w:rPr>
        <w:t>)</w:t>
      </w:r>
      <w:r>
        <w:rPr>
          <w:rFonts w:ascii="Liberation Serif" w:hAnsi="Liberation Serif"/>
          <w:i/>
          <w:iCs/>
          <w:lang w:val="en-US"/>
        </w:rPr>
        <w:t>r</w:t>
      </w:r>
      <w:r>
        <w:rPr>
          <w:i/>
          <w:iCs/>
          <w:vertAlign w:val="subscript"/>
          <w:lang w:val="en-US"/>
        </w:rPr>
        <w:t>max</w:t>
      </w:r>
      <w:r>
        <w:rPr>
          <w:i w:val="false"/>
          <w:iCs w:val="false"/>
          <w:position w:val="0"/>
          <w:sz w:val="24"/>
          <w:vertAlign w:val="baseline"/>
          <w:lang w:val="en-US"/>
        </w:rPr>
        <w:t>]</w:t>
      </w:r>
      <w:r>
        <w:rPr>
          <w:vertAlign w:val="superscript"/>
          <w:lang w:val="en-US"/>
        </w:rPr>
        <w:t>2</w:t>
      </w:r>
      <w:r>
        <w:rPr>
          <w:position w:val="0"/>
          <w:sz w:val="24"/>
          <w:vertAlign w:val="baseline"/>
          <w:lang w:val="en-US"/>
        </w:rPr>
        <w:t xml:space="preserve">. </w:t>
      </w:r>
      <w:r>
        <w:rPr>
          <w:position w:val="0"/>
          <w:sz w:val="24"/>
          <w:vertAlign w:val="baseline"/>
          <w:lang w:val="en-US"/>
        </w:rPr>
        <w:t>The 1</w:t>
      </w:r>
      <w:r>
        <w:rPr>
          <w:rFonts w:ascii="Liberation Serif" w:hAnsi="Liberation Serif"/>
          <w:position w:val="0"/>
          <w:sz w:val="24"/>
          <w:vertAlign w:val="baseline"/>
          <w:lang w:val="en-US"/>
        </w:rPr>
        <w:t>-</w:t>
      </w:r>
      <w:r>
        <w:rPr>
          <w:rFonts w:ascii="Liberation Serif" w:hAnsi="Liberation Serif"/>
          <w:i/>
          <w:iCs/>
          <w:position w:val="0"/>
          <w:sz w:val="24"/>
          <w:vertAlign w:val="baseline"/>
          <w:lang w:val="en-US"/>
        </w:rPr>
        <w:t>Σ</w:t>
      </w:r>
      <w:r>
        <w:rPr>
          <w:rFonts w:ascii="Liberation Serif" w:hAnsi="Liberation Serif"/>
          <w:i/>
          <w:iCs/>
          <w:position w:val="0"/>
          <w:sz w:val="24"/>
          <w:vertAlign w:val="baseline"/>
          <w:lang w:val="en-US"/>
        </w:rPr>
        <w:t>w</w:t>
      </w:r>
      <w:r>
        <w:rPr>
          <w:rFonts w:ascii="Liberation Serif" w:hAnsi="Liberation Serif"/>
          <w:position w:val="0"/>
          <w:sz w:val="24"/>
          <w:vertAlign w:val="baseline"/>
          <w:lang w:val="en-US"/>
        </w:rPr>
        <w:t>/</w:t>
      </w:r>
      <w:r>
        <w:rPr>
          <w:rFonts w:ascii="Liberation Serif" w:hAnsi="Liberation Serif"/>
          <w:i/>
          <w:iCs/>
          <w:position w:val="0"/>
          <w:sz w:val="24"/>
          <w:vertAlign w:val="baseline"/>
          <w:lang w:val="en-US"/>
        </w:rPr>
        <w:t>N</w:t>
      </w:r>
      <w:r>
        <w:rPr>
          <w:position w:val="0"/>
          <w:sz w:val="24"/>
          <w:vertAlign w:val="baseline"/>
          <w:lang w:val="en-US"/>
        </w:rPr>
        <w:t xml:space="preserve"> term </w:t>
      </w:r>
      <w:r>
        <w:rPr>
          <w:position w:val="0"/>
          <w:sz w:val="24"/>
          <w:vertAlign w:val="baseline"/>
          <w:lang w:val="en-US"/>
        </w:rPr>
        <w:t xml:space="preserve">(with </w:t>
      </w:r>
      <w:r>
        <w:rPr>
          <w:rFonts w:ascii="Liberation Serif" w:hAnsi="Liberation Serif"/>
          <w:position w:val="0"/>
          <w:sz w:val="24"/>
          <w:vertAlign w:val="baseline"/>
          <w:lang w:val="en-US"/>
        </w:rPr>
        <w:t>Σ</w:t>
      </w:r>
      <w:r>
        <w:rPr>
          <w:rFonts w:ascii="Liberation Serif" w:hAnsi="Liberation Serif"/>
          <w:i/>
          <w:iCs/>
          <w:position w:val="0"/>
          <w:sz w:val="24"/>
          <w:vertAlign w:val="baseline"/>
          <w:lang w:val="en-US"/>
        </w:rPr>
        <w:t>w</w:t>
      </w:r>
      <w:r>
        <w:rPr>
          <w:position w:val="0"/>
          <w:sz w:val="24"/>
          <w:vertAlign w:val="baseline"/>
          <w:lang w:val="en-US"/>
        </w:rPr>
        <w:t xml:space="preserve"> being the sum of all </w:t>
      </w:r>
      <w:r>
        <w:rPr>
          <w:i/>
          <w:iCs/>
          <w:position w:val="0"/>
          <w:sz w:val="24"/>
          <w:vertAlign w:val="baseline"/>
          <w:lang w:val="en-US"/>
        </w:rPr>
        <w:t>w</w:t>
      </w:r>
      <w:r>
        <w:rPr>
          <w:position w:val="0"/>
          <w:sz w:val="24"/>
          <w:vertAlign w:val="baseline"/>
          <w:lang w:val="en-US"/>
        </w:rPr>
        <w:t xml:space="preserve">’s) </w:t>
      </w:r>
      <w:r>
        <w:rPr>
          <w:position w:val="0"/>
          <w:sz w:val="24"/>
          <w:vertAlign w:val="baseline"/>
          <w:lang w:val="en-US"/>
        </w:rPr>
        <w:t xml:space="preserve">is there </w:t>
      </w:r>
      <w:r>
        <w:rPr>
          <w:position w:val="0"/>
          <w:sz w:val="24"/>
          <w:vertAlign w:val="baseline"/>
          <w:lang w:val="en-US"/>
        </w:rPr>
        <w:t xml:space="preserve">because we do not want to simply use the area defined by </w:t>
      </w:r>
      <w:r>
        <w:rPr>
          <w:i/>
          <w:iCs/>
          <w:position w:val="0"/>
          <w:sz w:val="24"/>
          <w:vertAlign w:val="baseline"/>
          <w:lang w:val="en-US"/>
        </w:rPr>
        <w:t>r</w:t>
      </w:r>
      <w:r>
        <w:rPr>
          <w:vertAlign w:val="subscript"/>
          <w:lang w:val="en-US"/>
        </w:rPr>
        <w:t>max</w:t>
      </w:r>
      <w:r>
        <w:rPr>
          <w:position w:val="0"/>
          <w:sz w:val="24"/>
          <w:vertAlign w:val="baseline"/>
          <w:lang w:val="en-US"/>
        </w:rPr>
        <w:t xml:space="preserve"> as that would put too much weight on the distance to the </w:t>
      </w:r>
      <w:r>
        <w:rPr>
          <w:i/>
          <w:iCs/>
          <w:position w:val="0"/>
          <w:sz w:val="24"/>
          <w:vertAlign w:val="baseline"/>
          <w:lang w:val="en-US"/>
        </w:rPr>
        <w:t>N</w:t>
      </w:r>
      <w:r>
        <w:rPr>
          <w:vertAlign w:val="superscript"/>
          <w:lang w:val="en-US"/>
        </w:rPr>
        <w:t>th</w:t>
      </w:r>
      <w:r>
        <w:rPr>
          <w:position w:val="0"/>
          <w:sz w:val="24"/>
          <w:vertAlign w:val="baseline"/>
          <w:lang w:val="en-US"/>
        </w:rPr>
        <w:t xml:space="preserve"> event, </w:t>
      </w:r>
      <w:r>
        <w:rPr>
          <w:position w:val="0"/>
          <w:sz w:val="24"/>
          <w:vertAlign w:val="baseline"/>
          <w:lang w:val="en-US"/>
        </w:rPr>
        <w:t>which could be</w:t>
      </w:r>
      <w:r>
        <w:rPr>
          <w:position w:val="0"/>
          <w:sz w:val="24"/>
          <w:vertAlign w:val="baseline"/>
          <w:lang w:val="en-US"/>
        </w:rPr>
        <w:t xml:space="preserve"> an outlier</w:t>
      </w:r>
      <w:r>
        <w:rPr>
          <w:position w:val="0"/>
          <w:sz w:val="24"/>
          <w:vertAlign w:val="baseline"/>
          <w:lang w:val="en-US"/>
        </w:rPr>
        <w:t xml:space="preserve">. </w:t>
      </w:r>
      <w:r>
        <w:rPr>
          <w:position w:val="0"/>
          <w:sz w:val="24"/>
          <w:vertAlign w:val="baseline"/>
          <w:lang w:val="en-US"/>
        </w:rPr>
        <w:t>We calculate r</w:t>
      </w:r>
      <w:r>
        <w:rPr>
          <w:position w:val="0"/>
          <w:sz w:val="24"/>
          <w:vertAlign w:val="baseline"/>
          <w:lang w:val="en-US"/>
        </w:rPr>
        <w:t xml:space="preserve">esults for </w:t>
      </w:r>
      <w:r>
        <w:rPr>
          <w:i/>
          <w:iCs/>
          <w:position w:val="0"/>
          <w:sz w:val="24"/>
          <w:vertAlign w:val="baseline"/>
          <w:lang w:val="en-US"/>
        </w:rPr>
        <w:t>N</w:t>
      </w:r>
      <w:r>
        <w:rPr>
          <w:position w:val="0"/>
          <w:sz w:val="24"/>
          <w:vertAlign w:val="baseline"/>
          <w:lang w:val="en-US"/>
        </w:rPr>
        <w:t>=</w:t>
      </w:r>
      <w:r>
        <w:rPr>
          <w:position w:val="0"/>
          <w:sz w:val="24"/>
          <w:vertAlign w:val="baseline"/>
          <w:lang w:val="en-US"/>
        </w:rPr>
        <w:t>5</w:t>
      </w:r>
      <w:r>
        <w:rPr>
          <w:position w:val="0"/>
          <w:sz w:val="24"/>
          <w:vertAlign w:val="baseline"/>
          <w:lang w:val="en-US"/>
        </w:rPr>
        <w:t xml:space="preserve">0, </w:t>
      </w:r>
      <w:r>
        <w:rPr>
          <w:i/>
          <w:iCs/>
          <w:position w:val="0"/>
          <w:sz w:val="24"/>
          <w:vertAlign w:val="baseline"/>
          <w:lang w:val="en-US"/>
        </w:rPr>
        <w:t>N</w:t>
      </w:r>
      <w:r>
        <w:rPr>
          <w:position w:val="0"/>
          <w:sz w:val="24"/>
          <w:vertAlign w:val="baseline"/>
          <w:lang w:val="en-US"/>
        </w:rPr>
        <w:t>=</w:t>
      </w:r>
      <w:r>
        <w:rPr>
          <w:position w:val="0"/>
          <w:sz w:val="24"/>
          <w:vertAlign w:val="baseline"/>
          <w:lang w:val="en-US"/>
        </w:rPr>
        <w:t>1</w:t>
      </w:r>
      <w:r>
        <w:rPr>
          <w:position w:val="0"/>
          <w:sz w:val="24"/>
          <w:vertAlign w:val="baseline"/>
          <w:lang w:val="en-US"/>
        </w:rPr>
        <w:t xml:space="preserve">00, </w:t>
      </w:r>
      <w:r>
        <w:rPr>
          <w:position w:val="0"/>
          <w:sz w:val="24"/>
          <w:vertAlign w:val="baseline"/>
          <w:lang w:val="en-US"/>
        </w:rPr>
        <w:t>and</w:t>
      </w:r>
      <w:r>
        <w:rPr>
          <w:position w:val="0"/>
          <w:sz w:val="24"/>
          <w:vertAlign w:val="baseline"/>
          <w:lang w:val="en-US"/>
        </w:rPr>
        <w:t xml:space="preserve"> </w:t>
      </w:r>
      <w:r>
        <w:rPr>
          <w:i/>
          <w:iCs/>
          <w:position w:val="0"/>
          <w:sz w:val="24"/>
          <w:vertAlign w:val="baseline"/>
          <w:lang w:val="en-US"/>
        </w:rPr>
        <w:t>N</w:t>
      </w:r>
      <w:r>
        <w:rPr>
          <w:position w:val="0"/>
          <w:sz w:val="24"/>
          <w:vertAlign w:val="baseline"/>
          <w:lang w:val="en-US"/>
        </w:rPr>
        <w:t>=200.</w:t>
      </w:r>
    </w:p>
    <w:p>
      <w:pPr>
        <w:pStyle w:val="Normal"/>
        <w:spacing w:lineRule="auto" w:line="240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pacing w:lineRule="auto" w:line="240"/>
        <w:rPr>
          <w:b/>
          <w:b/>
          <w:bCs/>
          <w:lang w:val="en-US"/>
        </w:rPr>
      </w:pPr>
      <w:r>
        <w:rPr>
          <w:b/>
          <w:bCs/>
          <w:lang w:val="en-US"/>
        </w:rPr>
        <w:t>REFERENCES</w:t>
      </w:r>
    </w:p>
    <w:p>
      <w:pPr>
        <w:pStyle w:val="Normal"/>
        <w:spacing w:lineRule="auto" w:line="240"/>
        <w:rPr>
          <w:lang w:val="en-US"/>
        </w:rPr>
      </w:pPr>
      <w:r>
        <w:rPr>
          <w:lang w:val="en-US"/>
        </w:rPr>
      </w:r>
    </w:p>
    <w:p>
      <w:pPr>
        <w:sectPr>
          <w:footerReference w:type="default" r:id="rId2"/>
          <w:type w:val="nextPage"/>
          <w:pgSz w:w="11906" w:h="16838"/>
          <w:pgMar w:left="1134" w:right="1134" w:header="0" w:top="1134" w:footer="1134" w:bottom="1693" w:gutter="0"/>
          <w:pgNumType w:fmt="decimal"/>
          <w:formProt w:val="false"/>
          <w:textDirection w:val="lrTb"/>
          <w:docGrid w:type="default" w:linePitch="312" w:charSpace="4294961151"/>
        </w:sectPr>
      </w:pPr>
    </w:p>
    <w:p>
      <w:pPr>
        <w:pStyle w:val="Bibliography1"/>
        <w:spacing w:lineRule="auto" w:line="240"/>
        <w:rPr/>
      </w:pPr>
      <w:bookmarkStart w:id="8" w:name="__UnoMark__35693_4250909747"/>
      <w:bookmarkEnd w:id="8"/>
      <w:r>
        <w:rPr/>
        <w:t xml:space="preserve">Brocher, T. M., R. J. Blakely, and B. L. Sherrod (2017). Evaluating Spatial and Temporal Relations between an Earthquake Cluster near Entiat, Central Washington, and the Large December 1872 Entiat Earthquake, </w:t>
      </w:r>
      <w:r>
        <w:rPr>
          <w:i/>
        </w:rPr>
        <w:t>Bulletin of the Seismological Society of America</w:t>
      </w:r>
      <w:r>
        <w:rPr/>
        <w:t xml:space="preserve"> </w:t>
      </w:r>
      <w:r>
        <w:rPr>
          <w:b/>
        </w:rPr>
        <w:t>107</w:t>
      </w:r>
      <w:r>
        <w:rPr/>
        <w:t>, no. 5, 2380–2393, doi: 10.1785/0120170113.</w:t>
      </w:r>
    </w:p>
    <w:p>
      <w:pPr>
        <w:pStyle w:val="Bibliography1"/>
        <w:spacing w:lineRule="auto" w:line="240"/>
        <w:rPr/>
      </w:pPr>
      <w:r>
        <w:rPr/>
        <w:t xml:space="preserve">Glasgow, M., B. Schmandt, R. Wang, M. Zhang, S. L. Bilek, and E. Kiser (2021). Raton Basin induced seismicity is hosted by networks of short basement faults and mimics tectonic earthquake statistics, </w:t>
      </w:r>
      <w:r>
        <w:rPr>
          <w:i/>
        </w:rPr>
        <w:t>Journal of Geophysical Research: Solid Earth</w:t>
      </w:r>
      <w:r>
        <w:rPr/>
        <w:t xml:space="preserve"> </w:t>
      </w:r>
      <w:r>
        <w:rPr>
          <w:b/>
        </w:rPr>
        <w:t>126</w:t>
      </w:r>
      <w:r>
        <w:rPr/>
        <w:t>, no. 11, e2021JB022839, doi: 10.1029/2021JB022839.</w:t>
      </w:r>
    </w:p>
    <w:p>
      <w:pPr>
        <w:pStyle w:val="Bibliography1"/>
        <w:spacing w:lineRule="auto" w:line="240"/>
        <w:rPr/>
      </w:pPr>
      <w:r>
        <w:rPr/>
        <w:t xml:space="preserve">Pang, G., K. D. Koper, M. C. Stickney, J. C. Pechmann, R. Burlacu, K. L. Pankow, S. Payne, and H. M. Benz (2018). Seismicity in the Challis, Idaho, region, January 2014–May 2017: Late aftershocks of the 1983 Ms 7.3 Borah Peak earthquake, </w:t>
      </w:r>
      <w:r>
        <w:rPr>
          <w:i/>
        </w:rPr>
        <w:t>Seismological Research Letters</w:t>
      </w:r>
      <w:r>
        <w:rPr/>
        <w:t xml:space="preserve"> </w:t>
      </w:r>
      <w:r>
        <w:rPr>
          <w:b/>
        </w:rPr>
        <w:t>89</w:t>
      </w:r>
      <w:r>
        <w:rPr/>
        <w:t>, no. 4, 1366–1378, doi: 10.1785/0220180058.</w:t>
      </w:r>
    </w:p>
    <w:p>
      <w:pPr>
        <w:pStyle w:val="Bibliography1"/>
        <w:spacing w:lineRule="auto" w:line="240"/>
        <w:rPr/>
      </w:pPr>
      <w:r>
        <w:rPr/>
        <w:t xml:space="preserve">Ryan, J., A. M. Frassetto, O. Hurd, C. H. Jones, J. Unruh, G. Zandt, H. Gilbert, and T. J. Owens (2020). Unusually deep earthquakes in the central Sierra Nevada (California, USA): Foundering ultramafic lithosphere?, </w:t>
      </w:r>
      <w:r>
        <w:rPr>
          <w:i/>
        </w:rPr>
        <w:t>Geosphere</w:t>
      </w:r>
      <w:r>
        <w:rPr/>
        <w:t xml:space="preserve"> </w:t>
      </w:r>
      <w:r>
        <w:rPr>
          <w:b/>
        </w:rPr>
        <w:t>16</w:t>
      </w:r>
      <w:r>
        <w:rPr/>
        <w:t>, no. 1, 357–377, doi: 10.1130/GES02158.1.</w:t>
      </w:r>
    </w:p>
    <w:p>
      <w:pPr>
        <w:pStyle w:val="Bibliography1"/>
        <w:spacing w:lineRule="auto" w:line="240"/>
        <w:rPr/>
      </w:pPr>
      <w:r>
        <w:rPr/>
        <w:t xml:space="preserve">Savvaidis, A., A. Lomax, and C. Breton (2020). Induced Seismicity in the Delaware Basin, West Texas, is Caused by Hydraulic Fracturing and Wastewater Disposal, </w:t>
      </w:r>
      <w:r>
        <w:rPr>
          <w:i/>
        </w:rPr>
        <w:t>Bulletin of the Seismological Society of America</w:t>
      </w:r>
      <w:r>
        <w:rPr/>
        <w:t xml:space="preserve"> </w:t>
      </w:r>
      <w:r>
        <w:rPr>
          <w:b/>
        </w:rPr>
        <w:t>110</w:t>
      </w:r>
      <w:r>
        <w:rPr/>
        <w:t>, no. 5, 2225–2241, doi: 10.1785/0120200087.</w:t>
      </w:r>
    </w:p>
    <w:p>
      <w:pPr>
        <w:pStyle w:val="Bibliography1"/>
        <w:spacing w:lineRule="auto" w:line="240"/>
        <w:rPr/>
      </w:pPr>
      <w:r>
        <w:rPr/>
        <w:t>US. Geological Survey (2017). Advanced National Seismic System (ANSS) Comprehensive Catalog of Earthquake Events and Products: &lt;https://doi.org/10.5066/F7MS3QZH&gt; (accessed April 4, 2022).</w:t>
      </w:r>
    </w:p>
    <w:p>
      <w:pPr>
        <w:pStyle w:val="Bibliography1"/>
        <w:spacing w:lineRule="auto" w:line="240"/>
        <w:rPr/>
      </w:pPr>
      <w:r>
        <w:rPr/>
        <w:t xml:space="preserve">Wiemer, S., and M. Wyss (2000). Minimum magnitude of completeness in earthquake catalogs: Examples from Alaska, the Western United States, and Japan, </w:t>
      </w:r>
      <w:r>
        <w:rPr>
          <w:i/>
        </w:rPr>
        <w:t>Bulletin of the Seismological Society of America</w:t>
      </w:r>
      <w:r>
        <w:rPr/>
        <w:t xml:space="preserve"> </w:t>
      </w:r>
      <w:r>
        <w:rPr>
          <w:b/>
        </w:rPr>
        <w:t>90</w:t>
      </w:r>
      <w:r>
        <w:rPr/>
        <w:t>, no. 4, 859–869, doi: 10.1785/0119990114.</w:t>
      </w:r>
    </w:p>
    <w:p>
      <w:pPr>
        <w:pStyle w:val="Bibliography1"/>
        <w:spacing w:lineRule="auto" w:line="240"/>
        <w:rPr/>
      </w:pPr>
      <w:r>
        <w:rPr/>
        <w:t xml:space="preserve">Woessner, J., and S. Wiemer (2005). Assessing the quality of earthquake catalogues: Estimating the magnitude of completeness and Its uncertainty, </w:t>
      </w:r>
      <w:r>
        <w:rPr>
          <w:i/>
        </w:rPr>
        <w:t>Bulletin of the Seismological Society of America</w:t>
      </w:r>
      <w:r>
        <w:rPr/>
        <w:t xml:space="preserve"> </w:t>
      </w:r>
      <w:r>
        <w:rPr>
          <w:b/>
        </w:rPr>
        <w:t>95</w:t>
      </w:r>
      <w:r>
        <w:rPr/>
        <w:t>, no. 2, 684–698, doi: 10.1785/0120040007.</w:t>
      </w:r>
    </w:p>
    <w:p>
      <w:pPr>
        <w:pStyle w:val="Bibliography1"/>
        <w:spacing w:lineRule="auto" w:line="240"/>
        <w:rPr/>
      </w:pPr>
      <w:r>
        <w:rPr/>
        <w:t xml:space="preserve">Wong, I. G., and W. U. Savage (1983). Deep intraplate seismicity in the western Sierra Nevada, central California, </w:t>
      </w:r>
      <w:r>
        <w:rPr>
          <w:i/>
        </w:rPr>
        <w:t>Bulletin of the Seismological Society of America</w:t>
      </w:r>
      <w:r>
        <w:rPr/>
        <w:t xml:space="preserve"> </w:t>
      </w:r>
      <w:r>
        <w:rPr>
          <w:b/>
        </w:rPr>
        <w:t>73</w:t>
      </w:r>
      <w:r>
        <w:rPr/>
        <w:t>, no. 3, 797–812.</w:t>
      </w:r>
    </w:p>
    <w:p>
      <w:pPr>
        <w:pStyle w:val="Bibliography1"/>
        <w:spacing w:lineRule="auto" w:line="240"/>
        <w:rPr/>
      </w:pPr>
      <w:r>
        <w:rPr/>
        <w:t xml:space="preserve">Zaliapin, I., and Y. Ben-Zion (2016). A global classification and characterization of earthquake clusters, </w:t>
      </w:r>
      <w:r>
        <w:rPr>
          <w:i/>
        </w:rPr>
        <w:t>Geophys J Int</w:t>
      </w:r>
      <w:r>
        <w:rPr/>
        <w:t xml:space="preserve"> </w:t>
      </w:r>
      <w:r>
        <w:rPr>
          <w:b/>
        </w:rPr>
        <w:t>207</w:t>
      </w:r>
      <w:r>
        <w:rPr/>
        <w:t>, no. 1, 608–634, doi: 10.1093/gji/ggw300.</w:t>
      </w:r>
    </w:p>
    <w:p>
      <w:pPr>
        <w:pStyle w:val="Bibliography1"/>
        <w:spacing w:lineRule="auto" w:line="240"/>
        <w:rPr/>
      </w:pPr>
      <w:r>
        <w:rPr/>
        <w:t xml:space="preserve">Zaliapin, I., and Y. Ben-Zion (2013). Earthquake clusters in southern California I: Identification and stability, </w:t>
      </w:r>
      <w:r>
        <w:rPr>
          <w:i/>
        </w:rPr>
        <w:t>J. Geophys. Res. Solid Earth</w:t>
      </w:r>
      <w:r>
        <w:rPr/>
        <w:t xml:space="preserve"> </w:t>
      </w:r>
      <w:r>
        <w:rPr>
          <w:b/>
        </w:rPr>
        <w:t>118</w:t>
      </w:r>
      <w:r>
        <w:rPr/>
        <w:t>, no. 6, 2847–2864, doi: 10.1002/jgrb.50179.</w:t>
      </w:r>
    </w:p>
    <w:p>
      <w:pPr>
        <w:pStyle w:val="Bibliography1"/>
        <w:spacing w:lineRule="auto" w:line="240" w:before="0" w:after="240"/>
        <w:rPr/>
      </w:pPr>
      <w:r>
        <w:rPr/>
        <w:t xml:space="preserve">Zaliapin, I., A. Gabrielov, V. Keilis-Borok, and H. Wong (2008). Clustering analysis of seismicity and aftershock identification, </w:t>
      </w:r>
      <w:r>
        <w:rPr>
          <w:i/>
        </w:rPr>
        <w:t>Phys. Rev. Lett.</w:t>
      </w:r>
      <w:r>
        <w:rPr/>
        <w:t xml:space="preserve"> </w:t>
      </w:r>
      <w:r>
        <w:rPr>
          <w:b/>
        </w:rPr>
        <w:t>101</w:t>
      </w:r>
      <w:r>
        <w:rPr/>
        <w:t>, no. 1, 018501, doi: 10.1103/PhysRevLett.101.018501.</w:t>
      </w:r>
      <w:bookmarkStart w:id="9" w:name="__UnoMark__35731_4250909747"/>
      <w:bookmarkEnd w:id="9"/>
    </w:p>
    <w:p>
      <w:pPr>
        <w:sectPr>
          <w:type w:val="continuous"/>
          <w:pgSz w:w="11906" w:h="16838"/>
          <w:pgMar w:left="1134" w:right="1134" w:header="0" w:top="1134" w:footer="1134" w:bottom="1693" w:gutter="0"/>
          <w:formProt w:val="false"/>
          <w:textDirection w:val="lrTb"/>
          <w:docGrid w:type="default" w:linePitch="312" w:charSpace="4294961151"/>
        </w:sectPr>
      </w:pPr>
    </w:p>
    <w:sectPr>
      <w:type w:val="continuous"/>
      <w:pgSz w:w="11906" w:h="16838"/>
      <w:pgMar w:left="1134" w:right="1134" w:header="0" w:top="1134" w:footer="1134" w:bottom="1693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  <w:font w:name="Times New Roman">
    <w:charset w:val="00"/>
    <w:family w:val="roman"/>
    <w:pitch w:val="default"/>
  </w:font>
  <w:font w:name="Liberation Serif">
    <w:altName w:val="Times New Roman"/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lang w:val="en-US"/>
      </w:rPr>
    </w:pPr>
    <w:r>
      <w:rPr>
        <w:lang w:val="en-US"/>
      </w:rPr>
      <w:t xml:space="preserve">         </w:t>
    </w:r>
  </w:p>
</w:ftr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LineNumbering">
    <w:name w:val="Line Numbering"/>
    <w:rPr/>
  </w:style>
  <w:style w:type="character" w:styleId="Emphasis">
    <w:name w:val="Emphasis"/>
    <w:qFormat/>
    <w:rPr>
      <w:i/>
      <w:iCs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ootnote">
    <w:name w:val="Footnote Text"/>
    <w:basedOn w:val="Normal"/>
    <w:pPr>
      <w:suppressLineNumbers/>
      <w:ind w:left="339" w:right="0" w:hanging="339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  <w:style w:type="paragraph" w:styleId="Bibliography1">
    <w:name w:val="Bibliography 1"/>
    <w:basedOn w:val="Index"/>
    <w:qFormat/>
    <w:pPr>
      <w:spacing w:lineRule="atLeast" w:line="240" w:before="0" w:after="240"/>
      <w:ind w:left="720" w:right="0" w:hanging="72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3997</TotalTime>
  <Application>LibreOffice/6.0.7.3$Windows_X86_64 LibreOffice_project/dc89aa7a9eabfd848af146d5086077aeed2ae4a5</Application>
  <Pages>2</Pages>
  <Words>885</Words>
  <Characters>4797</Characters>
  <CharactersWithSpaces>5665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2022-01-10T12:06:47Z</dcterms:created>
  <dc:creator/>
  <dc:description/>
  <dc:language>en-US</dc:language>
  <cp:lastModifiedBy/>
  <dcterms:modified xsi:type="dcterms:W3CDTF">2022-07-07T22:08:27Z</dcterms:modified>
  <cp:revision>144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zotero-version="6.0.9"&gt;&lt;session id="ErPpPvlr"/&gt;&lt;style id="http://www.zotero.org/styles/seismological-research-letters" hasBibliography="1" bibliographyStyleHasBeenSet="1"/&gt;&lt;prefs&gt;&lt;pref name="fieldType" value="ReferenceMark"/&gt;&lt;/prefs</vt:lpwstr>
  </property>
  <property fmtid="{D5CDD505-2E9C-101B-9397-08002B2CF9AE}" pid="3" name="ZOTERO_PREF_2">
    <vt:lpwstr>&gt;&lt;/data&gt;</vt:lpwstr>
  </property>
</Properties>
</file>