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Scientific Devices of the Eidetic Stratum</w:t>
      </w:r>
    </w:p>
    <w:p>
      <w:pPr>
        <w:pStyle w:val="Subtitle"/>
      </w:pPr>
      <w:r>
        <w:t>A catalogue of twenty instruments in use or remembered circa 1880</w:t>
      </w:r>
    </w:p>
    <w:p>
      <w:r>
        <w:t>These fictional instruments trace two centuries of work, from shadow experiments to probe crossings, sonance telegraphy, and retrieval custody. Dates indicate a device family’s first practical use. Transmitters and receivers work by tuned Referents and patterned sonance, not by electromagnetic radio; every result depends on calibration, records, and independent checks.</w:t>
      </w:r>
    </w:p>
    <w:p>
      <w:pPr>
        <w:pStyle w:val="Heading2"/>
        <w:keepNext/>
      </w:pPr>
      <w:r>
        <w:t>01  Vale Shadow Frame</w:t>
      </w:r>
    </w:p>
    <w:p>
      <w:pPr>
        <w:keepLines/>
      </w:pPr>
      <w:r>
        <w:rPr>
          <w:b/>
        </w:rPr>
        <w:t xml:space="preserve">1710s  •  Detection.  </w:t>
      </w:r>
      <w:r>
        <w:t>An adjustable brass frame holds an opaque disk before a ruled receiving plate. Early investigators compared its shadow with a reference frame to expose the faint remainder. It does not reveal an aperture; dust, glass flaws, and a shifted lamp produce convincing false results.</w:t>
      </w:r>
    </w:p>
    <w:p>
      <w:pPr>
        <w:pStyle w:val="Heading2"/>
        <w:keepNext/>
      </w:pPr>
      <w:r>
        <w:t>02  Rooke Paired Plate Bench</w:t>
      </w:r>
    </w:p>
    <w:p>
      <w:pPr>
        <w:keepLines/>
      </w:pPr>
      <w:r>
        <w:rPr>
          <w:b/>
        </w:rPr>
        <w:t xml:space="preserve">1730s  •  Detection.  </w:t>
      </w:r>
      <w:r>
        <w:t>Two matched lenses and plates expose the same obstacle simultaneously, while a sliding shutter alternates the light path. Differences in fine edge structure form a paired-shadow assay. Rooke engraved each lens flaw into the bench ledger so a peculiar mark could not be mistaken for a discovery.</w:t>
      </w:r>
    </w:p>
    <w:p>
      <w:pPr>
        <w:pStyle w:val="Heading2"/>
        <w:keepNext/>
      </w:pPr>
      <w:r>
        <w:t>03  Bell Concordance Comparator</w:t>
      </w:r>
    </w:p>
    <w:p>
      <w:pPr>
        <w:keepLines/>
      </w:pPr>
      <w:r>
        <w:rPr>
          <w:b/>
        </w:rPr>
        <w:t xml:space="preserve">1790s  •  Measurement.  </w:t>
      </w:r>
      <w:r>
        <w:t>A pair of standard shapes can be exchanged for test objects without shifting the light source or plate. The resulting residual is read against the Bell tables. Its dial displays agreement with a standard form; it cannot tell whether the form has a conscious or independent Referent.</w:t>
      </w:r>
    </w:p>
    <w:p>
      <w:pPr>
        <w:pStyle w:val="Heading2"/>
        <w:keepNext/>
      </w:pPr>
      <w:r>
        <w:t>04  Sayegh Lull Lantern</w:t>
      </w:r>
    </w:p>
    <w:p>
      <w:pPr>
        <w:keepLines/>
      </w:pPr>
      <w:r>
        <w:rPr>
          <w:b/>
        </w:rPr>
        <w:t xml:space="preserve">1800s  •  Optical detection.  </w:t>
      </w:r>
      <w:r>
        <w:t>Opposing beams are trimmed with shutters until ordinary illumination falls into an interference lull. A protected viewing screen can then show a weak residual. The lantern is useful for diagnosis but cannot open a portal simply by making the shadow bright.</w:t>
      </w:r>
    </w:p>
    <w:p>
      <w:pPr>
        <w:pStyle w:val="Heading2"/>
        <w:keepNext/>
      </w:pPr>
      <w:r>
        <w:t>05  Marchand Threshold Assembly</w:t>
      </w:r>
    </w:p>
    <w:p>
      <w:pPr>
        <w:keepLines/>
      </w:pPr>
      <w:r>
        <w:rPr>
          <w:b/>
        </w:rPr>
        <w:t xml:space="preserve">1820s  •  Aperture control.  </w:t>
      </w:r>
      <w:r>
        <w:t>Micrometer screws set disk alignment, surface angle, and the position of a concordant specimen. A second plate tests for the response that distinguishes an Eidetic opening from Poisson’s ordinary bright spot. Small openings are reproducible but too narrow for a physical probe.</w:t>
      </w:r>
    </w:p>
    <w:p>
      <w:pPr>
        <w:pStyle w:val="Heading2"/>
        <w:keepNext/>
      </w:pPr>
      <w:r>
        <w:t>06  Aubert Silver Impression Camera</w:t>
      </w:r>
    </w:p>
    <w:p>
      <w:pPr>
        <w:keepLines/>
      </w:pPr>
      <w:r>
        <w:rPr>
          <w:b/>
        </w:rPr>
        <w:t xml:space="preserve">1820s  •  Aperture recording.  </w:t>
      </w:r>
      <w:r>
        <w:t>A prepared silver film sits behind ordinary light and particle screens at the edge of a tiny opening. A shaped shutter interrupts the laboratory side and the developed film records the answering reciprocal impression. The chemical preparation is delicate, and a plate requires later comparison with its glass witness.</w:t>
      </w:r>
    </w:p>
    <w:p>
      <w:pPr>
        <w:pStyle w:val="Heading2"/>
        <w:keepNext/>
      </w:pPr>
      <w:r>
        <w:t>07  Quill Interruption Wheel</w:t>
      </w:r>
    </w:p>
    <w:p>
      <w:pPr>
        <w:keepLines/>
      </w:pPr>
      <w:r>
        <w:rPr>
          <w:b/>
        </w:rPr>
        <w:t xml:space="preserve">1830s  •  Experimental signalling.  </w:t>
      </w:r>
      <w:r>
        <w:t>A hand-cranked brass wheel presents a sequence of shaped cutouts to an aperture. Its marks encode simple questions for reciprocal-impression experiments. A matching response proves dependence on the interruption but not that an intelligence has replied.</w:t>
      </w:r>
    </w:p>
    <w:p>
      <w:pPr>
        <w:pStyle w:val="Heading2"/>
        <w:keepNext/>
      </w:pPr>
      <w:r>
        <w:t>08  Orsini Sonance Harp</w:t>
      </w:r>
    </w:p>
    <w:p>
      <w:pPr>
        <w:keepLines/>
      </w:pPr>
      <w:r>
        <w:rPr>
          <w:b/>
        </w:rPr>
        <w:t xml:space="preserve">1830s  •  Sonance detection.  </w:t>
      </w:r>
      <w:r>
        <w:t>Matched metal tines are coupled to a polished Referent specimen and a smoked-paper recorder. Their motion converts sonance into a legible trace. The tines make audible clicks as a by-product, but the underlying signal is neither sound in air nor radio.</w:t>
      </w:r>
    </w:p>
    <w:p>
      <w:pPr>
        <w:pStyle w:val="Heading2"/>
        <w:keepNext/>
      </w:pPr>
      <w:r>
        <w:t>09  Wren Tether Engine</w:t>
      </w:r>
    </w:p>
    <w:p>
      <w:pPr>
        <w:keepLines/>
      </w:pPr>
      <w:r>
        <w:rPr>
          <w:b/>
        </w:rPr>
        <w:t xml:space="preserve">1840s  •  Probe launch.  </w:t>
      </w:r>
      <w:r>
        <w:t>A geared winch, calibrated brass cable, and restraint ring feed a sealed probe through a stable aperture. The mechanism was developed for the first successful 1844 crossing. Cable length is recorded, yet it cannot by itself measure distance within layered space.</w:t>
      </w:r>
    </w:p>
    <w:p>
      <w:pPr>
        <w:pStyle w:val="Heading2"/>
        <w:keepNext/>
      </w:pPr>
      <w:r>
        <w:t>10  Veld Return Capsule</w:t>
      </w:r>
    </w:p>
    <w:p>
      <w:pPr>
        <w:keepLines/>
      </w:pPr>
      <w:r>
        <w:rPr>
          <w:b/>
        </w:rPr>
        <w:t xml:space="preserve">1840s  •  Probe and sampling.  </w:t>
      </w:r>
      <w:r>
        <w:t>Nested brass shells carry witness plates, a sample recess, and a return seal. A deformation gauge shows whether the capsule was crushed or opened in transit. Its first successful return brought a pale deposit; unexplained surface scratches remain poor evidence of writing.</w:t>
      </w:r>
    </w:p>
    <w:p>
      <w:pPr>
        <w:pStyle w:val="Heading2"/>
        <w:keepNext/>
      </w:pPr>
      <w:r>
        <w:t>11  Al Khatib Layer Theodolite</w:t>
      </w:r>
    </w:p>
    <w:p>
      <w:pPr>
        <w:keepLines/>
      </w:pPr>
      <w:r>
        <w:rPr>
          <w:b/>
        </w:rPr>
        <w:t xml:space="preserve">1850s  •  Navigation.  </w:t>
      </w:r>
      <w:r>
        <w:t>A sighting arm, rotating layer cards, and a sonance scale encode position relative to the Prime Referent. Surveyors record layer, bearing relation, and offset together. A familiar reading may correspond to a mirror route, so expeditions repeat it from several stations.</w:t>
      </w:r>
    </w:p>
    <w:p>
      <w:pPr>
        <w:pStyle w:val="Heading2"/>
        <w:keepNext/>
      </w:pPr>
      <w:r>
        <w:t>12  Fenwick Twin Chronometers</w:t>
      </w:r>
    </w:p>
    <w:p>
      <w:pPr>
        <w:keepLines/>
      </w:pPr>
      <w:r>
        <w:rPr>
          <w:b/>
        </w:rPr>
        <w:t xml:space="preserve">1850s  •  Timekeeping.  </w:t>
      </w:r>
      <w:r>
        <w:t>Identically regulated clocks are sealed as a pair; one travels while the other stays at the receiving hall. Their comparison yields a return discrepancy. Calibration and spring wear remain mundane explanations that must be excluded before attributing a difference to a crossing.</w:t>
      </w:r>
    </w:p>
    <w:p>
      <w:pPr>
        <w:pStyle w:val="Heading2"/>
        <w:keepNext/>
      </w:pPr>
      <w:r>
        <w:t>13  Renard Fatigue Gauge</w:t>
      </w:r>
    </w:p>
    <w:p>
      <w:pPr>
        <w:keepLines/>
      </w:pPr>
      <w:r>
        <w:rPr>
          <w:b/>
        </w:rPr>
        <w:t xml:space="preserve">1860s  •  Exposure monitoring.  </w:t>
      </w:r>
      <w:r>
        <w:t>A standard set of keyed tools is periodically tested for fit, mass, and concordance after sonance exposure. The gauge alerts custodians when referential fatigue appears. It records a physical change but does not establish whether the object or its Referent changed first.</w:t>
      </w:r>
    </w:p>
    <w:p>
      <w:pPr>
        <w:pStyle w:val="Heading2"/>
        <w:keepNext/>
      </w:pPr>
      <w:r>
        <w:t>14  Nand Echo Key</w:t>
      </w:r>
    </w:p>
    <w:p>
      <w:pPr>
        <w:keepLines/>
      </w:pPr>
      <w:r>
        <w:rPr>
          <w:b/>
        </w:rPr>
        <w:t xml:space="preserve">1870s  •  Message transmission.  </w:t>
      </w:r>
      <w:r>
        <w:t>A telegraph-like lever imposes timed alterations on a tuned Referent, sending short and long sonance pulses through the echo relay. A distant station needs a matching receiver but no local aperture. Rest intervals between groups help expose false repetitions from nearby forms.</w:t>
      </w:r>
    </w:p>
    <w:p>
      <w:pPr>
        <w:pStyle w:val="Heading2"/>
        <w:keepNext/>
      </w:pPr>
      <w:r>
        <w:t>15  Nand Listening Cabinet</w:t>
      </w:r>
    </w:p>
    <w:p>
      <w:pPr>
        <w:keepLines/>
      </w:pPr>
      <w:r>
        <w:rPr>
          <w:b/>
        </w:rPr>
        <w:t xml:space="preserve">1870s  •  Message reception.  </w:t>
      </w:r>
      <w:r>
        <w:t>A tuned specimen, index veil, balancing weights, and ink stylus turn arriving sonance pulses into a paper trace. Operators read the marks like coded telegrams and preserve the raw strip. Sonance bloom may put the same fragment on several cabinets at once.</w:t>
      </w:r>
    </w:p>
    <w:p>
      <w:pPr>
        <w:pStyle w:val="Heading2"/>
        <w:keepNext/>
      </w:pPr>
      <w:r>
        <w:t>16  Hartmann Cipher Drum</w:t>
      </w:r>
    </w:p>
    <w:p>
      <w:pPr>
        <w:keepLines/>
      </w:pPr>
      <w:r>
        <w:rPr>
          <w:b/>
        </w:rPr>
        <w:t xml:space="preserve">1870s  •  Message encoding.  </w:t>
      </w:r>
      <w:r>
        <w:t>Interchangeable letter wheels map common relay phrases to short numbered groups and include a special sign for an uncertain character. A receiving clerk must preserve the uncertainty instead of silently completing the message. The drum protects against mistaken interpretation, not against every interceptor.</w:t>
      </w:r>
    </w:p>
    <w:p>
      <w:pPr>
        <w:pStyle w:val="Heading2"/>
        <w:keepNext/>
      </w:pPr>
      <w:r>
        <w:t>17  Cross Layer Echo Fork</w:t>
      </w:r>
    </w:p>
    <w:p>
      <w:pPr>
        <w:keepLines/>
      </w:pPr>
      <w:r>
        <w:rPr>
          <w:b/>
        </w:rPr>
        <w:t xml:space="preserve">1870s  •  Signal comparison.  </w:t>
      </w:r>
      <w:r>
        <w:t>Two synchronized receivers compare a distinctive pulse heard through different layers. The difference in their traces helps distinguish a cross-layer echo from a local repeat. The fork is of little use when layer weather changes between measurements.</w:t>
      </w:r>
    </w:p>
    <w:p>
      <w:pPr>
        <w:pStyle w:val="Heading2"/>
        <w:keepNext/>
      </w:pPr>
      <w:r>
        <w:t>18  Fen Weather Array</w:t>
      </w:r>
    </w:p>
    <w:p>
      <w:pPr>
        <w:keepLines/>
      </w:pPr>
      <w:r>
        <w:rPr>
          <w:b/>
        </w:rPr>
        <w:t xml:space="preserve">1870s  •  Forecasting.  </w:t>
      </w:r>
      <w:r>
        <w:t>Several stations submit dated sonance traces, aperture readings, and route positions to a central charting table. Isolde Fen’s array identifies quiet intervals and instability across layers. Its forecast is probabilistic and never a guarantee of safe passage.</w:t>
      </w:r>
    </w:p>
    <w:p>
      <w:pPr>
        <w:pStyle w:val="Heading2"/>
        <w:keepNext/>
      </w:pPr>
      <w:r>
        <w:t>19  Okoro Witness Cabinet</w:t>
      </w:r>
    </w:p>
    <w:p>
      <w:pPr>
        <w:keepLines/>
      </w:pPr>
      <w:r>
        <w:rPr>
          <w:b/>
        </w:rPr>
        <w:t xml:space="preserve">1870s  •  Retrieval storage.  </w:t>
      </w:r>
      <w:r>
        <w:t>A sealed enclosure isolates a retrieval alongside replaceable witness plates and a written handling register. Curators check for changes before opening it. The cabinet reduces uncontrolled exposure but cannot resolve whether a recorded change came from custody, form pressure, or ordinary contamination.</w:t>
      </w:r>
    </w:p>
    <w:p>
      <w:pPr>
        <w:pStyle w:val="Heading2"/>
        <w:keepNext/>
      </w:pPr>
      <w:r>
        <w:t>20  Morcant Blind Catalogue Box</w:t>
      </w:r>
    </w:p>
    <w:p>
      <w:pPr>
        <w:keepLines/>
      </w:pPr>
      <w:r>
        <w:rPr>
          <w:b/>
        </w:rPr>
        <w:t xml:space="preserve">1870s  •  Custody experiments.  </w:t>
      </w:r>
      <w:r>
        <w:t>Paired compartments conceal two retrievals under neutral codes while separate clerks maintain sealed handling histories. Investigators compare them only after a custody test. It limits suggestive naming, though the experiment itself may still influence the objects being studied.</w:t>
      </w:r>
    </w:p>
    <w:sectPr w:rsidR="00FC693F" w:rsidRPr="0006063C" w:rsidSect="00034616">
      <w:footerReference w:type="default" r:id="rId9"/>
      <w:pgSz w:w="12240" w:h="15840"/>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ALDERWICK  •  INSTRUMENT CATALOGUE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Georgia" w:hAnsi="Georgia"/>
      <w:color w:val="14141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Georgia" w:hAnsi="Georg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