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0"/>
        </w:rPr>
        <w:t>TEMAT III - rozwiązania</w:t>
      </w:r>
    </w:p>
    <w:p>
      <w:pPr>
        <w:spacing w:after="240"/>
        <w:jc w:val="center"/>
      </w:pPr>
      <w:r>
        <w:rPr>
          <w:i/>
          <w:color w:val="555555"/>
        </w:rPr>
        <w:t>Statystyka opisowa, estymacja, test hipotezy, korelacja i rozkład Poissona</w:t>
      </w:r>
    </w:p>
    <w:p>
      <w:pPr>
        <w:pStyle w:val="Heading1"/>
      </w:pPr>
      <w:r>
        <w:t>Zadanie 1</w:t>
      </w:r>
    </w:p>
    <w:p>
      <w:r>
        <w:t>Dane: 46, 48, 45, 42, 41, 50, 49, 44, 39, 51, 52, 38, 45 dB. Przyjmujemy, że jest to próba reprezentatywna z rozkładu normalnego.</w:t>
      </w:r>
    </w:p>
    <w:p>
      <w:pPr>
        <w:pStyle w:val="Heading2"/>
      </w:pPr>
      <w:r>
        <w:t>a) Średni poziom hałasu i odchylenie standardowe</w:t>
      </w:r>
    </w:p>
    <w:p>
      <w:pPr>
        <w:spacing w:before="40" w:after="120"/>
        <w:ind w:left="340"/>
      </w:pPr>
      <w:r>
        <w:rPr>
          <w:rFonts w:ascii="Consolas" w:hAnsi="Consolas"/>
          <w:sz w:val="20"/>
        </w:rPr>
        <w:t>x̄ = Σx_i / n = 590 / 13 = 45,385 dB</w:t>
      </w:r>
    </w:p>
    <w:p>
      <w:pPr>
        <w:spacing w:before="40" w:after="120"/>
        <w:ind w:left="340"/>
      </w:pPr>
      <w:r>
        <w:rPr>
          <w:rFonts w:ascii="Consolas" w:hAnsi="Consolas"/>
          <w:sz w:val="20"/>
        </w:rPr>
        <w:t>s² = Σ(x_i - x̄)² / (n - 1) = 20,423;   s = 4,519 dB</w:t>
      </w:r>
    </w:p>
    <w:tbl>
      <w:tblPr>
        <w:tblW w:type="dxa" w:w="9360"/>
        <w:tblLayout w:type="fixed"/>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Ind w:type="dxa" w:w="120"/>
      </w:tblPr>
      <w:tblGrid>
        <w:gridCol w:w="5184"/>
        <w:gridCol w:w="4176"/>
      </w:tblGrid>
      <w:tr>
        <w:tc>
          <w:tcPr>
            <w:tcW w:type="dxa" w:w="5184"/>
            <w:shd w:fill="F2F4F7"/>
            <w:tcMar>
              <w:top w:w="80" w:type="dxa"/>
              <w:start w:w="120" w:type="dxa"/>
              <w:bottom w:w="80" w:type="dxa"/>
              <w:end w:w="120" w:type="dxa"/>
            </w:tcMar>
            <w:vAlign w:val="center"/>
          </w:tcPr>
          <w:p>
            <w:pPr>
              <w:jc w:val="center"/>
            </w:pPr>
            <w:r>
              <w:rPr>
                <w:b/>
              </w:rPr>
              <w:t>Wielkość</w:t>
            </w:r>
          </w:p>
        </w:tc>
        <w:tc>
          <w:tcPr>
            <w:tcW w:type="dxa" w:w="4176"/>
            <w:shd w:fill="F2F4F7"/>
            <w:tcMar>
              <w:top w:w="80" w:type="dxa"/>
              <w:start w:w="120" w:type="dxa"/>
              <w:bottom w:w="80" w:type="dxa"/>
              <w:end w:w="120" w:type="dxa"/>
            </w:tcMar>
            <w:vAlign w:val="center"/>
          </w:tcPr>
          <w:p>
            <w:pPr>
              <w:jc w:val="center"/>
            </w:pPr>
            <w:r>
              <w:rPr>
                <w:b/>
              </w:rPr>
              <w:t>Wartość</w:t>
            </w:r>
          </w:p>
        </w:tc>
      </w:tr>
      <w:tr>
        <w:tc>
          <w:tcPr>
            <w:tcW w:type="dxa" w:w="5184"/>
            <w:tcMar>
              <w:top w:w="80" w:type="dxa"/>
              <w:start w:w="120" w:type="dxa"/>
              <w:bottom w:w="80" w:type="dxa"/>
              <w:end w:w="120" w:type="dxa"/>
            </w:tcMar>
            <w:vAlign w:val="center"/>
          </w:tcPr>
          <w:p>
            <w:pPr>
              <w:jc w:val="left"/>
            </w:pPr>
            <w:r>
              <w:t>Liczebność próby n</w:t>
            </w:r>
          </w:p>
        </w:tc>
        <w:tc>
          <w:tcPr>
            <w:tcW w:type="dxa" w:w="4176"/>
            <w:tcMar>
              <w:top w:w="80" w:type="dxa"/>
              <w:start w:w="120" w:type="dxa"/>
              <w:bottom w:w="80" w:type="dxa"/>
              <w:end w:w="120" w:type="dxa"/>
            </w:tcMar>
            <w:vAlign w:val="center"/>
          </w:tcPr>
          <w:p>
            <w:pPr>
              <w:jc w:val="center"/>
            </w:pPr>
            <w:r>
              <w:t>13</w:t>
            </w:r>
          </w:p>
        </w:tc>
      </w:tr>
      <w:tr>
        <w:tc>
          <w:tcPr>
            <w:tcW w:type="dxa" w:w="5184"/>
            <w:tcMar>
              <w:top w:w="80" w:type="dxa"/>
              <w:start w:w="120" w:type="dxa"/>
              <w:bottom w:w="80" w:type="dxa"/>
              <w:end w:w="120" w:type="dxa"/>
            </w:tcMar>
            <w:vAlign w:val="center"/>
          </w:tcPr>
          <w:p>
            <w:pPr>
              <w:jc w:val="left"/>
            </w:pPr>
            <w:r>
              <w:t>Średnia z próby x̄</w:t>
            </w:r>
          </w:p>
        </w:tc>
        <w:tc>
          <w:tcPr>
            <w:tcW w:type="dxa" w:w="4176"/>
            <w:tcMar>
              <w:top w:w="80" w:type="dxa"/>
              <w:start w:w="120" w:type="dxa"/>
              <w:bottom w:w="80" w:type="dxa"/>
              <w:end w:w="120" w:type="dxa"/>
            </w:tcMar>
            <w:vAlign w:val="center"/>
          </w:tcPr>
          <w:p>
            <w:pPr>
              <w:jc w:val="center"/>
            </w:pPr>
            <w:r>
              <w:t>45,385 dB</w:t>
            </w:r>
          </w:p>
        </w:tc>
      </w:tr>
      <w:tr>
        <w:tc>
          <w:tcPr>
            <w:tcW w:type="dxa" w:w="5184"/>
            <w:tcMar>
              <w:top w:w="80" w:type="dxa"/>
              <w:start w:w="120" w:type="dxa"/>
              <w:bottom w:w="80" w:type="dxa"/>
              <w:end w:w="120" w:type="dxa"/>
            </w:tcMar>
            <w:vAlign w:val="center"/>
          </w:tcPr>
          <w:p>
            <w:pPr>
              <w:jc w:val="left"/>
            </w:pPr>
            <w:r>
              <w:t>Wariancja z próby s²</w:t>
            </w:r>
          </w:p>
        </w:tc>
        <w:tc>
          <w:tcPr>
            <w:tcW w:type="dxa" w:w="4176"/>
            <w:tcMar>
              <w:top w:w="80" w:type="dxa"/>
              <w:start w:w="120" w:type="dxa"/>
              <w:bottom w:w="80" w:type="dxa"/>
              <w:end w:w="120" w:type="dxa"/>
            </w:tcMar>
            <w:vAlign w:val="center"/>
          </w:tcPr>
          <w:p>
            <w:pPr>
              <w:jc w:val="center"/>
            </w:pPr>
            <w:r>
              <w:t>20,423</w:t>
            </w:r>
          </w:p>
        </w:tc>
      </w:tr>
      <w:tr>
        <w:tc>
          <w:tcPr>
            <w:tcW w:type="dxa" w:w="5184"/>
            <w:tcMar>
              <w:top w:w="80" w:type="dxa"/>
              <w:start w:w="120" w:type="dxa"/>
              <w:bottom w:w="80" w:type="dxa"/>
              <w:end w:w="120" w:type="dxa"/>
            </w:tcMar>
            <w:vAlign w:val="center"/>
          </w:tcPr>
          <w:p>
            <w:pPr>
              <w:jc w:val="left"/>
            </w:pPr>
            <w:r>
              <w:t>Odchylenie standardowe z próby s</w:t>
            </w:r>
          </w:p>
        </w:tc>
        <w:tc>
          <w:tcPr>
            <w:tcW w:type="dxa" w:w="4176"/>
            <w:tcMar>
              <w:top w:w="80" w:type="dxa"/>
              <w:start w:w="120" w:type="dxa"/>
              <w:bottom w:w="80" w:type="dxa"/>
              <w:end w:w="120" w:type="dxa"/>
            </w:tcMar>
            <w:vAlign w:val="center"/>
          </w:tcPr>
          <w:p>
            <w:pPr>
              <w:jc w:val="center"/>
            </w:pPr>
            <w:r>
              <w:t>4,519 dB</w:t>
            </w:r>
          </w:p>
        </w:tc>
      </w:tr>
    </w:tbl>
    <w:p/>
    <w:p>
      <w:r>
        <w:t>Interpretacja: przeciętny zmierzony poziom hałasu w próbie wynosi około 45,385 dB, a typowe odchylenie pojedynczych pomiarów od średniej to około 4,519 dB.</w:t>
      </w:r>
    </w:p>
    <w:p>
      <w:pPr>
        <w:pStyle w:val="Heading2"/>
      </w:pPr>
      <w:r>
        <w:t>b) Estymacja punktowa średniego poziomu hałasu</w:t>
      </w:r>
    </w:p>
    <w:p>
      <w:pPr>
        <w:spacing w:before="40" w:after="120"/>
        <w:ind w:left="340"/>
      </w:pPr>
      <w:r>
        <w:rPr>
          <w:rFonts w:ascii="Consolas" w:hAnsi="Consolas"/>
          <w:sz w:val="20"/>
        </w:rPr>
        <w:t>μ̂ = x̄ = 45,385 dB</w:t>
      </w:r>
    </w:p>
    <w:p>
      <w:pPr>
        <w:spacing w:before="40" w:after="120"/>
        <w:ind w:left="340"/>
      </w:pPr>
      <w:r>
        <w:rPr>
          <w:rFonts w:ascii="Consolas" w:hAnsi="Consolas"/>
          <w:sz w:val="20"/>
        </w:rPr>
        <w:t>SE(x̄) = s / √n = 4,519 / √13 = 1,253 dB</w:t>
      </w:r>
    </w:p>
    <w:p>
      <w:r>
        <w:t>Punktowym oszacowaniem przeciętnego poziomu hałasu jest średnia z próby: 45,385 dB. Średni błąd oszacowania wynosi 1,253 dB.</w:t>
      </w:r>
    </w:p>
    <w:p>
      <w:pPr>
        <w:pStyle w:val="Heading2"/>
      </w:pPr>
      <w:r>
        <w:t>c) Przedział ufności dla wariancji przy 1 - α = 0,90</w:t>
      </w:r>
    </w:p>
    <w:p>
      <w:pPr>
        <w:spacing w:before="40" w:after="120"/>
        <w:ind w:left="340"/>
      </w:pPr>
      <w:r>
        <w:rPr>
          <w:rFonts w:ascii="Consolas" w:hAnsi="Consolas"/>
          <w:sz w:val="20"/>
        </w:rPr>
        <w:t>df = n - 1 = 12;   χ²_0,05;12 = 5,226;   χ²_0,95;12 = 21,026</w:t>
      </w:r>
    </w:p>
    <w:p>
      <w:pPr>
        <w:spacing w:before="40" w:after="120"/>
        <w:ind w:left="340"/>
      </w:pPr>
      <w:r>
        <w:rPr>
          <w:rFonts w:ascii="Consolas" w:hAnsi="Consolas"/>
          <w:sz w:val="20"/>
        </w:rPr>
        <w:t>P( (n-1)s² / χ²_0,95 ≤ σ² ≤ (n-1)s² / χ²_0,05 ) = 0,90</w:t>
      </w:r>
    </w:p>
    <w:p>
      <w:pPr>
        <w:spacing w:before="40" w:after="120"/>
        <w:ind w:left="340"/>
      </w:pPr>
      <w:r>
        <w:rPr>
          <w:rFonts w:ascii="Consolas" w:hAnsi="Consolas"/>
          <w:sz w:val="20"/>
        </w:rPr>
        <w:t>σ² ∈ (11,656, 46,895) dB²</w:t>
      </w:r>
    </w:p>
    <w:p>
      <w:r>
        <w:t>Interpretacja: z ufnością 90% wariancja poziomu hałasu w hali znajduje się w przedziale od 11,656 do 46,895 dB².</w:t>
      </w:r>
    </w:p>
    <w:p>
      <w:pPr>
        <w:pStyle w:val="Heading2"/>
      </w:pPr>
      <w:r>
        <w:t>d) Weryfikacja hipotezy, że średni poziom hałasu nie przekracza 45 dB</w:t>
      </w:r>
    </w:p>
    <w:p>
      <w:r>
        <w:t>Przyjmujemy test jednostronny dla średniej przy nieznanym odchyleniu standardowym:</w:t>
      </w:r>
    </w:p>
    <w:p>
      <w:pPr>
        <w:spacing w:before="40" w:after="120"/>
        <w:ind w:left="340"/>
      </w:pPr>
      <w:r>
        <w:rPr>
          <w:rFonts w:ascii="Consolas" w:hAnsi="Consolas"/>
          <w:sz w:val="20"/>
        </w:rPr>
        <w:t>H₀: μ ≤ 45 dB;   H₁: μ &gt; 45 dB;   α = 0,10</w:t>
      </w:r>
    </w:p>
    <w:p>
      <w:pPr>
        <w:spacing w:before="40" w:after="120"/>
        <w:ind w:left="340"/>
      </w:pPr>
      <w:r>
        <w:rPr>
          <w:rFonts w:ascii="Consolas" w:hAnsi="Consolas"/>
          <w:sz w:val="20"/>
        </w:rPr>
        <w:t>t = (x̄ - μ₀) / (s / √n) = (45,385 - 45) / 1,253 = 0,307</w:t>
      </w:r>
    </w:p>
    <w:tbl>
      <w:tblPr>
        <w:tblW w:type="dxa" w:w="9360"/>
        <w:tblLayout w:type="fixed"/>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Ind w:type="dxa" w:w="120"/>
      </w:tblPr>
      <w:tblGrid>
        <w:gridCol w:w="5184"/>
        <w:gridCol w:w="4176"/>
      </w:tblGrid>
      <w:tr>
        <w:tc>
          <w:tcPr>
            <w:tcW w:type="dxa" w:w="5184"/>
            <w:shd w:fill="F2F4F7"/>
            <w:tcMar>
              <w:top w:w="80" w:type="dxa"/>
              <w:start w:w="120" w:type="dxa"/>
              <w:bottom w:w="80" w:type="dxa"/>
              <w:end w:w="120" w:type="dxa"/>
            </w:tcMar>
            <w:vAlign w:val="center"/>
          </w:tcPr>
          <w:p>
            <w:pPr>
              <w:jc w:val="center"/>
            </w:pPr>
            <w:r>
              <w:rPr>
                <w:b/>
              </w:rPr>
              <w:t>Element testu</w:t>
            </w:r>
          </w:p>
        </w:tc>
        <w:tc>
          <w:tcPr>
            <w:tcW w:type="dxa" w:w="4176"/>
            <w:shd w:fill="F2F4F7"/>
            <w:tcMar>
              <w:top w:w="80" w:type="dxa"/>
              <w:start w:w="120" w:type="dxa"/>
              <w:bottom w:w="80" w:type="dxa"/>
              <w:end w:w="120" w:type="dxa"/>
            </w:tcMar>
            <w:vAlign w:val="center"/>
          </w:tcPr>
          <w:p>
            <w:pPr>
              <w:jc w:val="center"/>
            </w:pPr>
            <w:r>
              <w:rPr>
                <w:b/>
              </w:rPr>
              <w:t>Wartość</w:t>
            </w:r>
          </w:p>
        </w:tc>
      </w:tr>
      <w:tr>
        <w:tc>
          <w:tcPr>
            <w:tcW w:type="dxa" w:w="5184"/>
            <w:tcMar>
              <w:top w:w="80" w:type="dxa"/>
              <w:start w:w="120" w:type="dxa"/>
              <w:bottom w:w="80" w:type="dxa"/>
              <w:end w:w="120" w:type="dxa"/>
            </w:tcMar>
            <w:vAlign w:val="center"/>
          </w:tcPr>
          <w:p>
            <w:pPr>
              <w:jc w:val="left"/>
            </w:pPr>
            <w:r>
              <w:t>Liczba stopni swobody</w:t>
            </w:r>
          </w:p>
        </w:tc>
        <w:tc>
          <w:tcPr>
            <w:tcW w:type="dxa" w:w="4176"/>
            <w:tcMar>
              <w:top w:w="80" w:type="dxa"/>
              <w:start w:w="120" w:type="dxa"/>
              <w:bottom w:w="80" w:type="dxa"/>
              <w:end w:w="120" w:type="dxa"/>
            </w:tcMar>
            <w:vAlign w:val="center"/>
          </w:tcPr>
          <w:p>
            <w:pPr>
              <w:jc w:val="center"/>
            </w:pPr>
            <w:r>
              <w:t>12</w:t>
            </w:r>
          </w:p>
        </w:tc>
      </w:tr>
      <w:tr>
        <w:tc>
          <w:tcPr>
            <w:tcW w:type="dxa" w:w="5184"/>
            <w:tcMar>
              <w:top w:w="80" w:type="dxa"/>
              <w:start w:w="120" w:type="dxa"/>
              <w:bottom w:w="80" w:type="dxa"/>
              <w:end w:w="120" w:type="dxa"/>
            </w:tcMar>
            <w:vAlign w:val="center"/>
          </w:tcPr>
          <w:p>
            <w:pPr>
              <w:jc w:val="left"/>
            </w:pPr>
            <w:r>
              <w:t>Statystyka testowa t</w:t>
            </w:r>
          </w:p>
        </w:tc>
        <w:tc>
          <w:tcPr>
            <w:tcW w:type="dxa" w:w="4176"/>
            <w:tcMar>
              <w:top w:w="80" w:type="dxa"/>
              <w:start w:w="120" w:type="dxa"/>
              <w:bottom w:w="80" w:type="dxa"/>
              <w:end w:w="120" w:type="dxa"/>
            </w:tcMar>
            <w:vAlign w:val="center"/>
          </w:tcPr>
          <w:p>
            <w:pPr>
              <w:jc w:val="center"/>
            </w:pPr>
            <w:r>
              <w:t>0,307</w:t>
            </w:r>
          </w:p>
        </w:tc>
      </w:tr>
      <w:tr>
        <w:tc>
          <w:tcPr>
            <w:tcW w:type="dxa" w:w="5184"/>
            <w:tcMar>
              <w:top w:w="80" w:type="dxa"/>
              <w:start w:w="120" w:type="dxa"/>
              <w:bottom w:w="80" w:type="dxa"/>
              <w:end w:w="120" w:type="dxa"/>
            </w:tcMar>
            <w:vAlign w:val="center"/>
          </w:tcPr>
          <w:p>
            <w:pPr>
              <w:jc w:val="left"/>
            </w:pPr>
            <w:r>
              <w:t>Wartość krytyczna t_0,90;12</w:t>
            </w:r>
          </w:p>
        </w:tc>
        <w:tc>
          <w:tcPr>
            <w:tcW w:type="dxa" w:w="4176"/>
            <w:tcMar>
              <w:top w:w="80" w:type="dxa"/>
              <w:start w:w="120" w:type="dxa"/>
              <w:bottom w:w="80" w:type="dxa"/>
              <w:end w:w="120" w:type="dxa"/>
            </w:tcMar>
            <w:vAlign w:val="center"/>
          </w:tcPr>
          <w:p>
            <w:pPr>
              <w:jc w:val="center"/>
            </w:pPr>
            <w:r>
              <w:t>1,356</w:t>
            </w:r>
          </w:p>
        </w:tc>
      </w:tr>
      <w:tr>
        <w:tc>
          <w:tcPr>
            <w:tcW w:type="dxa" w:w="5184"/>
            <w:tcMar>
              <w:top w:w="80" w:type="dxa"/>
              <w:start w:w="120" w:type="dxa"/>
              <w:bottom w:w="80" w:type="dxa"/>
              <w:end w:w="120" w:type="dxa"/>
            </w:tcMar>
            <w:vAlign w:val="center"/>
          </w:tcPr>
          <w:p>
            <w:pPr>
              <w:jc w:val="left"/>
            </w:pPr>
            <w:r>
              <w:t>p-value</w:t>
            </w:r>
          </w:p>
        </w:tc>
        <w:tc>
          <w:tcPr>
            <w:tcW w:type="dxa" w:w="4176"/>
            <w:tcMar>
              <w:top w:w="80" w:type="dxa"/>
              <w:start w:w="120" w:type="dxa"/>
              <w:bottom w:w="80" w:type="dxa"/>
              <w:end w:w="120" w:type="dxa"/>
            </w:tcMar>
            <w:vAlign w:val="center"/>
          </w:tcPr>
          <w:p>
            <w:pPr>
              <w:jc w:val="center"/>
            </w:pPr>
            <w:r>
              <w:t>0,382</w:t>
            </w:r>
          </w:p>
        </w:tc>
      </w:tr>
      <w:tr>
        <w:tc>
          <w:tcPr>
            <w:tcW w:type="dxa" w:w="5184"/>
            <w:tcMar>
              <w:top w:w="80" w:type="dxa"/>
              <w:start w:w="120" w:type="dxa"/>
              <w:bottom w:w="80" w:type="dxa"/>
              <w:end w:w="120" w:type="dxa"/>
            </w:tcMar>
            <w:vAlign w:val="center"/>
          </w:tcPr>
          <w:p>
            <w:pPr>
              <w:jc w:val="left"/>
            </w:pPr>
            <w:r>
              <w:t>Decyzja</w:t>
            </w:r>
          </w:p>
        </w:tc>
        <w:tc>
          <w:tcPr>
            <w:tcW w:type="dxa" w:w="4176"/>
            <w:tcMar>
              <w:top w:w="80" w:type="dxa"/>
              <w:start w:w="120" w:type="dxa"/>
              <w:bottom w:w="80" w:type="dxa"/>
              <w:end w:w="120" w:type="dxa"/>
            </w:tcMar>
            <w:vAlign w:val="center"/>
          </w:tcPr>
          <w:p>
            <w:pPr>
              <w:jc w:val="center"/>
            </w:pPr>
            <w:r>
              <w:t>brak podstaw do odrzucenia H₀</w:t>
            </w:r>
          </w:p>
        </w:tc>
      </w:tr>
    </w:tbl>
    <w:p/>
    <w:p>
      <w:r>
        <w:t>Ponieważ t = 0,307 &lt; 1,356 oraz p-value = 0,382 &gt; 0,10, nie odrzucamy hipotezy zerowej. Na poziomie istotności 0,10 nie ma podstaw, aby stwierdzić, że przeciętny poziom hałasu w hali przekracza 45 dB.</w:t>
      </w:r>
    </w:p>
    <w:p>
      <w:pPr>
        <w:pStyle w:val="Heading2"/>
      </w:pPr>
      <w:r>
        <w:t>e) Interpretacja wyników</w:t>
      </w:r>
    </w:p>
    <w:p>
      <w:r>
        <w:t>Wyniki sugerują, że średni poziom hałasu jest bardzo bliski granicy 45 dB. Próba nie daje jednak statystycznie istotnego dowodu przekroczenia tej granicy. Zmienność pomiarów jest umiarkowana, co potwierdza odchylenie standardowe około 4,52 dB oraz dość szeroki przedział ufności dla wariancji.</w:t>
      </w:r>
    </w:p>
    <w:p>
      <w:r>
        <w:br w:type="page"/>
      </w:r>
    </w:p>
    <w:p>
      <w:pPr>
        <w:pStyle w:val="Heading1"/>
      </w:pPr>
      <w:r>
        <w:t>Zadanie 2</w:t>
      </w:r>
    </w:p>
    <w:p>
      <w:r>
        <w:t>Dane opisują wartość produkcji y_i w mln zł oraz liczbę zatrudnionych x_i w osobach.</w:t>
      </w:r>
    </w:p>
    <w:tbl>
      <w:tblPr>
        <w:tblW w:type="dxa" w:w="9360"/>
        <w:tblLayout w:type="fixed"/>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Ind w:type="dxa" w:w="120"/>
      </w:tblPr>
      <w:tblGrid>
        <w:gridCol w:w="1152"/>
        <w:gridCol w:w="4104"/>
        <w:gridCol w:w="4104"/>
      </w:tblGrid>
      <w:tr>
        <w:tc>
          <w:tcPr>
            <w:tcW w:type="dxa" w:w="1152"/>
            <w:shd w:fill="F2F4F7"/>
            <w:tcMar>
              <w:top w:w="80" w:type="dxa"/>
              <w:start w:w="120" w:type="dxa"/>
              <w:bottom w:w="80" w:type="dxa"/>
              <w:end w:w="120" w:type="dxa"/>
            </w:tcMar>
            <w:vAlign w:val="center"/>
          </w:tcPr>
          <w:p>
            <w:pPr>
              <w:jc w:val="center"/>
            </w:pPr>
            <w:r>
              <w:rPr>
                <w:b/>
              </w:rPr>
              <w:t>i</w:t>
            </w:r>
          </w:p>
        </w:tc>
        <w:tc>
          <w:tcPr>
            <w:tcW w:type="dxa" w:w="4104"/>
            <w:shd w:fill="F2F4F7"/>
            <w:tcMar>
              <w:top w:w="80" w:type="dxa"/>
              <w:start w:w="120" w:type="dxa"/>
              <w:bottom w:w="80" w:type="dxa"/>
              <w:end w:w="120" w:type="dxa"/>
            </w:tcMar>
            <w:vAlign w:val="center"/>
          </w:tcPr>
          <w:p>
            <w:pPr>
              <w:jc w:val="center"/>
            </w:pPr>
            <w:r>
              <w:rPr>
                <w:b/>
              </w:rPr>
              <w:t>x_i (osoby)</w:t>
            </w:r>
          </w:p>
        </w:tc>
        <w:tc>
          <w:tcPr>
            <w:tcW w:type="dxa" w:w="4104"/>
            <w:shd w:fill="F2F4F7"/>
            <w:tcMar>
              <w:top w:w="80" w:type="dxa"/>
              <w:start w:w="120" w:type="dxa"/>
              <w:bottom w:w="80" w:type="dxa"/>
              <w:end w:w="120" w:type="dxa"/>
            </w:tcMar>
            <w:vAlign w:val="center"/>
          </w:tcPr>
          <w:p>
            <w:pPr>
              <w:jc w:val="center"/>
            </w:pPr>
            <w:r>
              <w:rPr>
                <w:b/>
              </w:rPr>
              <w:t>y_i (mln zł)</w:t>
            </w:r>
          </w:p>
        </w:tc>
      </w:tr>
      <w:tr>
        <w:tc>
          <w:tcPr>
            <w:tcW w:type="dxa" w:w="1152"/>
            <w:tcMar>
              <w:top w:w="80" w:type="dxa"/>
              <w:start w:w="120" w:type="dxa"/>
              <w:bottom w:w="80" w:type="dxa"/>
              <w:end w:w="120" w:type="dxa"/>
            </w:tcMar>
            <w:vAlign w:val="center"/>
          </w:tcPr>
          <w:p>
            <w:pPr>
              <w:jc w:val="center"/>
            </w:pPr>
            <w:r>
              <w:t>1</w:t>
            </w:r>
          </w:p>
        </w:tc>
        <w:tc>
          <w:tcPr>
            <w:tcW w:type="dxa" w:w="4104"/>
            <w:tcMar>
              <w:top w:w="80" w:type="dxa"/>
              <w:start w:w="120" w:type="dxa"/>
              <w:bottom w:w="80" w:type="dxa"/>
              <w:end w:w="120" w:type="dxa"/>
            </w:tcMar>
            <w:vAlign w:val="center"/>
          </w:tcPr>
          <w:p>
            <w:pPr>
              <w:jc w:val="center"/>
            </w:pPr>
            <w:r>
              <w:t>15</w:t>
            </w:r>
          </w:p>
        </w:tc>
        <w:tc>
          <w:tcPr>
            <w:tcW w:type="dxa" w:w="4104"/>
            <w:tcMar>
              <w:top w:w="80" w:type="dxa"/>
              <w:start w:w="120" w:type="dxa"/>
              <w:bottom w:w="80" w:type="dxa"/>
              <w:end w:w="120" w:type="dxa"/>
            </w:tcMar>
            <w:vAlign w:val="center"/>
          </w:tcPr>
          <w:p>
            <w:pPr>
              <w:jc w:val="center"/>
            </w:pPr>
            <w:r>
              <w:t>2</w:t>
            </w:r>
          </w:p>
        </w:tc>
      </w:tr>
      <w:tr>
        <w:tc>
          <w:tcPr>
            <w:tcW w:type="dxa" w:w="1152"/>
            <w:tcMar>
              <w:top w:w="80" w:type="dxa"/>
              <w:start w:w="120" w:type="dxa"/>
              <w:bottom w:w="80" w:type="dxa"/>
              <w:end w:w="120" w:type="dxa"/>
            </w:tcMar>
            <w:vAlign w:val="center"/>
          </w:tcPr>
          <w:p>
            <w:pPr>
              <w:jc w:val="center"/>
            </w:pPr>
            <w:r>
              <w:t>2</w:t>
            </w:r>
          </w:p>
        </w:tc>
        <w:tc>
          <w:tcPr>
            <w:tcW w:type="dxa" w:w="4104"/>
            <w:tcMar>
              <w:top w:w="80" w:type="dxa"/>
              <w:start w:w="120" w:type="dxa"/>
              <w:bottom w:w="80" w:type="dxa"/>
              <w:end w:w="120" w:type="dxa"/>
            </w:tcMar>
            <w:vAlign w:val="center"/>
          </w:tcPr>
          <w:p>
            <w:pPr>
              <w:jc w:val="center"/>
            </w:pPr>
            <w:r>
              <w:t>23</w:t>
            </w:r>
          </w:p>
        </w:tc>
        <w:tc>
          <w:tcPr>
            <w:tcW w:type="dxa" w:w="4104"/>
            <w:tcMar>
              <w:top w:w="80" w:type="dxa"/>
              <w:start w:w="120" w:type="dxa"/>
              <w:bottom w:w="80" w:type="dxa"/>
              <w:end w:w="120" w:type="dxa"/>
            </w:tcMar>
            <w:vAlign w:val="center"/>
          </w:tcPr>
          <w:p>
            <w:pPr>
              <w:jc w:val="center"/>
            </w:pPr>
            <w:r>
              <w:t>4</w:t>
            </w:r>
          </w:p>
        </w:tc>
      </w:tr>
      <w:tr>
        <w:tc>
          <w:tcPr>
            <w:tcW w:type="dxa" w:w="1152"/>
            <w:tcMar>
              <w:top w:w="80" w:type="dxa"/>
              <w:start w:w="120" w:type="dxa"/>
              <w:bottom w:w="80" w:type="dxa"/>
              <w:end w:w="120" w:type="dxa"/>
            </w:tcMar>
            <w:vAlign w:val="center"/>
          </w:tcPr>
          <w:p>
            <w:pPr>
              <w:jc w:val="center"/>
            </w:pPr>
            <w:r>
              <w:t>3</w:t>
            </w:r>
          </w:p>
        </w:tc>
        <w:tc>
          <w:tcPr>
            <w:tcW w:type="dxa" w:w="4104"/>
            <w:tcMar>
              <w:top w:w="80" w:type="dxa"/>
              <w:start w:w="120" w:type="dxa"/>
              <w:bottom w:w="80" w:type="dxa"/>
              <w:end w:w="120" w:type="dxa"/>
            </w:tcMar>
            <w:vAlign w:val="center"/>
          </w:tcPr>
          <w:p>
            <w:pPr>
              <w:jc w:val="center"/>
            </w:pPr>
            <w:r>
              <w:t>30</w:t>
            </w:r>
          </w:p>
        </w:tc>
        <w:tc>
          <w:tcPr>
            <w:tcW w:type="dxa" w:w="4104"/>
            <w:tcMar>
              <w:top w:w="80" w:type="dxa"/>
              <w:start w:w="120" w:type="dxa"/>
              <w:bottom w:w="80" w:type="dxa"/>
              <w:end w:w="120" w:type="dxa"/>
            </w:tcMar>
            <w:vAlign w:val="center"/>
          </w:tcPr>
          <w:p>
            <w:pPr>
              <w:jc w:val="center"/>
            </w:pPr>
            <w:r>
              <w:t>4</w:t>
            </w:r>
          </w:p>
        </w:tc>
      </w:tr>
      <w:tr>
        <w:tc>
          <w:tcPr>
            <w:tcW w:type="dxa" w:w="1152"/>
            <w:tcMar>
              <w:top w:w="80" w:type="dxa"/>
              <w:start w:w="120" w:type="dxa"/>
              <w:bottom w:w="80" w:type="dxa"/>
              <w:end w:w="120" w:type="dxa"/>
            </w:tcMar>
            <w:vAlign w:val="center"/>
          </w:tcPr>
          <w:p>
            <w:pPr>
              <w:jc w:val="center"/>
            </w:pPr>
            <w:r>
              <w:t>4</w:t>
            </w:r>
          </w:p>
        </w:tc>
        <w:tc>
          <w:tcPr>
            <w:tcW w:type="dxa" w:w="4104"/>
            <w:tcMar>
              <w:top w:w="80" w:type="dxa"/>
              <w:start w:w="120" w:type="dxa"/>
              <w:bottom w:w="80" w:type="dxa"/>
              <w:end w:w="120" w:type="dxa"/>
            </w:tcMar>
            <w:vAlign w:val="center"/>
          </w:tcPr>
          <w:p>
            <w:pPr>
              <w:jc w:val="center"/>
            </w:pPr>
            <w:r>
              <w:t>54</w:t>
            </w:r>
          </w:p>
        </w:tc>
        <w:tc>
          <w:tcPr>
            <w:tcW w:type="dxa" w:w="4104"/>
            <w:tcMar>
              <w:top w:w="80" w:type="dxa"/>
              <w:start w:w="120" w:type="dxa"/>
              <w:bottom w:w="80" w:type="dxa"/>
              <w:end w:w="120" w:type="dxa"/>
            </w:tcMar>
            <w:vAlign w:val="center"/>
          </w:tcPr>
          <w:p>
            <w:pPr>
              <w:jc w:val="center"/>
            </w:pPr>
            <w:r>
              <w:t>6</w:t>
            </w:r>
          </w:p>
        </w:tc>
      </w:tr>
      <w:tr>
        <w:tc>
          <w:tcPr>
            <w:tcW w:type="dxa" w:w="1152"/>
            <w:tcMar>
              <w:top w:w="80" w:type="dxa"/>
              <w:start w:w="120" w:type="dxa"/>
              <w:bottom w:w="80" w:type="dxa"/>
              <w:end w:w="120" w:type="dxa"/>
            </w:tcMar>
            <w:vAlign w:val="center"/>
          </w:tcPr>
          <w:p>
            <w:pPr>
              <w:jc w:val="center"/>
            </w:pPr>
            <w:r>
              <w:t>5</w:t>
            </w:r>
          </w:p>
        </w:tc>
        <w:tc>
          <w:tcPr>
            <w:tcW w:type="dxa" w:w="4104"/>
            <w:tcMar>
              <w:top w:w="80" w:type="dxa"/>
              <w:start w:w="120" w:type="dxa"/>
              <w:bottom w:w="80" w:type="dxa"/>
              <w:end w:w="120" w:type="dxa"/>
            </w:tcMar>
            <w:vAlign w:val="center"/>
          </w:tcPr>
          <w:p>
            <w:pPr>
              <w:jc w:val="center"/>
            </w:pPr>
            <w:r>
              <w:t>44</w:t>
            </w:r>
          </w:p>
        </w:tc>
        <w:tc>
          <w:tcPr>
            <w:tcW w:type="dxa" w:w="4104"/>
            <w:tcMar>
              <w:top w:w="80" w:type="dxa"/>
              <w:start w:w="120" w:type="dxa"/>
              <w:bottom w:w="80" w:type="dxa"/>
              <w:end w:w="120" w:type="dxa"/>
            </w:tcMar>
            <w:vAlign w:val="center"/>
          </w:tcPr>
          <w:p>
            <w:pPr>
              <w:jc w:val="center"/>
            </w:pPr>
            <w:r>
              <w:t>7</w:t>
            </w:r>
          </w:p>
        </w:tc>
      </w:tr>
      <w:tr>
        <w:tc>
          <w:tcPr>
            <w:tcW w:type="dxa" w:w="1152"/>
            <w:tcMar>
              <w:top w:w="80" w:type="dxa"/>
              <w:start w:w="120" w:type="dxa"/>
              <w:bottom w:w="80" w:type="dxa"/>
              <w:end w:w="120" w:type="dxa"/>
            </w:tcMar>
            <w:vAlign w:val="center"/>
          </w:tcPr>
          <w:p>
            <w:pPr>
              <w:jc w:val="center"/>
            </w:pPr>
            <w:r>
              <w:t>6</w:t>
            </w:r>
          </w:p>
        </w:tc>
        <w:tc>
          <w:tcPr>
            <w:tcW w:type="dxa" w:w="4104"/>
            <w:tcMar>
              <w:top w:w="80" w:type="dxa"/>
              <w:start w:w="120" w:type="dxa"/>
              <w:bottom w:w="80" w:type="dxa"/>
              <w:end w:w="120" w:type="dxa"/>
            </w:tcMar>
            <w:vAlign w:val="center"/>
          </w:tcPr>
          <w:p>
            <w:pPr>
              <w:jc w:val="center"/>
            </w:pPr>
            <w:r>
              <w:t>50</w:t>
            </w:r>
          </w:p>
        </w:tc>
        <w:tc>
          <w:tcPr>
            <w:tcW w:type="dxa" w:w="4104"/>
            <w:tcMar>
              <w:top w:w="80" w:type="dxa"/>
              <w:start w:w="120" w:type="dxa"/>
              <w:bottom w:w="80" w:type="dxa"/>
              <w:end w:w="120" w:type="dxa"/>
            </w:tcMar>
            <w:vAlign w:val="center"/>
          </w:tcPr>
          <w:p>
            <w:pPr>
              <w:jc w:val="center"/>
            </w:pPr>
            <w:r>
              <w:t>7</w:t>
            </w:r>
          </w:p>
        </w:tc>
      </w:tr>
      <w:tr>
        <w:tc>
          <w:tcPr>
            <w:tcW w:type="dxa" w:w="1152"/>
            <w:tcMar>
              <w:top w:w="80" w:type="dxa"/>
              <w:start w:w="120" w:type="dxa"/>
              <w:bottom w:w="80" w:type="dxa"/>
              <w:end w:w="120" w:type="dxa"/>
            </w:tcMar>
            <w:vAlign w:val="center"/>
          </w:tcPr>
          <w:p>
            <w:pPr>
              <w:jc w:val="center"/>
            </w:pPr>
            <w:r>
              <w:t>7</w:t>
            </w:r>
          </w:p>
        </w:tc>
        <w:tc>
          <w:tcPr>
            <w:tcW w:type="dxa" w:w="4104"/>
            <w:tcMar>
              <w:top w:w="80" w:type="dxa"/>
              <w:start w:w="120" w:type="dxa"/>
              <w:bottom w:w="80" w:type="dxa"/>
              <w:end w:w="120" w:type="dxa"/>
            </w:tcMar>
            <w:vAlign w:val="center"/>
          </w:tcPr>
          <w:p>
            <w:pPr>
              <w:jc w:val="center"/>
            </w:pPr>
            <w:r>
              <w:t>56</w:t>
            </w:r>
          </w:p>
        </w:tc>
        <w:tc>
          <w:tcPr>
            <w:tcW w:type="dxa" w:w="4104"/>
            <w:tcMar>
              <w:top w:w="80" w:type="dxa"/>
              <w:start w:w="120" w:type="dxa"/>
              <w:bottom w:w="80" w:type="dxa"/>
              <w:end w:w="120" w:type="dxa"/>
            </w:tcMar>
            <w:vAlign w:val="center"/>
          </w:tcPr>
          <w:p>
            <w:pPr>
              <w:jc w:val="center"/>
            </w:pPr>
            <w:r>
              <w:t>8</w:t>
            </w:r>
          </w:p>
        </w:tc>
      </w:tr>
      <w:tr>
        <w:tc>
          <w:tcPr>
            <w:tcW w:type="dxa" w:w="1152"/>
            <w:tcMar>
              <w:top w:w="80" w:type="dxa"/>
              <w:start w:w="120" w:type="dxa"/>
              <w:bottom w:w="80" w:type="dxa"/>
              <w:end w:w="120" w:type="dxa"/>
            </w:tcMar>
            <w:vAlign w:val="center"/>
          </w:tcPr>
          <w:p>
            <w:pPr>
              <w:jc w:val="center"/>
            </w:pPr>
            <w:r>
              <w:t>8</w:t>
            </w:r>
          </w:p>
        </w:tc>
        <w:tc>
          <w:tcPr>
            <w:tcW w:type="dxa" w:w="4104"/>
            <w:tcMar>
              <w:top w:w="80" w:type="dxa"/>
              <w:start w:w="120" w:type="dxa"/>
              <w:bottom w:w="80" w:type="dxa"/>
              <w:end w:w="120" w:type="dxa"/>
            </w:tcMar>
            <w:vAlign w:val="center"/>
          </w:tcPr>
          <w:p>
            <w:pPr>
              <w:jc w:val="center"/>
            </w:pPr>
            <w:r>
              <w:t>70</w:t>
            </w:r>
          </w:p>
        </w:tc>
        <w:tc>
          <w:tcPr>
            <w:tcW w:type="dxa" w:w="4104"/>
            <w:tcMar>
              <w:top w:w="80" w:type="dxa"/>
              <w:start w:w="120" w:type="dxa"/>
              <w:bottom w:w="80" w:type="dxa"/>
              <w:end w:w="120" w:type="dxa"/>
            </w:tcMar>
            <w:vAlign w:val="center"/>
          </w:tcPr>
          <w:p>
            <w:pPr>
              <w:jc w:val="center"/>
            </w:pPr>
            <w:r>
              <w:t>9</w:t>
            </w:r>
          </w:p>
        </w:tc>
      </w:tr>
    </w:tbl>
    <w:p/>
    <w:p>
      <w:pPr>
        <w:pStyle w:val="Heading2"/>
      </w:pPr>
      <w:r>
        <w:t>a) Wykres zależności</w:t>
      </w:r>
    </w:p>
    <w:p>
      <w:pPr>
        <w:jc w:val="center"/>
      </w:pPr>
      <w:r>
        <w:drawing>
          <wp:inline xmlns:a="http://schemas.openxmlformats.org/drawingml/2006/main" xmlns:pic="http://schemas.openxmlformats.org/drawingml/2006/picture">
            <wp:extent cx="5669280" cy="3590544"/>
            <wp:docPr id="1" name="Picture 1"/>
            <wp:cNvGraphicFramePr>
              <a:graphicFrameLocks noChangeAspect="1"/>
            </wp:cNvGraphicFramePr>
            <a:graphic>
              <a:graphicData uri="http://schemas.openxmlformats.org/drawingml/2006/picture">
                <pic:pic>
                  <pic:nvPicPr>
                    <pic:cNvPr id="0" name="Temat_III_zadanie_2_wykres.png"/>
                    <pic:cNvPicPr/>
                  </pic:nvPicPr>
                  <pic:blipFill>
                    <a:blip r:embed="rId9"/>
                    <a:stretch>
                      <a:fillRect/>
                    </a:stretch>
                  </pic:blipFill>
                  <pic:spPr>
                    <a:xfrm>
                      <a:off x="0" y="0"/>
                      <a:ext cx="5669280" cy="3590544"/>
                    </a:xfrm>
                    <a:prstGeom prst="rect"/>
                  </pic:spPr>
                </pic:pic>
              </a:graphicData>
            </a:graphic>
          </wp:inline>
        </w:drawing>
      </w:r>
    </w:p>
    <w:p>
      <w:pPr>
        <w:spacing w:after="200"/>
        <w:jc w:val="center"/>
      </w:pPr>
      <w:r>
        <w:rPr>
          <w:i/>
        </w:rPr>
        <w:t>Wykres punktowy z linią trendu dla par (x_i, y_i).</w:t>
      </w:r>
    </w:p>
    <w:p>
      <w:pPr>
        <w:pStyle w:val="Heading2"/>
      </w:pPr>
      <w:r>
        <w:t>b) Współczynnik korelacji</w:t>
      </w:r>
    </w:p>
    <w:p>
      <w:pPr>
        <w:spacing w:before="40" w:after="120"/>
        <w:ind w:left="340"/>
      </w:pPr>
      <w:r>
        <w:rPr>
          <w:rFonts w:ascii="Consolas" w:hAnsi="Consolas"/>
          <w:sz w:val="20"/>
        </w:rPr>
        <w:t>r = Σ[(x_i - x̄)(y_i - ȳ)] / √(Σ(x_i - x̄)² · Σ(y_i - ȳ)²)</w:t>
      </w:r>
    </w:p>
    <w:p>
      <w:pPr>
        <w:spacing w:before="40" w:after="120"/>
        <w:ind w:left="340"/>
      </w:pPr>
      <w:r>
        <w:rPr>
          <w:rFonts w:ascii="Consolas" w:hAnsi="Consolas"/>
          <w:sz w:val="20"/>
        </w:rPr>
        <w:t>r = 0,954;   r² = 0,910</w:t>
      </w:r>
    </w:p>
    <w:p>
      <w:r>
        <w:t>Współczynnik korelacji Pearsona wynosi 0,954. Oznacza to bardzo silną dodatnią zależność liniową: w badanej próbie przedsiębiorstwa zatrudniające więcej osób osiągają zwykle większą wartość produkcji. Wartość r² = 0,910 wskazuje, że około 91,0% zróżnicowania wartości produkcji można opisać liniową zależnością od liczby zatrudnionych.</w:t>
      </w:r>
    </w:p>
    <w:p>
      <w:pPr>
        <w:pStyle w:val="Heading1"/>
      </w:pPr>
      <w:r>
        <w:t>Zadanie 3</w:t>
      </w:r>
    </w:p>
    <w:p>
      <w:r>
        <w:t>Rozkład rzadkich zdarzeń, czyli rozkład Poissona, opisuje liczbę wystąpień zdarzenia w ustalonym przedziale czasu, przestrzeni lub innej jednostce obserwacji, jeżeli zdarzenia pojawiają się niezależnie i ze stałą średnią intensywnością.</w:t>
      </w:r>
    </w:p>
    <w:p>
      <w:pPr>
        <w:spacing w:before="40" w:after="120"/>
        <w:ind w:left="340"/>
      </w:pPr>
      <w:r>
        <w:rPr>
          <w:rFonts w:ascii="Consolas" w:hAnsi="Consolas"/>
          <w:sz w:val="20"/>
        </w:rPr>
        <w:t>P(X = k) = (λ^k · e^(-λ)) / k!,   k = 0, 1, 2, ...;   λ &gt; 0</w:t>
      </w:r>
    </w:p>
    <w:tbl>
      <w:tblPr>
        <w:tblW w:type="dxa" w:w="9360"/>
        <w:tblLayout w:type="fixed"/>
        <w:tblLook w:firstColumn="1" w:firstRow="1" w:lastColumn="0" w:lastRow="0" w:noHBand="0" w:noVBand="1" w:val="04A0"/>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Ind w:type="dxa" w:w="120"/>
      </w:tblPr>
      <w:tblGrid>
        <w:gridCol w:w="2592"/>
        <w:gridCol w:w="6768"/>
      </w:tblGrid>
      <w:tr>
        <w:tc>
          <w:tcPr>
            <w:tcW w:type="dxa" w:w="2592"/>
            <w:shd w:fill="F2F4F7"/>
            <w:tcMar>
              <w:top w:w="80" w:type="dxa"/>
              <w:start w:w="120" w:type="dxa"/>
              <w:bottom w:w="80" w:type="dxa"/>
              <w:end w:w="120" w:type="dxa"/>
            </w:tcMar>
            <w:vAlign w:val="center"/>
          </w:tcPr>
          <w:p>
            <w:pPr>
              <w:jc w:val="center"/>
            </w:pPr>
            <w:r>
              <w:rPr>
                <w:b/>
              </w:rPr>
              <w:t>Własność</w:t>
            </w:r>
          </w:p>
        </w:tc>
        <w:tc>
          <w:tcPr>
            <w:tcW w:type="dxa" w:w="6768"/>
            <w:shd w:fill="F2F4F7"/>
            <w:tcMar>
              <w:top w:w="80" w:type="dxa"/>
              <w:start w:w="120" w:type="dxa"/>
              <w:bottom w:w="80" w:type="dxa"/>
              <w:end w:w="120" w:type="dxa"/>
            </w:tcMar>
            <w:vAlign w:val="center"/>
          </w:tcPr>
          <w:p>
            <w:pPr>
              <w:jc w:val="center"/>
            </w:pPr>
            <w:r>
              <w:rPr>
                <w:b/>
              </w:rPr>
              <w:t>Opis</w:t>
            </w:r>
          </w:p>
        </w:tc>
      </w:tr>
      <w:tr>
        <w:tc>
          <w:tcPr>
            <w:tcW w:type="dxa" w:w="2592"/>
            <w:tcMar>
              <w:top w:w="80" w:type="dxa"/>
              <w:start w:w="120" w:type="dxa"/>
              <w:bottom w:w="80" w:type="dxa"/>
              <w:end w:w="120" w:type="dxa"/>
            </w:tcMar>
            <w:vAlign w:val="center"/>
          </w:tcPr>
          <w:p>
            <w:pPr>
              <w:jc w:val="left"/>
            </w:pPr>
            <w:r>
              <w:t>Parametr</w:t>
            </w:r>
          </w:p>
        </w:tc>
        <w:tc>
          <w:tcPr>
            <w:tcW w:type="dxa" w:w="6768"/>
            <w:tcMar>
              <w:top w:w="80" w:type="dxa"/>
              <w:start w:w="120" w:type="dxa"/>
              <w:bottom w:w="80" w:type="dxa"/>
              <w:end w:w="120" w:type="dxa"/>
            </w:tcMar>
            <w:vAlign w:val="center"/>
          </w:tcPr>
          <w:p>
            <w:pPr>
              <w:jc w:val="left"/>
            </w:pPr>
            <w:r>
              <w:t>λ oznacza średnią liczbę zdarzeń w rozpatrywanym przedziale.</w:t>
            </w:r>
          </w:p>
        </w:tc>
      </w:tr>
      <w:tr>
        <w:tc>
          <w:tcPr>
            <w:tcW w:type="dxa" w:w="2592"/>
            <w:tcMar>
              <w:top w:w="80" w:type="dxa"/>
              <w:start w:w="120" w:type="dxa"/>
              <w:bottom w:w="80" w:type="dxa"/>
              <w:end w:w="120" w:type="dxa"/>
            </w:tcMar>
            <w:vAlign w:val="center"/>
          </w:tcPr>
          <w:p>
            <w:pPr>
              <w:jc w:val="left"/>
            </w:pPr>
            <w:r>
              <w:t>Wartość oczekiwana</w:t>
            </w:r>
          </w:p>
        </w:tc>
        <w:tc>
          <w:tcPr>
            <w:tcW w:type="dxa" w:w="6768"/>
            <w:tcMar>
              <w:top w:w="80" w:type="dxa"/>
              <w:start w:w="120" w:type="dxa"/>
              <w:bottom w:w="80" w:type="dxa"/>
              <w:end w:w="120" w:type="dxa"/>
            </w:tcMar>
            <w:vAlign w:val="center"/>
          </w:tcPr>
          <w:p>
            <w:pPr>
              <w:jc w:val="left"/>
            </w:pPr>
            <w:r>
              <w:t>E(X) = λ.</w:t>
            </w:r>
          </w:p>
        </w:tc>
      </w:tr>
      <w:tr>
        <w:tc>
          <w:tcPr>
            <w:tcW w:type="dxa" w:w="2592"/>
            <w:tcMar>
              <w:top w:w="80" w:type="dxa"/>
              <w:start w:w="120" w:type="dxa"/>
              <w:bottom w:w="80" w:type="dxa"/>
              <w:end w:w="120" w:type="dxa"/>
            </w:tcMar>
            <w:vAlign w:val="center"/>
          </w:tcPr>
          <w:p>
            <w:pPr>
              <w:jc w:val="left"/>
            </w:pPr>
            <w:r>
              <w:t>Wariancja</w:t>
            </w:r>
          </w:p>
        </w:tc>
        <w:tc>
          <w:tcPr>
            <w:tcW w:type="dxa" w:w="6768"/>
            <w:tcMar>
              <w:top w:w="80" w:type="dxa"/>
              <w:start w:w="120" w:type="dxa"/>
              <w:bottom w:w="80" w:type="dxa"/>
              <w:end w:w="120" w:type="dxa"/>
            </w:tcMar>
            <w:vAlign w:val="center"/>
          </w:tcPr>
          <w:p>
            <w:pPr>
              <w:jc w:val="left"/>
            </w:pPr>
            <w:r>
              <w:t>D²(X) = Var(X) = λ, a odchylenie standardowe wynosi √λ.</w:t>
            </w:r>
          </w:p>
        </w:tc>
      </w:tr>
      <w:tr>
        <w:tc>
          <w:tcPr>
            <w:tcW w:type="dxa" w:w="2592"/>
            <w:tcMar>
              <w:top w:w="80" w:type="dxa"/>
              <w:start w:w="120" w:type="dxa"/>
              <w:bottom w:w="80" w:type="dxa"/>
              <w:end w:w="120" w:type="dxa"/>
            </w:tcMar>
            <w:vAlign w:val="center"/>
          </w:tcPr>
          <w:p>
            <w:pPr>
              <w:jc w:val="left"/>
            </w:pPr>
            <w:r>
              <w:t>Niezależność przyrostów</w:t>
            </w:r>
          </w:p>
        </w:tc>
        <w:tc>
          <w:tcPr>
            <w:tcW w:type="dxa" w:w="6768"/>
            <w:tcMar>
              <w:top w:w="80" w:type="dxa"/>
              <w:start w:w="120" w:type="dxa"/>
              <w:bottom w:w="80" w:type="dxa"/>
              <w:end w:w="120" w:type="dxa"/>
            </w:tcMar>
            <w:vAlign w:val="center"/>
          </w:tcPr>
          <w:p>
            <w:pPr>
              <w:jc w:val="left"/>
            </w:pPr>
            <w:r>
              <w:t>Liczby zdarzeń w rozłącznych przedziałach są niezależne.</w:t>
            </w:r>
          </w:p>
        </w:tc>
      </w:tr>
      <w:tr>
        <w:tc>
          <w:tcPr>
            <w:tcW w:type="dxa" w:w="2592"/>
            <w:tcMar>
              <w:top w:w="80" w:type="dxa"/>
              <w:start w:w="120" w:type="dxa"/>
              <w:bottom w:w="80" w:type="dxa"/>
              <w:end w:w="120" w:type="dxa"/>
            </w:tcMar>
            <w:vAlign w:val="center"/>
          </w:tcPr>
          <w:p>
            <w:pPr>
              <w:jc w:val="left"/>
            </w:pPr>
            <w:r>
              <w:t>Addytywność</w:t>
            </w:r>
          </w:p>
        </w:tc>
        <w:tc>
          <w:tcPr>
            <w:tcW w:type="dxa" w:w="6768"/>
            <w:tcMar>
              <w:top w:w="80" w:type="dxa"/>
              <w:start w:w="120" w:type="dxa"/>
              <w:bottom w:w="80" w:type="dxa"/>
              <w:end w:w="120" w:type="dxa"/>
            </w:tcMar>
            <w:vAlign w:val="center"/>
          </w:tcPr>
          <w:p>
            <w:pPr>
              <w:jc w:val="left"/>
            </w:pPr>
            <w:r>
              <w:t>Suma niezależnych zmiennych Poissona ma rozkład Poissona z parametrem równym sumie parametrów.</w:t>
            </w:r>
          </w:p>
        </w:tc>
      </w:tr>
      <w:tr>
        <w:tc>
          <w:tcPr>
            <w:tcW w:type="dxa" w:w="2592"/>
            <w:tcMar>
              <w:top w:w="80" w:type="dxa"/>
              <w:start w:w="120" w:type="dxa"/>
              <w:bottom w:w="80" w:type="dxa"/>
              <w:end w:w="120" w:type="dxa"/>
            </w:tcMar>
            <w:vAlign w:val="center"/>
          </w:tcPr>
          <w:p>
            <w:pPr>
              <w:jc w:val="left"/>
            </w:pPr>
            <w:r>
              <w:t>Zastosowania</w:t>
            </w:r>
          </w:p>
        </w:tc>
        <w:tc>
          <w:tcPr>
            <w:tcW w:type="dxa" w:w="6768"/>
            <w:tcMar>
              <w:top w:w="80" w:type="dxa"/>
              <w:start w:w="120" w:type="dxa"/>
              <w:bottom w:w="80" w:type="dxa"/>
              <w:end w:w="120" w:type="dxa"/>
            </w:tcMar>
            <w:vAlign w:val="center"/>
          </w:tcPr>
          <w:p>
            <w:pPr>
              <w:jc w:val="left"/>
            </w:pPr>
            <w:r>
              <w:t>Liczba awarii, wypadków, zgłoszeń, błędów drukarskich lub klientów w jednostce czasu.</w:t>
            </w:r>
          </w:p>
        </w:tc>
      </w:tr>
      <w:tr>
        <w:tc>
          <w:tcPr>
            <w:tcW w:type="dxa" w:w="2592"/>
            <w:tcMar>
              <w:top w:w="80" w:type="dxa"/>
              <w:start w:w="120" w:type="dxa"/>
              <w:bottom w:w="80" w:type="dxa"/>
              <w:end w:w="120" w:type="dxa"/>
            </w:tcMar>
            <w:vAlign w:val="center"/>
          </w:tcPr>
          <w:p>
            <w:pPr>
              <w:jc w:val="left"/>
            </w:pPr>
            <w:r>
              <w:t>Przybliżenie dwumianowego</w:t>
            </w:r>
          </w:p>
        </w:tc>
        <w:tc>
          <w:tcPr>
            <w:tcW w:type="dxa" w:w="6768"/>
            <w:tcMar>
              <w:top w:w="80" w:type="dxa"/>
              <w:start w:w="120" w:type="dxa"/>
              <w:bottom w:w="80" w:type="dxa"/>
              <w:end w:w="120" w:type="dxa"/>
            </w:tcMar>
            <w:vAlign w:val="center"/>
          </w:tcPr>
          <w:p>
            <w:pPr>
              <w:jc w:val="left"/>
            </w:pPr>
            <w:r>
              <w:t>Dla dużego n i małego p rozkład B(n, p) można przybliżyć rozkładem Poissona z λ = np.</w:t>
            </w:r>
          </w:p>
        </w:tc>
      </w:tr>
    </w:tbl>
    <w:p/>
    <w:p>
      <w:r>
        <w:t>Interpretacja parametru jest prosta: jeżeli λ = 3, to w danym przedziale oczekujemy średnio trzech zdarzeń. Im większe λ, tym rozkład staje się mniej skośny i bardziej zbliża się kształtem do rozkładu normalnego.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Temat III - rozwiązania</dc:title>
  <dc:subject>Statystyka</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