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Audit</w:t>
      </w:r>
      <w:r>
        <w:t xml:space="preserve"> </w:t>
      </w:r>
      <w:r>
        <w:t xml:space="preserve">Descent</w:t>
      </w:r>
      <w:r>
        <w:t xml:space="preserve"> </w:t>
      </w:r>
      <w:r>
        <w:t xml:space="preserve">Calculus</w:t>
      </w:r>
    </w:p>
    <w:p>
      <w:pPr>
        <w:pStyle w:val="Subtitle"/>
        <w:jc w:val="center"/>
      </w:pPr>
      <w:r>
        <w:t xml:space="preserve">Certificate</w:t>
      </w:r>
      <w:r>
        <w:t xml:space="preserve"> </w:t>
      </w:r>
      <w:r>
        <w:t xml:space="preserve">Naturality,</w:t>
      </w:r>
      <w:r>
        <w:t xml:space="preserve"> </w:t>
      </w:r>
      <w:r>
        <w:t xml:space="preserve">Observation</w:t>
      </w:r>
      <w:r>
        <w:t xml:space="preserve"> </w:t>
      </w:r>
      <w:r>
        <w:t xml:space="preserve">Galois</w:t>
      </w:r>
      <w:r>
        <w:t xml:space="preserve"> </w:t>
      </w:r>
      <w:r>
        <w:t xml:space="preserve">Lattices,</w:t>
      </w:r>
      <w:r>
        <w:t xml:space="preserve"> </w:t>
      </w:r>
      <w:r>
        <w:t xml:space="preserve">Atomic</w:t>
      </w:r>
      <w:r>
        <w:t xml:space="preserve"> </w:t>
      </w:r>
      <w:r>
        <w:t xml:space="preserve">Rigidity,</w:t>
      </w:r>
      <w:r>
        <w:t xml:space="preserve"> </w:t>
      </w:r>
      <w:r>
        <w:t xml:space="preserve">and</w:t>
      </w:r>
      <w:r>
        <w:t xml:space="preserve"> </w:t>
      </w:r>
      <w:r>
        <w:t xml:space="preserve">an</w:t>
      </w:r>
      <w:r>
        <w:t xml:space="preserve"> </w:t>
      </w:r>
      <w:r>
        <w:t xml:space="preserve">Executable</w:t>
      </w:r>
      <w:r>
        <w:t xml:space="preserve"> </w:t>
      </w:r>
      <w:r>
        <w:t xml:space="preserve">Scientific</w:t>
      </w:r>
      <w:r>
        <w:t xml:space="preserve"> </w:t>
      </w:r>
      <w:r>
        <w:t xml:space="preserve">Court</w:t>
      </w:r>
    </w:p>
    <w:p>
      <w:pPr>
        <w:pStyle w:val="Author"/>
        <w:jc w:val="center"/>
      </w:pPr>
      <w:r>
        <w:t xml:space="preserve">J.</w:t>
      </w:r>
      <w:r>
        <w:t xml:space="preserve"> </w:t>
      </w:r>
      <w:r>
        <w:t xml:space="preserve">Tree</w:t>
      </w:r>
    </w:p>
    <w:p>
      <w:pPr>
        <w:pStyle w:val="Date"/>
        <w:jc w:val="center"/>
      </w:pPr>
      <w:r>
        <w:t>20 July 2026 - revised for audit engine 0.3.0a2</w:t>
      </w:r>
    </w:p>
    <w:bookmarkStart w:id="20" w:name="contents"/>
    <w:p>
      <w:pPr>
        <w:pStyle w:val="Heading1"/>
        <w:pageBreakBefore/>
        <w:pBdr>
          <w:bottom w:val="single" w:sz="6" w:space="4" w:color="E8EEF5"/>
        </w:pBdr>
      </w:pPr>
      <w:r>
        <w:t xml:space="preserve">Contents</w:t>
      </w:r>
    </w:p>
    <w:p>
      <w:pPr>
        <w:numPr>
          <w:ilvl w:val="0"/>
          <w:numId w:val="1001"/>
        </w:numPr>
        <w:pStyle w:val="Compact"/>
      </w:pPr>
      <w:r>
        <w:t xml:space="preserve">Executive resolution and status ledger</w:t>
      </w:r>
    </w:p>
    <w:p>
      <w:pPr>
        <w:numPr>
          <w:ilvl w:val="0"/>
          <w:numId w:val="1001"/>
        </w:numPr>
        <w:pStyle w:val="Compact"/>
      </w:pPr>
      <w:r>
        <w:t xml:space="preserve">Scope and scientific court</w:t>
      </w:r>
    </w:p>
    <w:p>
      <w:pPr>
        <w:numPr>
          <w:ilvl w:val="0"/>
          <w:numId w:val="1001"/>
        </w:numPr>
        <w:pStyle w:val="Compact"/>
      </w:pPr>
      <w:r>
        <w:t xml:space="preserve">Audit descent datum</w:t>
      </w:r>
    </w:p>
    <w:p>
      <w:pPr>
        <w:numPr>
          <w:ilvl w:val="0"/>
          <w:numId w:val="1001"/>
        </w:numPr>
        <w:pStyle w:val="Compact"/>
      </w:pPr>
      <w:r>
        <w:t xml:space="preserve">Observation-descent Galois lattice</w:t>
      </w:r>
    </w:p>
    <w:p>
      <w:pPr>
        <w:numPr>
          <w:ilvl w:val="0"/>
          <w:numId w:val="1001"/>
        </w:numPr>
        <w:pStyle w:val="Compact"/>
      </w:pPr>
      <w:r>
        <w:t xml:space="preserve">Quantitative defect transport</w:t>
      </w:r>
    </w:p>
    <w:p>
      <w:pPr>
        <w:numPr>
          <w:ilvl w:val="0"/>
          <w:numId w:val="1001"/>
        </w:numPr>
        <w:pStyle w:val="Compact"/>
      </w:pPr>
      <w:r>
        <w:t xml:space="preserve">Arithmetic atomic rigidity</w:t>
      </w:r>
    </w:p>
    <w:p>
      <w:pPr>
        <w:numPr>
          <w:ilvl w:val="0"/>
          <w:numId w:val="1001"/>
        </w:numPr>
        <w:pStyle w:val="Compact"/>
      </w:pPr>
      <w:r>
        <w:t xml:space="preserve">Consequences for the arithmetic program</w:t>
      </w:r>
    </w:p>
    <w:p>
      <w:pPr>
        <w:numPr>
          <w:ilvl w:val="0"/>
          <w:numId w:val="1001"/>
        </w:numPr>
        <w:pStyle w:val="Compact"/>
      </w:pPr>
      <w:r>
        <w:t xml:space="preserve">Catalogue-wide mathematical corrections</w:t>
      </w:r>
    </w:p>
    <w:p>
      <w:pPr>
        <w:numPr>
          <w:ilvl w:val="0"/>
          <w:numId w:val="1001"/>
        </w:numPr>
        <w:pStyle w:val="Compact"/>
      </w:pPr>
      <w:r>
        <w:t xml:space="preserve">Executable audit engine</w:t>
      </w:r>
    </w:p>
    <w:p>
      <w:pPr>
        <w:numPr>
          <w:ilvl w:val="0"/>
          <w:numId w:val="1001"/>
        </w:numPr>
        <w:pStyle w:val="Compact"/>
      </w:pPr>
      <w:r>
        <w:t xml:space="preserve">Novelty audit</w:t>
      </w:r>
    </w:p>
    <w:p>
      <w:pPr>
        <w:numPr>
          <w:ilvl w:val="0"/>
          <w:numId w:val="1001"/>
        </w:numPr>
        <w:pStyle w:val="Compact"/>
      </w:pPr>
      <w:r>
        <w:t xml:space="preserve">Failure modes and falsifiers</w:t>
      </w:r>
    </w:p>
    <w:p>
      <w:pPr>
        <w:numPr>
          <w:ilvl w:val="0"/>
          <w:numId w:val="1001"/>
        </w:numPr>
        <w:pStyle w:val="Compact"/>
      </w:pPr>
      <w:r>
        <w:t xml:space="preserve">Publication readiness and highest-leverage next step</w:t>
      </w:r>
    </w:p>
    <w:p>
      <w:pPr>
        <w:numPr>
          <w:ilvl w:val="0"/>
          <w:numId w:val="1001"/>
        </w:numPr>
        <w:pStyle w:val="Compact"/>
      </w:pPr>
      <w:r>
        <w:t xml:space="preserve">Open problems, references, and appendices</w:t>
      </w:r>
    </w:p>
    <w:bookmarkEnd w:id="20"/>
    <w:bookmarkStart w:id="22" w:name="executive-resolution"/>
    <w:p>
      <w:pPr>
        <w:pStyle w:val="Heading1"/>
        <w:pageBreakBefore/>
        <w:pBdr>
          <w:bottom w:val="single" w:sz="6" w:space="4" w:color="E8EEF5"/>
        </w:pBdr>
      </w:pPr>
      <w:r>
        <w:t xml:space="preserve">Executive resolution</w:t>
      </w:r>
    </w:p>
    <w:p>
      <w:pPr>
        <w:pStyle w:val="FirstParagraph"/>
      </w:pPr>
      <w:r>
        <w:t xml:space="preserve">The framework contains a viable mathematical core, but its next foundation is not another global physical analogy or spectral ansatz. It is a calculus of</w:t>
      </w:r>
      <w:r>
        <w:t xml:space="preserve"> </w:t>
      </w:r>
      <w:r>
        <w:rPr>
          <w:bCs/>
          <w:b/>
        </w:rPr>
        <w:t xml:space="preserve">certificate transport</w:t>
      </w:r>
      <w:r>
        <w:t xml:space="preserve">: a way to decide whether a verified claim remains verified when one changes scale, instrument, quotient, boundary completion, prime set, or cutoff.</w:t>
      </w:r>
    </w:p>
    <w:p>
      <w:pPr>
        <w:pStyle w:val="BodyText"/>
      </w:pPr>
      <w:r>
        <w:t xml:space="preserve">This paper defines that calculus. At each context it places a finite exact chain complex of claims, obligations, and certificates. A context change is a graded map. Its failure to commute with verification is the</w:t>
      </w:r>
      <w:r>
        <w:t xml:space="preserve"> </w:t>
      </w:r>
      <w:r>
        <w:rPr>
          <w:bCs/>
          <w:b/>
        </w:rPr>
        <w:t xml:space="preserve">certificate-interchange defect</w:t>
      </w:r>
    </w:p>
    <w:p>
      <w:pPr>
        <w:pStyle w:val="BodyText"/>
      </w:pPr>
      <m:oMathPara>
        <m:oMathParaPr>
          <m:jc m:val="center"/>
        </m:oMathParaPr>
        <m:oMath>
          <m:sSub>
            <m:e>
              <m:r>
                <m:t>Θ</m:t>
              </m:r>
            </m:e>
            <m:sub>
              <m:r>
                <m:t>α</m:t>
              </m:r>
              <m:r>
                <m:rPr>
                  <m:sty m:val="p"/>
                </m:rPr>
                <m:t>,</m:t>
              </m:r>
              <m:r>
                <m:t>n</m:t>
              </m:r>
            </m:sub>
          </m:sSub>
          <m:r>
            <m:rPr>
              <m:sty m:val="p"/>
            </m:rPr>
            <m:t>=</m:t>
          </m:r>
          <m:sSubSup>
            <m:e>
              <m:r>
                <m:rPr>
                  <m:sty m:val="p"/>
                </m:rPr>
                <m:t>∂</m:t>
              </m:r>
            </m:e>
            <m:sub>
              <m:r>
                <m:t>n</m:t>
              </m:r>
            </m:sub>
            <m:sup>
              <m:r>
                <m:t>d</m:t>
              </m:r>
            </m:sup>
          </m:sSubSup>
          <m:sSub>
            <m:e>
              <m:r>
                <m:t>T</m:t>
              </m:r>
            </m:e>
            <m:sub>
              <m:r>
                <m:t>α</m:t>
              </m:r>
              <m:r>
                <m:rPr>
                  <m:sty m:val="p"/>
                </m:rPr>
                <m:t>,</m:t>
              </m:r>
              <m:r>
                <m:t>n</m:t>
              </m:r>
            </m:sub>
          </m:sSub>
          <m:r>
            <m:rPr>
              <m:sty m:val="p"/>
            </m:rPr>
            <m:t>−</m:t>
          </m:r>
          <m:sSub>
            <m:e>
              <m:r>
                <m:t>T</m:t>
              </m:r>
            </m:e>
            <m:sub>
              <m:r>
                <m:t>α</m:t>
              </m:r>
              <m:r>
                <m:rPr>
                  <m:sty m:val="p"/>
                </m:rPr>
                <m:t>,</m:t>
              </m:r>
              <m:r>
                <m:t>n</m:t>
              </m:r>
              <m:r>
                <m:rPr>
                  <m:sty m:val="p"/>
                </m:rPr>
                <m:t>−</m:t>
              </m:r>
              <m:r>
                <m:t>1</m:t>
              </m:r>
            </m:sub>
          </m:sSub>
          <m:sSubSup>
            <m:e>
              <m:r>
                <m:rPr>
                  <m:sty m:val="p"/>
                </m:rPr>
                <m:t>∂</m:t>
              </m:r>
            </m:e>
            <m:sub>
              <m:r>
                <m:t>n</m:t>
              </m:r>
            </m:sub>
            <m:sup>
              <m:r>
                <m:t>c</m:t>
              </m:r>
            </m:sup>
          </m:sSubSup>
          <m:r>
            <m:rPr>
              <m:sty m:val="p"/>
            </m:rPr>
            <m:t>.</m:t>
          </m:r>
        </m:oMath>
      </m:oMathPara>
    </w:p>
    <w:p>
      <w:pPr>
        <w:pStyle w:val="FirstParagraph"/>
      </w:pPr>
      <w:r>
        <w:t xml:space="preserve">Vanishing of all such defects is exactly the condition required for verified classes to descend to homology after transport. A nonzero column is an exact, finite witness identifying an obligation that fails to survive the context change. For two paths between the same contexts, the difference of their composite transports is a path-holonomy certificate. The previously isolated prime-adjunction cocycle is one specialization.</w:t>
      </w:r>
    </w:p>
    <w:p>
      <w:pPr>
        <w:pStyle w:val="BodyText"/>
      </w:pPr>
      <w:r>
        <w:t xml:space="preserve">The second foundation is an observation-descent lattice. Experimental indistinguishability is encoded by a relation, and a query is legal on the resulting quotient exactly when it is constant on that relation. This gives an antitone Galois connection between observation relations and admissible queries, with explicit counterexample pairs when descent fails.</w:t>
      </w:r>
    </w:p>
    <w:p>
      <w:pPr>
        <w:pStyle w:val="BodyText"/>
      </w:pPr>
      <w:r>
        <w:t xml:space="preserve">The arithmetic trace program exposes a third, previously unsealed boundary. Smooth counterterms that are admissible at every finite cutoff can concentrate into off-origin Dirac masses in the limit and thereby reconstruct the forbidden prime-power comb. This paper introduces an off-origin atomic charge and a computable nonconcentration modulus. The resulting atomic-rigidity theorem forces prime-power atoms to arise from the raw distributional trace rather than being smuggled through the counterterm channel.</w:t>
      </w:r>
    </w:p>
    <w:p>
      <w:pPr>
        <w:pStyle w:val="BodyText"/>
      </w:pPr>
      <w:r>
        <w:t>These structures have been implemented as version 0.3.0a2 of a standard-library, exact-rational audit engine. The implementation checks claim manifests, evidence-derived product-valued hard gates, certificate complexes, context transport, path holonomy, observation descent, atomic-concentration records, arithmetic no-go conditions, schema/runtime parity, null discrimination, and exact propagation of quantitative defect bounds. More than sixty deterministic tests pass. This establishes an executable structural kernel. It does not prove the Riemann hypothesis, construct the required infinite-dimensional operator, or validate every scientific claim in the source catalogue.</w:t>
      </w:r>
    </w:p>
    <w:bookmarkStart w:id="21" w:name="resolution-ledger"/>
    <w:p>
      <w:pPr>
        <w:pStyle w:val="Heading2"/>
      </w:pPr>
      <w:r>
        <w:t xml:space="preserve">Resolution ledger</w:t>
      </w:r>
    </w:p>
    <w:tbl>
      <w:tblPr>
        <w:tblStyle w:val="Table"/>
        <w:tblW w:type="dxa" w:w="9360"/>
        <w:jc w:val="center"/>
        <w:tblLayout w:type="fixed"/>
        <w:tblLook w:firstRow="1" w:lastRow="0" w:firstColumn="0" w:lastColumn="0" w:noHBand="0" w:noVBand="0" w:val="0020"/>
        <w:tblInd w:w="120" w:type="dxa"/>
      </w:tblPr>
      <w:tblGrid>
        <w:gridCol w:w="2100"/>
        <w:gridCol w:w="1900"/>
        <w:gridCol w:w="5360"/>
      </w:tblGrid>
      <w:tr>
        <w:trPr>
          <w:tblHeader w:val="true"/>
          <w:cantSplit/>
        </w:trPr>
        <w:tc>
          <w:tcPr>
            <w:tcW w:w="2100" w:type="dxa"/>
            <w:vAlign w:val="center"/>
            <w:tcMar>
              <w:top w:w="80" w:type="dxa"/>
              <w:start w:w="120" w:type="dxa"/>
              <w:bottom w:w="80" w:type="dxa"/>
              <w:end w:w="120" w:type="dxa"/>
            </w:tcMar>
            <w:shd w:fill="17365D"/>
          </w:tcPr>
          <w:p>
            <w:pPr>
              <w:pStyle w:val="Compact"/>
              <w:spacing w:before="0" w:after="40" w:line="259" w:lineRule="auto"/>
              <w:jc w:val="left"/>
            </w:pPr>
            <w:r>
              <w:rPr>
                <w:rFonts w:ascii="Calibri" w:hAnsi="Calibri" w:eastAsia="Calibri"/>
                <w:b/>
                <w:color w:val="FFFFFF"/>
                <w:sz w:val="17"/>
              </w:rPr>
              <w:t xml:space="preserve">Object</w:t>
            </w:r>
          </w:p>
        </w:tc>
        <w:tc>
          <w:tcPr>
            <w:tcW w:w="1900" w:type="dxa"/>
            <w:vAlign w:val="center"/>
            <w:tcMar>
              <w:top w:w="80" w:type="dxa"/>
              <w:start w:w="120" w:type="dxa"/>
              <w:bottom w:w="80" w:type="dxa"/>
              <w:end w:w="120" w:type="dxa"/>
            </w:tcMar>
            <w:shd w:fill="17365D"/>
          </w:tcPr>
          <w:p>
            <w:pPr>
              <w:pStyle w:val="Compact"/>
              <w:spacing w:before="0" w:after="40" w:line="259" w:lineRule="auto"/>
              <w:jc w:val="left"/>
            </w:pPr>
            <w:r>
              <w:rPr>
                <w:rFonts w:ascii="Calibri" w:hAnsi="Calibri" w:eastAsia="Calibri"/>
                <w:b/>
                <w:color w:val="FFFFFF"/>
                <w:sz w:val="17"/>
              </w:rPr>
              <w:t xml:space="preserve">Status</w:t>
            </w:r>
          </w:p>
        </w:tc>
        <w:tc>
          <w:tcPr>
            <w:tcW w:w="5360" w:type="dxa"/>
            <w:vAlign w:val="center"/>
            <w:tcMar>
              <w:top w:w="80" w:type="dxa"/>
              <w:start w:w="120" w:type="dxa"/>
              <w:bottom w:w="80" w:type="dxa"/>
              <w:end w:w="120" w:type="dxa"/>
            </w:tcMar>
            <w:shd w:fill="17365D"/>
          </w:tcPr>
          <w:p>
            <w:pPr>
              <w:pStyle w:val="Compact"/>
              <w:spacing w:before="0" w:after="40" w:line="259" w:lineRule="auto"/>
              <w:jc w:val="left"/>
            </w:pPr>
            <w:r>
              <w:rPr>
                <w:rFonts w:ascii="Calibri" w:hAnsi="Calibri" w:eastAsia="Calibri"/>
                <w:b/>
                <w:color w:val="FFFFFF"/>
                <w:sz w:val="17"/>
              </w:rPr>
              <w:t xml:space="preserve">Resolution</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Certificate-interchange identity and induced homology transport</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Proven</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Exact finite-dimensional algebra</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Composition law for certificate defects</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Proven</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Exact derivation identity</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Observation relation/query Galois connection</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Proven</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Elementary order-theoretic theorem</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Affine transport-defect composition</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Proven</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Associative certificate monoid</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Off-origin atomic-charge invariance</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Proven on the declared distribution class</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Excludes admissible counterterms and finite analytic traces</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Atomic-rigidity criterion</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Proven</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Requires local variation control and a vanishing concentration modulus</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Catalogue-wide audit calculus as a useful unifying foundation</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Strongly supported</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Implemented on finite exact records; universality is not claimed</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Effective rational spline-mollifier dictionary</w:t>
            </w:r>
          </w:p>
        </w:tc>
        <w:tc>
          <w:tcPr>
            <w:tcW w:w="1900" w:type="dxa"/>
            <w:vAlign w:val="center"/>
            <w:tcMar>
              <w:top w:w="80" w:type="dxa"/>
              <w:start w:w="120" w:type="dxa"/>
              <w:bottom w:w="80" w:type="dxa"/>
              <w:end w:w="120" w:type="dxa"/>
            </w:tcMar>
            <w:shd w:fill="F5F7FA"/>
          </w:tcPr>
          <w:p>
            <w:r>
              <w:t>Plausible; unresolved</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The density theorem needs an explicit quasi-interpolant and constants</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Certified interval Weil Gram engine</w:t>
            </w:r>
          </w:p>
        </w:tc>
        <w:tc>
          <w:tcPr>
            <w:tcW w:w="1900" w:type="dxa"/>
            <w:vAlign w:val="center"/>
            <w:tcMar>
              <w:top w:w="80" w:type="dxa"/>
              <w:start w:w="120" w:type="dxa"/>
              <w:bottom w:w="80" w:type="dxa"/>
              <w:end w:w="120" w:type="dxa"/>
            </w:tcMar>
          </w:tcPr>
          <w:p>
            <w:r>
              <w:t>Plausible; unresolved</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Specification is mature; complete implementation remains</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Infinite-dimensional prime-local operator fold</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Outside current knowledge</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Self-adjoint construction and joint trace-class limit remain open</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Optical analogue implies an arithmetic trace construction</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Refuted as an implication</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It is an architectural analogy and conservation benchmark only</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Simulation-grid or scale-torsion inference from spectral leakage</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Ill-posed without a null model</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No admissible estimator or identifiability theorem has been supplied</w:t>
            </w:r>
          </w:p>
        </w:tc>
      </w:tr>
    </w:tbl>
    <w:bookmarkEnd w:id="21"/>
    <w:bookmarkEnd w:id="22"/>
    <w:bookmarkStart w:id="25" w:name="scope-and-scientific-court"/>
    <w:p>
      <w:pPr>
        <w:pStyle w:val="Heading1"/>
        <w:pBdr>
          <w:bottom w:val="single" w:sz="6" w:space="4" w:color="E8EEF5"/>
        </w:pBdr>
      </w:pPr>
      <w:r>
        <w:t xml:space="preserve">1. Scope and scientific court</w:t>
      </w:r>
    </w:p>
    <w:bookmarkStart w:id="23" w:name="typed-claim-states"/>
    <w:p>
      <w:pPr>
        <w:pStyle w:val="Heading2"/>
      </w:pPr>
      <w:r>
        <w:t xml:space="preserve">1.1 Typed claim states</w:t>
      </w:r>
    </w:p>
    <w:p>
      <w:pPr>
        <w:pStyle w:val="FirstParagraph"/>
      </w:pPr>
      <w:r>
        <w:t xml:space="preserve">A claim has three independent coordinates.</w:t>
      </w:r>
    </w:p>
    <w:p>
      <w:pPr>
        <w:numPr>
          <w:ilvl w:val="0"/>
          <w:numId w:val="1002"/>
        </w:numPr>
        <w:pStyle w:val="Compact"/>
      </w:pPr>
      <w:r>
        <w:rPr>
          <w:bCs/>
          <w:b/>
        </w:rPr>
        <w:t xml:space="preserve">Mathematical type:</w:t>
      </w:r>
      <w:r>
        <w:t xml:space="preserve"> </w:t>
      </w:r>
      <w:r>
        <w:t xml:space="preserve">definition, theorem, theorem schema, conjecture, diagnostic, empirical claim, analogy, or open problem.</w:t>
      </w:r>
    </w:p>
    <w:p>
      <w:pPr>
        <w:numPr>
          <w:ilvl w:val="0"/>
          <w:numId w:val="1002"/>
        </w:numPr>
        <w:pStyle w:val="Compact"/>
      </w:pPr>
      <w:r>
        <w:rPr>
          <w:bCs/>
          <w:b/>
        </w:rPr>
        <w:t xml:space="preserve">Epistemic state:</w:t>
      </w:r>
      <w:r>
        <w:t xml:space="preserve"> </w:t>
      </w:r>
      <w:r>
        <w:t xml:space="preserve">declared, checked, empirically passed, or externally replicated.</w:t>
      </w:r>
    </w:p>
    <w:p>
      <w:pPr>
        <w:numPr>
          <w:ilvl w:val="0"/>
          <w:numId w:val="1002"/>
        </w:numPr>
        <w:pStyle w:val="Compact"/>
      </w:pPr>
      <w:r>
        <w:rPr>
          <w:bCs/>
          <w:b/>
        </w:rPr>
        <w:t xml:space="preserve">Deployment state:</w:t>
      </w:r>
      <w:r>
        <w:t xml:space="preserve"> </w:t>
      </w:r>
      <w:r>
        <w:t xml:space="preserve">research-only, sandboxed, candidate, admitted, or retired.</w:t>
      </w:r>
    </w:p>
    <w:p>
      <w:pPr>
        <w:pStyle w:val="FirstParagraph"/>
      </w:pPr>
      <w:r>
        <w:t xml:space="preserve">Each prospective gate has one of four states:</w:t>
      </w:r>
    </w:p>
    <w:p>
      <w:pPr>
        <w:pStyle w:val="BodyText"/>
      </w:pPr>
      <m:oMathPara>
        <m:oMathParaPr>
          <m:jc m:val="center"/>
        </m:oMathParaPr>
        <m:oMath>
          <m:r>
            <m:rPr>
              <m:sty m:val="p"/>
              <m:scr m:val="sans-serif"/>
            </m:rPr>
            <m:t>G</m:t>
          </m:r>
          <m:r>
            <m:rPr>
              <m:sty m:val="p"/>
            </m:rPr>
            <m:t>=</m:t>
          </m:r>
          <m:r>
            <m:rPr>
              <m:sty m:val="p"/>
            </m:rPr>
            <m:t>{</m:t>
          </m:r>
          <m:r>
            <m:rPr>
              <m:sty m:val="p"/>
            </m:rPr>
            <m:t>⊥</m:t>
          </m:r>
          <m:r>
            <m:rPr>
              <m:sty m:val="p"/>
            </m:rPr>
            <m:t>,</m:t>
          </m:r>
          <m:r>
            <m:rPr>
              <m:sty m:val="p"/>
              <m:scr m:val="sans-serif"/>
            </m:rPr>
            <m:t>P</m:t>
          </m:r>
          <m:r>
            <m:rPr>
              <m:sty m:val="p"/>
              <m:scr m:val="sans-serif"/>
            </m:rPr>
            <m:t>a</m:t>
          </m:r>
          <m:r>
            <m:rPr>
              <m:sty m:val="p"/>
              <m:scr m:val="sans-serif"/>
            </m:rPr>
            <m:t>s</m:t>
          </m:r>
          <m:r>
            <m:rPr>
              <m:sty m:val="p"/>
              <m:scr m:val="sans-serif"/>
            </m:rPr>
            <m:t>s</m:t>
          </m:r>
          <m:r>
            <m:rPr>
              <m:sty m:val="p"/>
            </m:rPr>
            <m:t>,</m:t>
          </m:r>
          <m:r>
            <m:rPr>
              <m:sty m:val="p"/>
              <m:scr m:val="sans-serif"/>
            </m:rPr>
            <m:t>F</m:t>
          </m:r>
          <m:r>
            <m:rPr>
              <m:sty m:val="p"/>
              <m:scr m:val="sans-serif"/>
            </m:rPr>
            <m:t>a</m:t>
          </m:r>
          <m:r>
            <m:rPr>
              <m:sty m:val="p"/>
              <m:scr m:val="sans-serif"/>
            </m:rPr>
            <m:t>i</m:t>
          </m:r>
          <m:r>
            <m:rPr>
              <m:sty m:val="p"/>
              <m:scr m:val="sans-serif"/>
            </m:rPr>
            <m:t>l</m:t>
          </m:r>
          <m:r>
            <m:rPr>
              <m:sty m:val="p"/>
            </m:rPr>
            <m:t>,</m:t>
          </m:r>
          <m:r>
            <m:rPr>
              <m:sty m:val="p"/>
              <m:scr m:val="sans-serif"/>
            </m:rPr>
            <m:t>C</m:t>
          </m:r>
          <m:r>
            <m:rPr>
              <m:sty m:val="p"/>
              <m:scr m:val="sans-serif"/>
            </m:rPr>
            <m:t>o</m:t>
          </m:r>
          <m:r>
            <m:rPr>
              <m:sty m:val="p"/>
              <m:scr m:val="sans-serif"/>
            </m:rPr>
            <m:t>n</m:t>
          </m:r>
          <m:r>
            <m:rPr>
              <m:sty m:val="p"/>
              <m:scr m:val="sans-serif"/>
            </m:rPr>
            <m:t>f</m:t>
          </m:r>
          <m:r>
            <m:rPr>
              <m:sty m:val="p"/>
              <m:scr m:val="sans-serif"/>
            </m:rPr>
            <m:t>l</m:t>
          </m:r>
          <m:r>
            <m:rPr>
              <m:sty m:val="p"/>
              <m:scr m:val="sans-serif"/>
            </m:rPr>
            <m:t>i</m:t>
          </m:r>
          <m:r>
            <m:rPr>
              <m:sty m:val="p"/>
              <m:scr m:val="sans-serif"/>
            </m:rPr>
            <m:t>c</m:t>
          </m:r>
          <m:r>
            <m:rPr>
              <m:sty m:val="p"/>
              <m:scr m:val="sans-serif"/>
            </m:rPr>
            <m:t>t</m:t>
          </m:r>
          <m:r>
            <m:rPr>
              <m:sty m:val="p"/>
            </m:rPr>
            <m:t>}</m:t>
          </m:r>
          <m:r>
            <m:rPr>
              <m:sty m:val="p"/>
            </m:rPr>
            <m:t>.</m:t>
          </m:r>
        </m:oMath>
      </m:oMathPara>
    </w:p>
    <w:p>
      <w:pPr>
        <w:pStyle w:val="FirstParagraph"/>
      </w:pPr>
      <w:r>
        <w:t xml:space="preserve">Here</w:t>
      </w:r>
      <w:r>
        <w:t xml:space="preserve"> </w:t>
      </w:r>
      <m:oMath>
        <m:r>
          <m:rPr>
            <m:sty m:val="p"/>
          </m:rPr>
          <m:t>⊥</m:t>
        </m:r>
      </m:oMath>
      <w:r>
        <w:t xml:space="preserve"> </w:t>
      </w:r>
      <w:r>
        <w:t xml:space="preserve">means unrun. A promoted claim carries a product</w:t>
      </w:r>
      <w:r>
        <w:t xml:space="preserve"> </w:t>
      </w:r>
      <m:oMath>
        <m:r>
          <m:t>g</m:t>
        </m:r>
        <m:r>
          <m:rPr>
            <m:sty m:val="p"/>
          </m:rPr>
          <m:t>∈</m:t>
        </m:r>
        <m:sSup>
          <m:e>
            <m:r>
              <m:rPr>
                <m:sty m:val="p"/>
                <m:scr m:val="sans-serif"/>
              </m:rPr>
              <m:t>G</m:t>
            </m:r>
          </m:e>
          <m:sup>
            <m:r>
              <m:t>I</m:t>
            </m:r>
          </m:sup>
        </m:sSup>
      </m:oMath>
      <w:r>
        <w:t xml:space="preserve">, one coordinate per preregistered gate. Fatal gates are conjunctive: admission requires every fatal coordinate to equal</w:t>
      </w:r>
      <w:r>
        <w:t xml:space="preserve"> </w:t>
      </w:r>
      <m:oMath>
        <m:r>
          <m:rPr>
            <m:sty m:val="p"/>
            <m:scr m:val="sans-serif"/>
          </m:rPr>
          <m:t>P</m:t>
        </m:r>
        <m:r>
          <m:rPr>
            <m:sty m:val="p"/>
            <m:scr m:val="sans-serif"/>
          </m:rPr>
          <m:t>a</m:t>
        </m:r>
        <m:r>
          <m:rPr>
            <m:sty m:val="p"/>
            <m:scr m:val="sans-serif"/>
          </m:rPr>
          <m:t>s</m:t>
        </m:r>
        <m:r>
          <m:rPr>
            <m:sty m:val="p"/>
            <m:scr m:val="sans-serif"/>
          </m:rPr>
          <m:t>s</m:t>
        </m:r>
      </m:oMath>
      <w:r>
        <w:t xml:space="preserve">. A conflict is preserved as a conflict; inconsistent enclosures or certificates are never averaged.</w:t>
      </w:r>
    </w:p>
    <w:p>
      <w:pPr>
        <w:pStyle w:val="BodyText"/>
      </w:pPr>
      <w:r>
        <w:t xml:space="preserve">This product replaces a single maturity ladder. A theorem can be mathematically checked but operationally sandboxed. An experiment can be externally replicated while a proposed causal interpretation remains research-only. Soft scores may rank only the surviving fiber after fatal gates have passed.</w:t>
      </w:r>
    </w:p>
    <w:bookmarkEnd w:id="23"/>
    <w:bookmarkStart w:id="24" w:name="fatality-belongs-to-claim-dependencies"/>
    <w:p>
      <w:pPr>
        <w:pStyle w:val="Heading2"/>
      </w:pPr>
      <w:r>
        <w:t xml:space="preserve">1.2 Fatality belongs to claim dependencies</w:t>
      </w:r>
    </w:p>
    <w:p>
      <w:pPr>
        <w:pStyle w:val="FirstParagraph"/>
      </w:pPr>
      <w:r>
        <w:t xml:space="preserve">Fatal failure is not generally an ideal in an operator algebra. For example, two operators can separately violate a drift gate while their sum cancels the drift. Closure under addition therefore fails. Fatality is instead represented by an upward-closed filter in an acyclic dependency graph.</w:t>
      </w:r>
    </w:p>
    <w:p>
      <w:pPr>
        <w:pStyle w:val="BodyText"/>
      </w:pPr>
      <w:r>
        <w:t xml:space="preserve">Let</w:t>
      </w:r>
      <w:r>
        <w:t xml:space="preserve"> </w:t>
      </w:r>
      <m:oMath>
        <m:r>
          <m:t>Γ</m:t>
        </m:r>
        <m:r>
          <m:rPr>
            <m:sty m:val="p"/>
          </m:rPr>
          <m:t>=</m:t>
        </m:r>
        <m:d>
          <m:dPr>
            <m:begChr m:val="("/>
            <m:endChr m:val=")"/>
            <m:sepChr m:val=""/>
            <m:grow/>
          </m:dPr>
          <m:e>
            <m:r>
              <m:t>V</m:t>
            </m:r>
            <m:r>
              <m:rPr>
                <m:sty m:val="p"/>
              </m:rPr>
              <m:t>,</m:t>
            </m:r>
            <m:r>
              <m:t>E</m:t>
            </m:r>
          </m:e>
        </m:d>
      </m:oMath>
      <w:r>
        <w:t xml:space="preserve"> </w:t>
      </w:r>
      <w:r>
        <w:t xml:space="preserve">be a directed acyclic graph whose edges</w:t>
      </w:r>
      <w:r>
        <w:t xml:space="preserve"> </w:t>
      </w:r>
      <m:oMath>
        <m:r>
          <m:t>v</m:t>
        </m:r>
        <m:r>
          <m:rPr>
            <m:sty m:val="p"/>
          </m:rPr>
          <m:t>→</m:t>
        </m:r>
        <m:r>
          <m:t>w</m:t>
        </m:r>
      </m:oMath>
      <w:r>
        <w:t xml:space="preserve"> </w:t>
      </w:r>
      <w:r>
        <w:t xml:space="preserve">mean that claim</w:t>
      </w:r>
      <w:r>
        <w:t xml:space="preserve"> </w:t>
      </w:r>
      <m:oMath>
        <m:r>
          <m:t>w</m:t>
        </m:r>
      </m:oMath>
      <w:r>
        <w:t xml:space="preserve"> </w:t>
      </w:r>
      <w:r>
        <w:t xml:space="preserve">depends on obligation</w:t>
      </w:r>
      <w:r>
        <w:t xml:space="preserve"> </w:t>
      </w:r>
      <m:oMath>
        <m:r>
          <m:t>v</m:t>
        </m:r>
      </m:oMath>
      <w:r>
        <w:t xml:space="preserve">. For failed fatal gates</w:t>
      </w:r>
      <w:r>
        <w:t xml:space="preserve"> </w:t>
      </w:r>
      <m:oMath>
        <m:r>
          <m:t>F</m:t>
        </m:r>
        <m:r>
          <m:rPr>
            <m:sty m:val="p"/>
          </m:rPr>
          <m:t>⊂</m:t>
        </m:r>
        <m:r>
          <m:t>V</m:t>
        </m:r>
      </m:oMath>
      <w:r>
        <w:t xml:space="preserve">, define the affected set</w:t>
      </w:r>
    </w:p>
    <w:p>
      <w:pPr>
        <w:pStyle w:val="BodyText"/>
      </w:pPr>
      <m:oMathPara>
        <m:oMathParaPr>
          <m:jc m:val="center"/>
        </m:oMathParaPr>
        <m:oMath>
          <m:sSub>
            <m:e>
              <m:r>
                <m:rPr>
                  <m:sty m:val="p"/>
                </m:rPr>
                <m:t>Up</m:t>
              </m:r>
            </m:e>
            <m:sub>
              <m:r>
                <m:t>Γ</m:t>
              </m:r>
            </m:sub>
          </m:sSub>
          <m:d>
            <m:dPr>
              <m:begChr m:val="("/>
              <m:endChr m:val=")"/>
              <m:sepChr m:val=""/>
              <m:grow/>
            </m:dPr>
            <m:e>
              <m:r>
                <m:t>F</m:t>
              </m:r>
            </m:e>
          </m:d>
          <m:r>
            <m:rPr>
              <m:sty m:val="p"/>
            </m:rPr>
            <m:t>=</m:t>
          </m:r>
          <m:r>
            <m:rPr>
              <m:sty m:val="p"/>
            </m:rPr>
            <m:t>{</m:t>
          </m:r>
          <m:r>
            <m:t>w</m:t>
          </m:r>
          <m:r>
            <m:rPr>
              <m:sty m:val="p"/>
            </m:rPr>
            <m:t>∈</m:t>
          </m:r>
          <m:r>
            <m:t>V</m:t>
          </m:r>
          <m:r>
            <m:rPr>
              <m:sty m:val="p"/>
            </m:rPr>
            <m:t>:</m:t>
          </m:r>
          <m:r>
            <m:rPr>
              <m:nor/>
              <m:sty m:val="p"/>
            </m:rPr>
            <m:t>there is a directed path from some </m:t>
          </m:r>
          <m:r>
            <m:t>f</m:t>
          </m:r>
          <m:r>
            <m:rPr>
              <m:sty m:val="p"/>
            </m:rPr>
            <m:t>∈</m:t>
          </m:r>
          <m:r>
            <m:t>F</m:t>
          </m:r>
          <m:r>
            <m:rPr>
              <m:nor/>
              <m:sty m:val="p"/>
            </m:rPr>
            <m:t> to </m:t>
          </m:r>
          <m:r>
            <m:t>w</m:t>
          </m:r>
          <m:r>
            <m:rPr>
              <m:sty m:val="p"/>
            </m:rPr>
            <m:t>}</m:t>
          </m:r>
          <m:r>
            <m:rPr>
              <m:sty m:val="p"/>
            </m:rPr>
            <m:t>.</m:t>
          </m:r>
        </m:oMath>
      </m:oMathPara>
    </w:p>
    <w:p>
      <w:pPr>
        <w:pStyle w:val="FirstParagraph"/>
      </w:pPr>
      <w:r>
        <w:t xml:space="preserve">A root claim is demoted exactly when it lies in this set. This is a provenance rule, not a new physical algebra.</w:t>
      </w:r>
    </w:p>
    <w:bookmarkEnd w:id="24"/>
    <w:bookmarkEnd w:id="25"/>
    <w:bookmarkStart w:id="35" w:name="audit-descent-datum"/>
    <w:p>
      <w:pPr>
        <w:pStyle w:val="Heading1"/>
        <w:pBdr>
          <w:bottom w:val="single" w:sz="6" w:space="4" w:color="E8EEF5"/>
        </w:pBdr>
      </w:pPr>
      <w:r>
        <w:t xml:space="preserve">2. Audit descent datum</w:t>
      </w:r>
    </w:p>
    <w:bookmarkStart w:id="26" w:name="contexts"/>
    <w:p>
      <w:pPr>
        <w:pStyle w:val="Heading2"/>
      </w:pPr>
      <w:r>
        <w:t xml:space="preserve">2.1 Contexts</w:t>
      </w:r>
    </w:p>
    <w:p>
      <w:pPr>
        <w:pStyle w:val="FirstParagraph"/>
      </w:pPr>
      <w:r>
        <w:t xml:space="preserve">A</w:t>
      </w:r>
      <w:r>
        <w:t xml:space="preserve"> </w:t>
      </w:r>
      <w:r>
        <w:rPr>
          <w:bCs/>
          <w:b/>
        </w:rPr>
        <w:t xml:space="preserve">context category</w:t>
      </w:r>
      <w:r>
        <w:t xml:space="preserve"> </w:t>
      </w:r>
      <m:oMath>
        <m:r>
          <m:rPr>
            <m:sty m:val="p"/>
            <m:scr m:val="script"/>
          </m:rPr>
          <m:t>C</m:t>
        </m:r>
      </m:oMath>
      <w:r>
        <w:t xml:space="preserve"> </w:t>
      </w:r>
      <w:r>
        <w:t xml:space="preserve">has objects representing declared scientific contexts and arrows representing legal changes. Examples include:</w:t>
      </w:r>
    </w:p>
    <w:p>
      <w:pPr>
        <w:numPr>
          <w:ilvl w:val="0"/>
          <w:numId w:val="1003"/>
        </w:numPr>
        <w:pStyle w:val="Compact"/>
      </w:pPr>
      <w:r>
        <w:t xml:space="preserve">a scale refinement;</w:t>
      </w:r>
    </w:p>
    <w:p>
      <w:pPr>
        <w:numPr>
          <w:ilvl w:val="0"/>
          <w:numId w:val="1003"/>
        </w:numPr>
        <w:pStyle w:val="Compact"/>
      </w:pPr>
      <w:r>
        <w:t xml:space="preserve">replacement of an instrument by a calibrated successor;</w:t>
      </w:r>
    </w:p>
    <w:p>
      <w:pPr>
        <w:numPr>
          <w:ilvl w:val="0"/>
          <w:numId w:val="1003"/>
        </w:numPr>
        <w:pStyle w:val="Compact"/>
      </w:pPr>
      <w:r>
        <w:t xml:space="preserve">passage from raw state to an observation quotient;</w:t>
      </w:r>
    </w:p>
    <w:p>
      <w:pPr>
        <w:numPr>
          <w:ilvl w:val="0"/>
          <w:numId w:val="1003"/>
        </w:numPr>
        <w:pStyle w:val="Compact"/>
      </w:pPr>
      <w:r>
        <w:t xml:space="preserve">enlargement of a boundary model;</w:t>
      </w:r>
    </w:p>
    <w:p>
      <w:pPr>
        <w:numPr>
          <w:ilvl w:val="0"/>
          <w:numId w:val="1003"/>
        </w:numPr>
        <w:pStyle w:val="Compact"/>
      </w:pPr>
      <w:r>
        <w:t xml:space="preserve">adjoining a prime to a finite place set;</w:t>
      </w:r>
    </w:p>
    <w:p>
      <w:pPr>
        <w:numPr>
          <w:ilvl w:val="0"/>
          <w:numId w:val="1003"/>
        </w:numPr>
        <w:pStyle w:val="Compact"/>
      </w:pPr>
      <w:r>
        <w:t xml:space="preserve">increasing a numerical cutoff;</w:t>
      </w:r>
    </w:p>
    <w:p>
      <w:pPr>
        <w:numPr>
          <w:ilvl w:val="0"/>
          <w:numId w:val="1003"/>
        </w:numPr>
        <w:pStyle w:val="Compact"/>
      </w:pPr>
      <w:r>
        <w:t xml:space="preserve">translating a deterministic model to a stochastic observation kernel.</w:t>
      </w:r>
    </w:p>
    <w:p>
      <w:pPr>
        <w:pStyle w:val="FirstParagraph"/>
      </w:pPr>
      <w:r>
        <w:t xml:space="preserve">The category must be specified. Its arrows are not assumed invertible. Different arrows with the same endpoints may represent genuinely different procedures.</w:t>
      </w:r>
    </w:p>
    <w:bookmarkEnd w:id="26"/>
    <w:bookmarkStart w:id="27" w:name="certificate-complexes"/>
    <w:p>
      <w:pPr>
        <w:pStyle w:val="Heading2"/>
      </w:pPr>
      <w:r>
        <w:t xml:space="preserve">2.2 Certificate complexes</w:t>
      </w:r>
    </w:p>
    <w:p>
      <w:pPr>
        <w:pStyle w:val="FirstParagraph"/>
      </w:pPr>
      <w:r>
        <w:t xml:space="preserve">For each context</w:t>
      </w:r>
      <w:r>
        <w:t xml:space="preserve"> </w:t>
      </w:r>
      <m:oMath>
        <m:r>
          <m:t>c</m:t>
        </m:r>
        <m:r>
          <m:rPr>
            <m:sty m:val="p"/>
          </m:rPr>
          <m:t>∈</m:t>
        </m:r>
        <m:r>
          <m:rPr>
            <m:sty m:val="p"/>
            <m:scr m:val="script"/>
          </m:rPr>
          <m:t>C</m:t>
        </m:r>
      </m:oMath>
      <w:r>
        <w:t xml:space="preserve">, let</w:t>
      </w:r>
    </w:p>
    <w:p>
      <w:pPr>
        <w:pStyle w:val="BodyText"/>
      </w:pPr>
      <m:oMathPara>
        <m:oMathParaPr>
          <m:jc m:val="center"/>
        </m:oMathParaPr>
        <m:oMath>
          <m:r>
            <m:rPr>
              <m:sty m:val="p"/>
            </m:rPr>
            <m:t>⋯</m:t>
          </m:r>
          <m:r>
            <m:rPr>
              <m:sty m:val="p"/>
            </m:rPr>
            <m:t>→</m:t>
          </m:r>
          <m:sSub>
            <m:e>
              <m:r>
                <m:t>K</m:t>
              </m:r>
            </m:e>
            <m:sub>
              <m:r>
                <m:t>2</m:t>
              </m:r>
            </m:sub>
          </m:sSub>
          <m:d>
            <m:dPr>
              <m:begChr m:val="("/>
              <m:endChr m:val=")"/>
              <m:sepChr m:val=""/>
              <m:grow/>
            </m:dPr>
            <m:e>
              <m:r>
                <m:t>c</m:t>
              </m:r>
            </m:e>
          </m:d>
          <m:limUpp>
            <m:e>
              <m:r>
                <m:rPr>
                  <m:sty m:val="p"/>
                </m:rPr>
                <m:t>→</m:t>
              </m:r>
            </m:e>
            <m:lim>
              <m:sSubSup>
                <m:e>
                  <m:r>
                    <m:rPr>
                      <m:sty m:val="p"/>
                    </m:rPr>
                    <m:t>∂</m:t>
                  </m:r>
                </m:e>
                <m:sub>
                  <m:r>
                    <m:t>2</m:t>
                  </m:r>
                </m:sub>
                <m:sup>
                  <m:r>
                    <m:t>c</m:t>
                  </m:r>
                </m:sup>
              </m:sSubSup>
            </m:lim>
          </m:limUpp>
          <m:sSub>
            <m:e>
              <m:r>
                <m:t>K</m:t>
              </m:r>
            </m:e>
            <m:sub>
              <m:r>
                <m:t>1</m:t>
              </m:r>
            </m:sub>
          </m:sSub>
          <m:d>
            <m:dPr>
              <m:begChr m:val="("/>
              <m:endChr m:val=")"/>
              <m:sepChr m:val=""/>
              <m:grow/>
            </m:dPr>
            <m:e>
              <m:r>
                <m:t>c</m:t>
              </m:r>
            </m:e>
          </m:d>
          <m:limUpp>
            <m:e>
              <m:r>
                <m:rPr>
                  <m:sty m:val="p"/>
                </m:rPr>
                <m:t>→</m:t>
              </m:r>
            </m:e>
            <m:lim>
              <m:sSubSup>
                <m:e>
                  <m:r>
                    <m:rPr>
                      <m:sty m:val="p"/>
                    </m:rPr>
                    <m:t>∂</m:t>
                  </m:r>
                </m:e>
                <m:sub>
                  <m:r>
                    <m:t>1</m:t>
                  </m:r>
                </m:sub>
                <m:sup>
                  <m:r>
                    <m:t>c</m:t>
                  </m:r>
                </m:sup>
              </m:sSubSup>
            </m:lim>
          </m:limUpp>
          <m:sSub>
            <m:e>
              <m:r>
                <m:t>K</m:t>
              </m:r>
            </m:e>
            <m:sub>
              <m:r>
                <m:t>0</m:t>
              </m:r>
            </m:sub>
          </m:sSub>
          <m:d>
            <m:dPr>
              <m:begChr m:val="("/>
              <m:endChr m:val=")"/>
              <m:sepChr m:val=""/>
              <m:grow/>
            </m:dPr>
            <m:e>
              <m:r>
                <m:t>c</m:t>
              </m:r>
            </m:e>
          </m:d>
        </m:oMath>
      </m:oMathPara>
    </w:p>
    <w:p>
      <w:pPr>
        <w:pStyle w:val="FirstParagraph"/>
      </w:pPr>
      <w:r>
        <w:t xml:space="preserve">be a finite chain complex over a declared computable exact field</w:t>
      </w:r>
      <w:r>
        <w:t xml:space="preserve"> </w:t>
      </w:r>
      <m:oMath>
        <m:r>
          <m:t>F</m:t>
        </m:r>
      </m:oMath>
      <w:r>
        <w:t xml:space="preserve">, with</w:t>
      </w:r>
    </w:p>
    <w:p>
      <w:pPr>
        <w:pStyle w:val="BodyText"/>
      </w:pPr>
      <m:oMathPara>
        <m:oMathParaPr>
          <m:jc m:val="center"/>
        </m:oMathParaPr>
        <m:oMath>
          <m:sSubSup>
            <m:e>
              <m:r>
                <m:rPr>
                  <m:sty m:val="p"/>
                </m:rPr>
                <m:t>∂</m:t>
              </m:r>
            </m:e>
            <m:sub>
              <m:r>
                <m:t>n</m:t>
              </m:r>
              <m:r>
                <m:rPr>
                  <m:sty m:val="p"/>
                </m:rPr>
                <m:t>−</m:t>
              </m:r>
              <m:r>
                <m:t>1</m:t>
              </m:r>
            </m:sub>
            <m:sup>
              <m:r>
                <m:t>c</m:t>
              </m:r>
            </m:sup>
          </m:sSubSup>
          <m:sSubSup>
            <m:e>
              <m:r>
                <m:rPr>
                  <m:sty m:val="p"/>
                </m:rPr>
                <m:t>∂</m:t>
              </m:r>
            </m:e>
            <m:sub>
              <m:r>
                <m:t>n</m:t>
              </m:r>
            </m:sub>
            <m:sup>
              <m:r>
                <m:t>c</m:t>
              </m:r>
            </m:sup>
          </m:sSubSup>
          <m:r>
            <m:rPr>
              <m:sty m:val="p"/>
            </m:rPr>
            <m:t>=</m:t>
          </m:r>
          <m:r>
            <m:t>0</m:t>
          </m:r>
          <m:r>
            <m:rPr>
              <m:sty m:val="p"/>
            </m:rPr>
            <m:t>.</m:t>
          </m:r>
        </m:oMath>
      </m:oMathPara>
    </w:p>
    <w:p>
      <w:pPr>
        <w:pStyle w:val="FirstParagraph"/>
      </w:pPr>
      <w:r>
        <w:t xml:space="preserve">The semantics of each degree must be fixed in the manifest. A useful convention is:</w:t>
      </w:r>
    </w:p>
    <w:p>
      <w:pPr>
        <w:numPr>
          <w:ilvl w:val="0"/>
          <w:numId w:val="1004"/>
        </w:numPr>
        <w:pStyle w:val="Compact"/>
      </w:pPr>
      <w:r>
        <w:t xml:space="preserve">high degrees: primitive data, calibration records, and atomic certificates;</w:t>
      </w:r>
    </w:p>
    <w:p>
      <w:pPr>
        <w:numPr>
          <w:ilvl w:val="0"/>
          <w:numId w:val="1004"/>
        </w:numPr>
        <w:pStyle w:val="Compact"/>
      </w:pPr>
      <w:r>
        <w:t xml:space="preserve">intermediate degrees: lemmas, compatibility obligations, and boundary terms;</w:t>
      </w:r>
    </w:p>
    <w:p>
      <w:pPr>
        <w:numPr>
          <w:ilvl w:val="0"/>
          <w:numId w:val="1004"/>
        </w:numPr>
        <w:pStyle w:val="Compact"/>
      </w:pPr>
      <w:r>
        <w:t xml:space="preserve">degree zero: promoted claims or output assertions.</w:t>
      </w:r>
    </w:p>
    <w:p>
      <w:pPr>
        <w:pStyle w:val="FirstParagraph"/>
      </w:pPr>
      <w:r>
        <w:t xml:space="preserve">The homology group</w:t>
      </w:r>
    </w:p>
    <w:p>
      <w:pPr>
        <w:pStyle w:val="BodyText"/>
      </w:pPr>
      <m:oMathPara>
        <m:oMathParaPr>
          <m:jc m:val="center"/>
        </m:oMathParaPr>
        <m:oMath>
          <m:sSub>
            <m:e>
              <m:r>
                <m:t>H</m:t>
              </m:r>
            </m:e>
            <m:sub>
              <m:r>
                <m:t>n</m:t>
              </m:r>
            </m:sub>
          </m:sSub>
          <m:d>
            <m:dPr>
              <m:begChr m:val="("/>
              <m:endChr m:val=")"/>
              <m:sepChr m:val=""/>
              <m:grow/>
            </m:dPr>
            <m:e>
              <m:r>
                <m:t>K</m:t>
              </m:r>
              <m:d>
                <m:dPr>
                  <m:begChr m:val="("/>
                  <m:endChr m:val=")"/>
                  <m:sepChr m:val=""/>
                  <m:grow/>
                </m:dPr>
                <m:e>
                  <m:r>
                    <m:t>c</m:t>
                  </m:r>
                </m:e>
              </m:d>
            </m:e>
          </m:d>
          <m:r>
            <m:rPr>
              <m:sty m:val="p"/>
            </m:rPr>
            <m:t>=</m:t>
          </m:r>
          <m:r>
            <m:rPr>
              <m:sty m:val="p"/>
            </m:rPr>
            <m:t>ker</m:t>
          </m:r>
          <m:sSubSup>
            <m:e>
              <m:r>
                <m:rPr>
                  <m:sty m:val="p"/>
                </m:rPr>
                <m:t>∂</m:t>
              </m:r>
            </m:e>
            <m:sub>
              <m:r>
                <m:t>n</m:t>
              </m:r>
            </m:sub>
            <m:sup>
              <m:r>
                <m:t>c</m:t>
              </m:r>
            </m:sup>
          </m:sSubSup>
          <m:r>
            <m:rPr>
              <m:sty m:val="p"/>
            </m:rPr>
            <m:t>/</m:t>
          </m:r>
          <m:r>
            <m:rPr>
              <m:sty m:val="p"/>
            </m:rPr>
            <m:t>im</m:t>
          </m:r>
          <m:sSubSup>
            <m:e>
              <m:r>
                <m:rPr>
                  <m:sty m:val="p"/>
                </m:rPr>
                <m:t>∂</m:t>
              </m:r>
            </m:e>
            <m:sub>
              <m:r>
                <m:t>n</m:t>
              </m:r>
              <m:r>
                <m:rPr>
                  <m:sty m:val="p"/>
                </m:rPr>
                <m:t>+</m:t>
              </m:r>
              <m:r>
                <m:t>1</m:t>
              </m:r>
            </m:sub>
            <m:sup>
              <m:r>
                <m:t>c</m:t>
              </m:r>
            </m:sup>
          </m:sSubSup>
        </m:oMath>
      </m:oMathPara>
    </w:p>
    <w:p>
      <w:pPr>
        <w:pStyle w:val="FirstParagraph"/>
      </w:pPr>
      <w:r>
        <w:t xml:space="preserve">records obligations closed under the declared verification rules but not discharged by lower-level certificates. This interpretation is relative to the manifest; homology is not automatically scientific truth.</w:t>
      </w:r>
    </w:p>
    <w:bookmarkEnd w:id="27"/>
    <w:bookmarkStart w:id="32" w:name="context-transport"/>
    <w:p>
      <w:pPr>
        <w:pStyle w:val="Heading2"/>
      </w:pPr>
      <w:r>
        <w:t xml:space="preserve">2.3 Context transport</w:t>
      </w:r>
    </w:p>
    <w:p>
      <w:pPr>
        <w:pStyle w:val="FirstParagraph"/>
      </w:pPr>
      <w:r>
        <w:t xml:space="preserve">For an arrow</w:t>
      </w:r>
      <w:r>
        <w:t xml:space="preserve"> </w:t>
      </w:r>
      <m:oMath>
        <m:r>
          <m:t>α</m:t>
        </m:r>
        <m:r>
          <m:rPr>
            <m:sty m:val="p"/>
          </m:rPr>
          <m:t>:</m:t>
        </m:r>
        <m:r>
          <m:t>c</m:t>
        </m:r>
        <m:r>
          <m:rPr>
            <m:sty m:val="p"/>
          </m:rPr>
          <m:t>→</m:t>
        </m:r>
        <m:r>
          <m:t>d</m:t>
        </m:r>
      </m:oMath>
      <w:r>
        <w:t xml:space="preserve">, a proposed certificate transport is a graded family</w:t>
      </w:r>
    </w:p>
    <w:p>
      <w:pPr>
        <w:pStyle w:val="BodyText"/>
      </w:pPr>
      <m:oMathPara>
        <m:oMathParaPr>
          <m:jc m:val="center"/>
        </m:oMathParaPr>
        <m:oMath>
          <m:sSub>
            <m:e>
              <m:r>
                <m:t>T</m:t>
              </m:r>
            </m:e>
            <m:sub>
              <m:r>
                <m:t>α</m:t>
              </m:r>
              <m:r>
                <m:rPr>
                  <m:sty m:val="p"/>
                </m:rPr>
                <m:t>,</m:t>
              </m:r>
              <m:r>
                <m:t>n</m:t>
              </m:r>
            </m:sub>
          </m:sSub>
          <m:r>
            <m:rPr>
              <m:sty m:val="p"/>
            </m:rPr>
            <m:t>:</m:t>
          </m:r>
          <m:sSub>
            <m:e>
              <m:r>
                <m:t>K</m:t>
              </m:r>
            </m:e>
            <m:sub>
              <m:r>
                <m:t>n</m:t>
              </m:r>
            </m:sub>
          </m:sSub>
          <m:d>
            <m:dPr>
              <m:begChr m:val="("/>
              <m:endChr m:val=")"/>
              <m:sepChr m:val=""/>
              <m:grow/>
            </m:dPr>
            <m:e>
              <m:r>
                <m:t>c</m:t>
              </m:r>
            </m:e>
          </m:d>
          <m:r>
            <m:rPr>
              <m:sty m:val="p"/>
            </m:rPr>
            <m:t>→</m:t>
          </m:r>
          <m:sSub>
            <m:e>
              <m:r>
                <m:t>K</m:t>
              </m:r>
            </m:e>
            <m:sub>
              <m:r>
                <m:t>n</m:t>
              </m:r>
            </m:sub>
          </m:sSub>
          <m:d>
            <m:dPr>
              <m:begChr m:val="("/>
              <m:endChr m:val=")"/>
              <m:sepChr m:val=""/>
              <m:grow/>
            </m:dPr>
            <m:e>
              <m:r>
                <m:t>d</m:t>
              </m:r>
            </m:e>
          </m:d>
          <m:r>
            <m:rPr>
              <m:sty m:val="p"/>
            </m:rPr>
            <m:t>.</m:t>
          </m:r>
        </m:oMath>
      </m:oMathPara>
    </w:p>
    <w:p>
      <w:pPr>
        <w:pStyle w:val="FirstParagraph"/>
      </w:pPr>
      <w:r>
        <w:t xml:space="preserve">It need not initially be a chain map. That property is audited rather than assumed.</w:t>
      </w:r>
    </w:p>
    <w:bookmarkStart w:id="28" w:name="X8ba703b3f34bf3553c4a5ee26d5a90319438d05"/>
    <w:p>
      <w:pPr>
        <w:pStyle w:val="Heading3"/>
      </w:pPr>
      <w:r>
        <w:t xml:space="preserve">Definition 2.1 — Certificate-interchange defect</w:t>
      </w:r>
    </w:p>
    <w:p>
      <w:pPr>
        <w:pStyle w:val="FirstParagraph"/>
      </w:pPr>
      <w:r>
        <w:t xml:space="preserve">The degree-</w:t>
      </w:r>
      <m:oMath>
        <m:r>
          <m:t>n</m:t>
        </m:r>
      </m:oMath>
      <w:r>
        <w:t xml:space="preserve"> </w:t>
      </w:r>
      <w:r>
        <w:t xml:space="preserve">interchange defect is</w:t>
      </w:r>
    </w:p>
    <w:p>
      <w:pPr>
        <w:pStyle w:val="BodyText"/>
      </w:pPr>
      <m:oMathPara>
        <m:oMathParaPr>
          <m:jc m:val="center"/>
        </m:oMathParaPr>
        <m:oMath>
          <m:sSub>
            <m:e>
              <m:r>
                <m:t>Θ</m:t>
              </m:r>
            </m:e>
            <m:sub>
              <m:r>
                <m:t>α</m:t>
              </m:r>
              <m:r>
                <m:rPr>
                  <m:sty m:val="p"/>
                </m:rPr>
                <m:t>,</m:t>
              </m:r>
              <m:r>
                <m:t>n</m:t>
              </m:r>
            </m:sub>
          </m:sSub>
          <m:r>
            <m:rPr>
              <m:sty m:val="p"/>
            </m:rPr>
            <m:t>=</m:t>
          </m:r>
          <m:sSubSup>
            <m:e>
              <m:r>
                <m:rPr>
                  <m:sty m:val="p"/>
                </m:rPr>
                <m:t>∂</m:t>
              </m:r>
            </m:e>
            <m:sub>
              <m:r>
                <m:t>n</m:t>
              </m:r>
            </m:sub>
            <m:sup>
              <m:r>
                <m:t>d</m:t>
              </m:r>
            </m:sup>
          </m:sSubSup>
          <m:sSub>
            <m:e>
              <m:r>
                <m:t>T</m:t>
              </m:r>
            </m:e>
            <m:sub>
              <m:r>
                <m:t>α</m:t>
              </m:r>
              <m:r>
                <m:rPr>
                  <m:sty m:val="p"/>
                </m:rPr>
                <m:t>,</m:t>
              </m:r>
              <m:r>
                <m:t>n</m:t>
              </m:r>
            </m:sub>
          </m:sSub>
          <m:r>
            <m:rPr>
              <m:sty m:val="p"/>
            </m:rPr>
            <m:t>−</m:t>
          </m:r>
          <m:sSub>
            <m:e>
              <m:r>
                <m:t>T</m:t>
              </m:r>
            </m:e>
            <m:sub>
              <m:r>
                <m:t>α</m:t>
              </m:r>
              <m:r>
                <m:rPr>
                  <m:sty m:val="p"/>
                </m:rPr>
                <m:t>,</m:t>
              </m:r>
              <m:r>
                <m:t>n</m:t>
              </m:r>
              <m:r>
                <m:rPr>
                  <m:sty m:val="p"/>
                </m:rPr>
                <m:t>−</m:t>
              </m:r>
              <m:r>
                <m:t>1</m:t>
              </m:r>
            </m:sub>
          </m:sSub>
          <m:sSubSup>
            <m:e>
              <m:r>
                <m:rPr>
                  <m:sty m:val="p"/>
                </m:rPr>
                <m:t>∂</m:t>
              </m:r>
            </m:e>
            <m:sub>
              <m:r>
                <m:t>n</m:t>
              </m:r>
            </m:sub>
            <m:sup>
              <m:r>
                <m:t>c</m:t>
              </m:r>
            </m:sup>
          </m:sSubSup>
          <m:r>
            <m:rPr>
              <m:sty m:val="p"/>
            </m:rPr>
            <m:t>.</m:t>
          </m:r>
        </m:oMath>
      </m:oMathPara>
    </w:p>
    <w:p>
      <w:pPr>
        <w:pStyle w:val="FirstParagraph"/>
      </w:pPr>
      <w:r>
        <w:t xml:space="preserve">It measures the noncommutation of</w:t>
      </w:r>
      <w:r>
        <w:t xml:space="preserve"> </w:t>
      </w:r>
      <w:r>
        <w:t xml:space="preserve">“</w:t>
      </w:r>
      <w:r>
        <w:t xml:space="preserve">transport, then verify</w:t>
      </w:r>
      <w:r>
        <w:t xml:space="preserve">”</w:t>
      </w:r>
      <w:r>
        <w:t xml:space="preserve"> </w:t>
      </w:r>
      <w:r>
        <w:t xml:space="preserve">and</w:t>
      </w:r>
      <w:r>
        <w:t xml:space="preserve"> </w:t>
      </w:r>
      <w:r>
        <w:t xml:space="preserve">“</w:t>
      </w:r>
      <w:r>
        <w:t xml:space="preserve">verify, then transport.</w:t>
      </w:r>
      <w:r>
        <w:t xml:space="preserve">”</w:t>
      </w:r>
    </w:p>
    <w:bookmarkEnd w:id="28"/>
    <w:bookmarkStart w:id="29" w:name="theorem-2.2-lawful-promotion-transport"/>
    <w:p>
      <w:pPr>
        <w:pStyle w:val="Heading3"/>
      </w:pPr>
      <w:r>
        <w:t xml:space="preserve">Theorem 2.2 — Lawful promotion transport</w:t>
      </w:r>
    </w:p>
    <w:p>
      <w:pPr>
        <w:pStyle w:val="FirstParagraph"/>
      </w:pPr>
      <w:r>
        <w:t xml:space="preserve">The transport</w:t>
      </w:r>
      <w:r>
        <w:t xml:space="preserve"> </w:t>
      </w:r>
      <m:oMath>
        <m:sSub>
          <m:e>
            <m:r>
              <m:t>T</m:t>
            </m:r>
          </m:e>
          <m:sub>
            <m:r>
              <m:t>α</m:t>
            </m:r>
          </m:sub>
        </m:sSub>
      </m:oMath>
      <w:r>
        <w:t xml:space="preserve"> </w:t>
      </w:r>
      <w:r>
        <w:t xml:space="preserve">induces homomorphisms</w:t>
      </w:r>
    </w:p>
    <w:p>
      <w:pPr>
        <w:pStyle w:val="BodyText"/>
      </w:pPr>
      <m:oMathPara>
        <m:oMathParaPr>
          <m:jc m:val="center"/>
        </m:oMathParaPr>
        <m:oMath>
          <m:sSub>
            <m:e>
              <m:r>
                <m:t>H</m:t>
              </m:r>
            </m:e>
            <m:sub>
              <m:r>
                <m:t>n</m:t>
              </m:r>
            </m:sub>
          </m:sSub>
          <m:d>
            <m:dPr>
              <m:begChr m:val="("/>
              <m:endChr m:val=")"/>
              <m:sepChr m:val=""/>
              <m:grow/>
            </m:dPr>
            <m:e>
              <m:sSub>
                <m:e>
                  <m:r>
                    <m:t>T</m:t>
                  </m:r>
                </m:e>
                <m:sub>
                  <m:r>
                    <m:t>α</m:t>
                  </m:r>
                </m:sub>
              </m:sSub>
            </m:e>
          </m:d>
          <m:r>
            <m:rPr>
              <m:sty m:val="p"/>
            </m:rPr>
            <m:t>:</m:t>
          </m:r>
          <m:sSub>
            <m:e>
              <m:r>
                <m:t>H</m:t>
              </m:r>
            </m:e>
            <m:sub>
              <m:r>
                <m:t>n</m:t>
              </m:r>
            </m:sub>
          </m:sSub>
          <m:d>
            <m:dPr>
              <m:begChr m:val="("/>
              <m:endChr m:val=")"/>
              <m:sepChr m:val=""/>
              <m:grow/>
            </m:dPr>
            <m:e>
              <m:r>
                <m:t>K</m:t>
              </m:r>
              <m:d>
                <m:dPr>
                  <m:begChr m:val="("/>
                  <m:endChr m:val=")"/>
                  <m:sepChr m:val=""/>
                  <m:grow/>
                </m:dPr>
                <m:e>
                  <m:r>
                    <m:t>c</m:t>
                  </m:r>
                </m:e>
              </m:d>
            </m:e>
          </m:d>
          <m:r>
            <m:rPr>
              <m:sty m:val="p"/>
            </m:rPr>
            <m:t>→</m:t>
          </m:r>
          <m:sSub>
            <m:e>
              <m:r>
                <m:t>H</m:t>
              </m:r>
            </m:e>
            <m:sub>
              <m:r>
                <m:t>n</m:t>
              </m:r>
            </m:sub>
          </m:sSub>
          <m:d>
            <m:dPr>
              <m:begChr m:val="("/>
              <m:endChr m:val=")"/>
              <m:sepChr m:val=""/>
              <m:grow/>
            </m:dPr>
            <m:e>
              <m:r>
                <m:t>K</m:t>
              </m:r>
              <m:d>
                <m:dPr>
                  <m:begChr m:val="("/>
                  <m:endChr m:val=")"/>
                  <m:sepChr m:val=""/>
                  <m:grow/>
                </m:dPr>
                <m:e>
                  <m:r>
                    <m:t>d</m:t>
                  </m:r>
                </m:e>
              </m:d>
            </m:e>
          </m:d>
        </m:oMath>
      </m:oMathPara>
    </w:p>
    <w:p>
      <w:pPr>
        <w:pStyle w:val="FirstParagraph"/>
      </w:pPr>
      <w:r>
        <w:t xml:space="preserve">for every</w:t>
      </w:r>
      <w:r>
        <w:t xml:space="preserve"> </w:t>
      </w:r>
      <m:oMath>
        <m:r>
          <m:t>n</m:t>
        </m:r>
      </m:oMath>
      <w:r>
        <w:t xml:space="preserve"> </w:t>
      </w:r>
      <w:r>
        <w:t xml:space="preserve">if every</w:t>
      </w:r>
      <w:r>
        <w:t xml:space="preserve"> </w:t>
      </w:r>
      <m:oMath>
        <m:sSub>
          <m:e>
            <m:r>
              <m:t>Θ</m:t>
            </m:r>
          </m:e>
          <m:sub>
            <m:r>
              <m:t>α</m:t>
            </m:r>
            <m:r>
              <m:rPr>
                <m:sty m:val="p"/>
              </m:rPr>
              <m:t>,</m:t>
            </m:r>
            <m:r>
              <m:t>n</m:t>
            </m:r>
          </m:sub>
        </m:sSub>
      </m:oMath>
      <w:r>
        <w:t xml:space="preserve"> </w:t>
      </w:r>
      <w:r>
        <w:t xml:space="preserve">vanishes.</w:t>
      </w:r>
    </w:p>
    <w:p>
      <w:pPr>
        <w:pStyle w:val="BodyText"/>
      </w:pPr>
      <w:r>
        <w:rPr>
          <w:bCs/>
          <w:b/>
        </w:rPr>
        <w:t xml:space="preserve">Proof.</w:t>
      </w:r>
      <w:r>
        <w:t xml:space="preserve"> </w:t>
      </w:r>
      <w:r>
        <w:t xml:space="preserve">If</w:t>
      </w:r>
      <w:r>
        <w:t xml:space="preserve"> </w:t>
      </w:r>
      <m:oMath>
        <m:r>
          <m:t>z</m:t>
        </m:r>
        <m:r>
          <m:rPr>
            <m:sty m:val="p"/>
          </m:rPr>
          <m:t>∈</m:t>
        </m:r>
        <m:r>
          <m:rPr>
            <m:sty m:val="p"/>
          </m:rPr>
          <m:t>ker</m:t>
        </m:r>
        <m:sSubSup>
          <m:e>
            <m:r>
              <m:rPr>
                <m:sty m:val="p"/>
              </m:rPr>
              <m:t>∂</m:t>
            </m:r>
          </m:e>
          <m:sub>
            <m:r>
              <m:t>n</m:t>
            </m:r>
          </m:sub>
          <m:sup>
            <m:r>
              <m:t>c</m:t>
            </m:r>
          </m:sup>
        </m:sSubSup>
      </m:oMath>
      <w:r>
        <w:t xml:space="preserve">, then</w:t>
      </w:r>
    </w:p>
    <w:p>
      <w:pPr>
        <w:pStyle w:val="BodyText"/>
      </w:pPr>
      <m:oMathPara>
        <m:oMathParaPr>
          <m:jc m:val="center"/>
        </m:oMathParaPr>
        <m:oMath>
          <m:sSubSup>
            <m:e>
              <m:r>
                <m:rPr>
                  <m:sty m:val="p"/>
                </m:rPr>
                <m:t>∂</m:t>
              </m:r>
            </m:e>
            <m:sub>
              <m:r>
                <m:t>n</m:t>
              </m:r>
            </m:sub>
            <m:sup>
              <m:r>
                <m:t>d</m:t>
              </m:r>
            </m:sup>
          </m:sSubSup>
          <m:sSub>
            <m:e>
              <m:r>
                <m:t>T</m:t>
              </m:r>
            </m:e>
            <m:sub>
              <m:r>
                <m:t>α</m:t>
              </m:r>
              <m:r>
                <m:rPr>
                  <m:sty m:val="p"/>
                </m:rPr>
                <m:t>,</m:t>
              </m:r>
              <m:r>
                <m:t>n</m:t>
              </m:r>
            </m:sub>
          </m:sSub>
          <m:r>
            <m:t>z</m:t>
          </m:r>
          <m:r>
            <m:rPr>
              <m:sty m:val="p"/>
            </m:rPr>
            <m:t>=</m:t>
          </m:r>
          <m:sSub>
            <m:e>
              <m:r>
                <m:t>T</m:t>
              </m:r>
            </m:e>
            <m:sub>
              <m:r>
                <m:t>α</m:t>
              </m:r>
              <m:r>
                <m:rPr>
                  <m:sty m:val="p"/>
                </m:rPr>
                <m:t>,</m:t>
              </m:r>
              <m:r>
                <m:t>n</m:t>
              </m:r>
              <m:r>
                <m:rPr>
                  <m:sty m:val="p"/>
                </m:rPr>
                <m:t>−</m:t>
              </m:r>
              <m:r>
                <m:t>1</m:t>
              </m:r>
            </m:sub>
          </m:sSub>
          <m:sSubSup>
            <m:e>
              <m:r>
                <m:rPr>
                  <m:sty m:val="p"/>
                </m:rPr>
                <m:t>∂</m:t>
              </m:r>
            </m:e>
            <m:sub>
              <m:r>
                <m:t>n</m:t>
              </m:r>
            </m:sub>
            <m:sup>
              <m:r>
                <m:t>c</m:t>
              </m:r>
            </m:sup>
          </m:sSubSup>
          <m:r>
            <m:t>z</m:t>
          </m:r>
          <m:r>
            <m:rPr>
              <m:sty m:val="p"/>
            </m:rPr>
            <m:t>=</m:t>
          </m:r>
          <m:r>
            <m:t>0</m:t>
          </m:r>
          <m:r>
            <m:rPr>
              <m:sty m:val="p"/>
            </m:rPr>
            <m:t>,</m:t>
          </m:r>
        </m:oMath>
      </m:oMathPara>
    </w:p>
    <w:p>
      <w:pPr>
        <w:pStyle w:val="FirstParagraph"/>
      </w:pPr>
      <w:r>
        <w:t xml:space="preserve">so cycles map to cycles. If</w:t>
      </w:r>
      <w:r>
        <w:t xml:space="preserve"> </w:t>
      </w:r>
      <m:oMath>
        <m:r>
          <m:t>z</m:t>
        </m:r>
        <m:r>
          <m:rPr>
            <m:sty m:val="p"/>
          </m:rPr>
          <m:t>=</m:t>
        </m:r>
        <m:sSubSup>
          <m:e>
            <m:r>
              <m:rPr>
                <m:sty m:val="p"/>
              </m:rPr>
              <m:t>∂</m:t>
            </m:r>
          </m:e>
          <m:sub>
            <m:r>
              <m:t>n</m:t>
            </m:r>
            <m:r>
              <m:rPr>
                <m:sty m:val="p"/>
              </m:rPr>
              <m:t>+</m:t>
            </m:r>
            <m:r>
              <m:t>1</m:t>
            </m:r>
          </m:sub>
          <m:sup>
            <m:r>
              <m:t>c</m:t>
            </m:r>
          </m:sup>
        </m:sSubSup>
        <m:r>
          <m:t>w</m:t>
        </m:r>
      </m:oMath>
      <w:r>
        <w:t xml:space="preserve">, then</w:t>
      </w:r>
    </w:p>
    <w:p>
      <w:pPr>
        <w:pStyle w:val="BodyText"/>
      </w:pPr>
      <m:oMathPara>
        <m:oMathParaPr>
          <m:jc m:val="center"/>
        </m:oMathParaPr>
        <m:oMath>
          <m:sSub>
            <m:e>
              <m:r>
                <m:t>T</m:t>
              </m:r>
            </m:e>
            <m:sub>
              <m:r>
                <m:t>α</m:t>
              </m:r>
              <m:r>
                <m:rPr>
                  <m:sty m:val="p"/>
                </m:rPr>
                <m:t>,</m:t>
              </m:r>
              <m:r>
                <m:t>n</m:t>
              </m:r>
            </m:sub>
          </m:sSub>
          <m:r>
            <m:t>z</m:t>
          </m:r>
          <m:r>
            <m:rPr>
              <m:sty m:val="p"/>
            </m:rPr>
            <m:t>=</m:t>
          </m:r>
          <m:sSub>
            <m:e>
              <m:r>
                <m:t>T</m:t>
              </m:r>
            </m:e>
            <m:sub>
              <m:r>
                <m:t>α</m:t>
              </m:r>
              <m:r>
                <m:rPr>
                  <m:sty m:val="p"/>
                </m:rPr>
                <m:t>,</m:t>
              </m:r>
              <m:r>
                <m:t>n</m:t>
              </m:r>
            </m:sub>
          </m:sSub>
          <m:sSubSup>
            <m:e>
              <m:r>
                <m:rPr>
                  <m:sty m:val="p"/>
                </m:rPr>
                <m:t>∂</m:t>
              </m:r>
            </m:e>
            <m:sub>
              <m:r>
                <m:t>n</m:t>
              </m:r>
              <m:r>
                <m:rPr>
                  <m:sty m:val="p"/>
                </m:rPr>
                <m:t>+</m:t>
              </m:r>
              <m:r>
                <m:t>1</m:t>
              </m:r>
            </m:sub>
            <m:sup>
              <m:r>
                <m:t>c</m:t>
              </m:r>
            </m:sup>
          </m:sSubSup>
          <m:r>
            <m:t>w</m:t>
          </m:r>
          <m:r>
            <m:rPr>
              <m:sty m:val="p"/>
            </m:rPr>
            <m:t>=</m:t>
          </m:r>
          <m:sSubSup>
            <m:e>
              <m:r>
                <m:rPr>
                  <m:sty m:val="p"/>
                </m:rPr>
                <m:t>∂</m:t>
              </m:r>
            </m:e>
            <m:sub>
              <m:r>
                <m:t>n</m:t>
              </m:r>
              <m:r>
                <m:rPr>
                  <m:sty m:val="p"/>
                </m:rPr>
                <m:t>+</m:t>
              </m:r>
              <m:r>
                <m:t>1</m:t>
              </m:r>
            </m:sub>
            <m:sup>
              <m:r>
                <m:t>d</m:t>
              </m:r>
            </m:sup>
          </m:sSubSup>
          <m:sSub>
            <m:e>
              <m:r>
                <m:t>T</m:t>
              </m:r>
            </m:e>
            <m:sub>
              <m:r>
                <m:t>α</m:t>
              </m:r>
              <m:r>
                <m:rPr>
                  <m:sty m:val="p"/>
                </m:rPr>
                <m:t>,</m:t>
              </m:r>
              <m:r>
                <m:t>n</m:t>
              </m:r>
              <m:r>
                <m:rPr>
                  <m:sty m:val="p"/>
                </m:rPr>
                <m:t>+</m:t>
              </m:r>
              <m:r>
                <m:t>1</m:t>
              </m:r>
            </m:sub>
          </m:sSub>
          <m:r>
            <m:t>w</m:t>
          </m:r>
          <m:r>
            <m:rPr>
              <m:sty m:val="p"/>
            </m:rPr>
            <m:t>,</m:t>
          </m:r>
        </m:oMath>
      </m:oMathPara>
    </w:p>
    <w:p>
      <w:pPr>
        <w:pStyle w:val="FirstParagraph"/>
      </w:pPr>
      <w:r>
        <w:t xml:space="preserve">so boundaries map to boundaries. The quotient map is therefore well-defined.</w:t>
      </w:r>
      <w:r>
        <w:t xml:space="preserve"> </w:t>
      </w:r>
      <m:oMath>
        <m:r>
          <m:rPr>
            <m:sty m:val="p"/>
          </m:rPr>
          <m:t>▫</m:t>
        </m:r>
      </m:oMath>
    </w:p>
    <w:bookmarkEnd w:id="29"/>
    <w:bookmarkStart w:id="30" w:name="corollary-2.3-exact-failure-witness"/>
    <w:p>
      <w:pPr>
        <w:pStyle w:val="Heading3"/>
      </w:pPr>
      <w:r>
        <w:t xml:space="preserve">Corollary 2.3 — Exact failure witness</w:t>
      </w:r>
    </w:p>
    <w:p>
      <w:pPr>
        <w:pStyle w:val="FirstParagraph"/>
      </w:pPr>
      <w:r>
        <w:t xml:space="preserve">When the complexes are finite and matrices are represented exactly,</w:t>
      </w:r>
      <w:r>
        <w:t xml:space="preserve"> </w:t>
      </w:r>
      <m:oMath>
        <m:sSub>
          <m:e>
            <m:r>
              <m:t>Θ</m:t>
            </m:r>
          </m:e>
          <m:sub>
            <m:r>
              <m:t>α</m:t>
            </m:r>
            <m:r>
              <m:rPr>
                <m:sty m:val="p"/>
              </m:rPr>
              <m:t>,</m:t>
            </m:r>
            <m:r>
              <m:t>n</m:t>
            </m:r>
          </m:sub>
        </m:sSub>
        <m:r>
          <m:rPr>
            <m:sty m:val="p"/>
          </m:rPr>
          <m:t>≠</m:t>
        </m:r>
        <m:r>
          <m:t>0</m:t>
        </m:r>
      </m:oMath>
      <w:r>
        <w:t xml:space="preserve"> </w:t>
      </w:r>
      <w:r>
        <w:t xml:space="preserve">has a finite basis-vector witness. Choose a nonzero column</w:t>
      </w:r>
      <w:r>
        <w:t xml:space="preserve"> </w:t>
      </w:r>
      <m:oMath>
        <m:r>
          <m:t>j</m:t>
        </m:r>
      </m:oMath>
      <w:r>
        <w:t xml:space="preserve">; then</w:t>
      </w:r>
    </w:p>
    <w:p>
      <w:pPr>
        <w:pStyle w:val="BodyText"/>
      </w:pPr>
      <m:oMathPara>
        <m:oMathParaPr>
          <m:jc m:val="center"/>
        </m:oMathParaPr>
        <m:oMath>
          <m:sSub>
            <m:e>
              <m:r>
                <m:t>Θ</m:t>
              </m:r>
            </m:e>
            <m:sub>
              <m:r>
                <m:t>α</m:t>
              </m:r>
              <m:r>
                <m:rPr>
                  <m:sty m:val="p"/>
                </m:rPr>
                <m:t>,</m:t>
              </m:r>
              <m:r>
                <m:t>n</m:t>
              </m:r>
            </m:sub>
          </m:sSub>
          <m:sSub>
            <m:e>
              <m:r>
                <m:t>e</m:t>
              </m:r>
            </m:e>
            <m:sub>
              <m:r>
                <m:t>j</m:t>
              </m:r>
            </m:sub>
          </m:sSub>
          <m:r>
            <m:rPr>
              <m:sty m:val="p"/>
            </m:rPr>
            <m:t>≠</m:t>
          </m:r>
          <m:r>
            <m:t>0</m:t>
          </m:r>
          <m:r>
            <m:rPr>
              <m:sty m:val="p"/>
            </m:rPr>
            <m:t>.</m:t>
          </m:r>
        </m:oMath>
      </m:oMathPara>
    </w:p>
    <w:p>
      <w:pPr>
        <w:pStyle w:val="FirstParagraph"/>
      </w:pPr>
      <w:r>
        <w:t xml:space="preserve">The index</w:t>
      </w:r>
      <w:r>
        <w:t xml:space="preserve"> </w:t>
      </w:r>
      <m:oMath>
        <m:r>
          <m:t>j</m:t>
        </m:r>
      </m:oMath>
      <w:r>
        <w:t xml:space="preserve"> </w:t>
      </w:r>
      <w:r>
        <w:t xml:space="preserve">identifies a source obligation whose verification residual changes under transport. The residual vector is an independently checkable counterexample to naturality.</w:t>
      </w:r>
    </w:p>
    <w:bookmarkEnd w:id="30"/>
    <w:bookmarkStart w:id="31" w:name="theorem-2.4-defect-derivation-law"/>
    <w:p>
      <w:pPr>
        <w:pStyle w:val="Heading3"/>
      </w:pPr>
      <w:r>
        <w:t xml:space="preserve">Theorem 2.4 — Defect derivation law</w:t>
      </w:r>
    </w:p>
    <w:p>
      <w:pPr>
        <w:pStyle w:val="FirstParagraph"/>
      </w:pPr>
      <w:r>
        <w:t xml:space="preserve">For composable transports</w:t>
      </w:r>
      <w:r>
        <w:t xml:space="preserve"> </w:t>
      </w:r>
      <m:oMath>
        <m:sSub>
          <m:e>
            <m:r>
              <m:t>T</m:t>
            </m:r>
          </m:e>
          <m:sub>
            <m:r>
              <m:t>α</m:t>
            </m:r>
          </m:sub>
        </m:sSub>
        <m:r>
          <m:rPr>
            <m:sty m:val="p"/>
          </m:rPr>
          <m:t>:</m:t>
        </m:r>
        <m:r>
          <m:t>c</m:t>
        </m:r>
        <m:r>
          <m:rPr>
            <m:sty m:val="p"/>
          </m:rPr>
          <m:t>→</m:t>
        </m:r>
        <m:r>
          <m:t>d</m:t>
        </m:r>
      </m:oMath>
      <w:r>
        <w:t xml:space="preserve"> </w:t>
      </w:r>
      <w:r>
        <w:t xml:space="preserve">and</w:t>
      </w:r>
      <w:r>
        <w:t xml:space="preserve"> </w:t>
      </w:r>
      <m:oMath>
        <m:sSub>
          <m:e>
            <m:r>
              <m:t>T</m:t>
            </m:r>
          </m:e>
          <m:sub>
            <m:r>
              <m:t>β</m:t>
            </m:r>
          </m:sub>
        </m:sSub>
        <m:r>
          <m:rPr>
            <m:sty m:val="p"/>
          </m:rPr>
          <m:t>:</m:t>
        </m:r>
        <m:r>
          <m:t>d</m:t>
        </m:r>
        <m:r>
          <m:rPr>
            <m:sty m:val="p"/>
          </m:rPr>
          <m:t>→</m:t>
        </m:r>
        <m:r>
          <m:t>e</m:t>
        </m:r>
      </m:oMath>
      <w:r>
        <w:t xml:space="preserve">,</w:t>
      </w:r>
    </w:p>
    <w:p>
      <w:pPr>
        <w:pStyle w:val="BodyText"/>
      </w:pPr>
      <m:oMathPara>
        <m:oMathParaPr>
          <m:jc m:val="center"/>
        </m:oMathParaPr>
        <m:oMath>
          <m:sSub>
            <m:e>
              <m:r>
                <m:t>Θ</m:t>
              </m:r>
            </m:e>
            <m:sub>
              <m:r>
                <m:t>β</m:t>
              </m:r>
              <m:r>
                <m:t>α</m:t>
              </m:r>
            </m:sub>
          </m:sSub>
          <m:r>
            <m:rPr>
              <m:sty m:val="p"/>
            </m:rPr>
            <m:t>=</m:t>
          </m:r>
          <m:sSub>
            <m:e>
              <m:r>
                <m:t>Θ</m:t>
              </m:r>
            </m:e>
            <m:sub>
              <m:r>
                <m:t>β</m:t>
              </m:r>
            </m:sub>
          </m:sSub>
          <m:sSub>
            <m:e>
              <m:r>
                <m:t>T</m:t>
              </m:r>
            </m:e>
            <m:sub>
              <m:r>
                <m:t>α</m:t>
              </m:r>
            </m:sub>
          </m:sSub>
          <m:r>
            <m:rPr>
              <m:sty m:val="p"/>
            </m:rPr>
            <m:t>+</m:t>
          </m:r>
          <m:sSub>
            <m:e>
              <m:r>
                <m:t>T</m:t>
              </m:r>
            </m:e>
            <m:sub>
              <m:r>
                <m:t>β</m:t>
              </m:r>
            </m:sub>
          </m:sSub>
          <m:sSub>
            <m:e>
              <m:r>
                <m:t>Θ</m:t>
              </m:r>
            </m:e>
            <m:sub>
              <m:r>
                <m:t>α</m:t>
              </m:r>
            </m:sub>
          </m:sSub>
          <m:r>
            <m:rPr>
              <m:sty m:val="p"/>
            </m:rPr>
            <m:t>.</m:t>
          </m:r>
        </m:oMath>
      </m:oMathPara>
    </w:p>
    <w:p>
      <w:pPr>
        <w:pStyle w:val="FirstParagraph"/>
      </w:pPr>
      <w:r>
        <w:rPr>
          <w:bCs/>
          <w:b/>
        </w:rPr>
        <w:t xml:space="preserve">Proof.</w:t>
      </w:r>
      <w:r>
        <w:t xml:space="preserve"> </w:t>
      </w:r>
      <w:r>
        <w:t xml:space="preserve">Expand</w:t>
      </w:r>
    </w:p>
    <w:p>
      <w:pPr>
        <w:pStyle w:val="BodyText"/>
      </w:pPr>
      <m:oMathPara>
        <m:oMathParaPr>
          <m:jc m:val="center"/>
        </m:oMathParaPr>
        <m:oMath>
          <m:sSup>
            <m:e>
              <m:r>
                <m:rPr>
                  <m:sty m:val="p"/>
                </m:rPr>
                <m:t>∂</m:t>
              </m:r>
            </m:e>
            <m:sup>
              <m:r>
                <m:t>e</m:t>
              </m:r>
            </m:sup>
          </m:sSup>
          <m:sSub>
            <m:e>
              <m:r>
                <m:t>T</m:t>
              </m:r>
            </m:e>
            <m:sub>
              <m:r>
                <m:t>β</m:t>
              </m:r>
            </m:sub>
          </m:sSub>
          <m:sSub>
            <m:e>
              <m:r>
                <m:t>T</m:t>
              </m:r>
            </m:e>
            <m:sub>
              <m:r>
                <m:t>α</m:t>
              </m:r>
            </m:sub>
          </m:sSub>
          <m:r>
            <m:rPr>
              <m:sty m:val="p"/>
            </m:rPr>
            <m:t>−</m:t>
          </m:r>
          <m:sSub>
            <m:e>
              <m:r>
                <m:t>T</m:t>
              </m:r>
            </m:e>
            <m:sub>
              <m:r>
                <m:t>β</m:t>
              </m:r>
            </m:sub>
          </m:sSub>
          <m:sSub>
            <m:e>
              <m:r>
                <m:t>T</m:t>
              </m:r>
            </m:e>
            <m:sub>
              <m:r>
                <m:t>α</m:t>
              </m:r>
            </m:sub>
          </m:sSub>
          <m:sSup>
            <m:e>
              <m:r>
                <m:rPr>
                  <m:sty m:val="p"/>
                </m:rPr>
                <m:t>∂</m:t>
              </m:r>
            </m:e>
            <m:sup>
              <m:r>
                <m:t>c</m:t>
              </m:r>
            </m:sup>
          </m:sSup>
        </m:oMath>
      </m:oMathPara>
    </w:p>
    <w:p>
      <w:pPr>
        <w:pStyle w:val="FirstParagraph"/>
      </w:pPr>
      <w:r>
        <w:t xml:space="preserve">and add and subtract</w:t>
      </w:r>
      <w:r>
        <w:t xml:space="preserve"> </w:t>
      </w:r>
      <m:oMath>
        <m:sSub>
          <m:e>
            <m:r>
              <m:t>T</m:t>
            </m:r>
          </m:e>
          <m:sub>
            <m:r>
              <m:t>β</m:t>
            </m:r>
          </m:sub>
        </m:sSub>
        <m:sSup>
          <m:e>
            <m:r>
              <m:rPr>
                <m:sty m:val="p"/>
              </m:rPr>
              <m:t>∂</m:t>
            </m:r>
          </m:e>
          <m:sup>
            <m:r>
              <m:t>d</m:t>
            </m:r>
          </m:sup>
        </m:sSup>
        <m:sSub>
          <m:e>
            <m:r>
              <m:t>T</m:t>
            </m:r>
          </m:e>
          <m:sub>
            <m:r>
              <m:t>α</m:t>
            </m:r>
          </m:sub>
        </m:sSub>
      </m:oMath>
      <w:r>
        <w:t xml:space="preserve">.</w:t>
      </w:r>
      <w:r>
        <w:t xml:space="preserve"> </w:t>
      </w:r>
      <m:oMath>
        <m:r>
          <m:rPr>
            <m:sty m:val="p"/>
          </m:rPr>
          <m:t>▫</m:t>
        </m:r>
      </m:oMath>
    </w:p>
    <w:p>
      <w:pPr>
        <w:pStyle w:val="BodyText"/>
      </w:pPr>
      <w:r>
        <w:t xml:space="preserve">The law localizes composite failure. Cancellation between stage defects is possible, but the cancellation itself becomes a checkable identity and cannot be inferred from a favorable endpoint alone.</w:t>
      </w:r>
    </w:p>
    <w:bookmarkEnd w:id="31"/>
    <w:bookmarkEnd w:id="32"/>
    <w:bookmarkStart w:id="33" w:name="path-holonomy"/>
    <w:p>
      <w:pPr>
        <w:pStyle w:val="Heading2"/>
      </w:pPr>
      <w:r>
        <w:t xml:space="preserve">2.4 Path holonomy</w:t>
      </w:r>
    </w:p>
    <w:p>
      <w:pPr>
        <w:pStyle w:val="FirstParagraph"/>
      </w:pPr>
      <w:r>
        <w:t xml:space="preserve">Suppose two declared paths from</w:t>
      </w:r>
      <w:r>
        <w:t xml:space="preserve"> </w:t>
      </w:r>
      <m:oMath>
        <m:r>
          <m:t>c</m:t>
        </m:r>
      </m:oMath>
      <w:r>
        <w:t xml:space="preserve"> </w:t>
      </w:r>
      <w:r>
        <w:t xml:space="preserve">to</w:t>
      </w:r>
      <w:r>
        <w:t xml:space="preserve"> </w:t>
      </w:r>
      <m:oMath>
        <m:r>
          <m:t>d</m:t>
        </m:r>
      </m:oMath>
      <w:r>
        <w:t xml:space="preserve"> </w:t>
      </w:r>
      <w:r>
        <w:t xml:space="preserve">are</w:t>
      </w:r>
    </w:p>
    <w:p>
      <w:pPr>
        <w:pStyle w:val="BodyText"/>
      </w:pPr>
      <m:oMathPara>
        <m:oMathParaPr>
          <m:jc m:val="center"/>
        </m:oMathParaPr>
        <m:oMath>
          <m:r>
            <m:t>c</m:t>
          </m:r>
          <m:limUpp>
            <m:e>
              <m:r>
                <m:rPr>
                  <m:sty m:val="p"/>
                </m:rPr>
                <m:t>→</m:t>
              </m:r>
            </m:e>
            <m:lim>
              <m:r>
                <m:t>p</m:t>
              </m:r>
            </m:lim>
          </m:limUpp>
          <m:sSub>
            <m:e>
              <m:r>
                <m:t>c</m:t>
              </m:r>
            </m:e>
            <m:sub>
              <m:r>
                <m:t>p</m:t>
              </m:r>
            </m:sub>
          </m:sSub>
          <m:limUpp>
            <m:e>
              <m:r>
                <m:rPr>
                  <m:sty m:val="p"/>
                </m:rPr>
                <m:t>→</m:t>
              </m:r>
            </m:e>
            <m:lim>
              <m:r>
                <m:t>q</m:t>
              </m:r>
              <m:r>
                <m:rPr>
                  <m:sty m:val="p"/>
                </m:rPr>
                <m:t>|</m:t>
              </m:r>
              <m:r>
                <m:t>p</m:t>
              </m:r>
            </m:lim>
          </m:limUpp>
          <m:r>
            <m:t>d</m:t>
          </m:r>
          <m:r>
            <m:rPr>
              <m:sty m:val="p"/>
            </m:rPr>
            <m:t>,</m:t>
          </m:r>
          <m:r>
            <m:t>  </m:t>
          </m:r>
          <m:r>
            <m:t>c</m:t>
          </m:r>
          <m:limUpp>
            <m:e>
              <m:r>
                <m:rPr>
                  <m:sty m:val="p"/>
                </m:rPr>
                <m:t>→</m:t>
              </m:r>
            </m:e>
            <m:lim>
              <m:r>
                <m:t>q</m:t>
              </m:r>
            </m:lim>
          </m:limUpp>
          <m:sSub>
            <m:e>
              <m:r>
                <m:t>c</m:t>
              </m:r>
            </m:e>
            <m:sub>
              <m:r>
                <m:t>q</m:t>
              </m:r>
            </m:sub>
          </m:sSub>
          <m:limUpp>
            <m:e>
              <m:r>
                <m:rPr>
                  <m:sty m:val="p"/>
                </m:rPr>
                <m:t>→</m:t>
              </m:r>
            </m:e>
            <m:lim>
              <m:r>
                <m:t>p</m:t>
              </m:r>
              <m:r>
                <m:rPr>
                  <m:sty m:val="p"/>
                </m:rPr>
                <m:t>|</m:t>
              </m:r>
              <m:r>
                <m:t>q</m:t>
              </m:r>
            </m:lim>
          </m:limUpp>
          <m:r>
            <m:t>d</m:t>
          </m:r>
          <m:r>
            <m:rPr>
              <m:sty m:val="p"/>
            </m:rPr>
            <m:t>.</m:t>
          </m:r>
        </m:oMath>
      </m:oMathPara>
    </w:p>
    <w:p>
      <w:pPr>
        <w:pStyle w:val="FirstParagraph"/>
      </w:pPr>
      <w:r>
        <w:t xml:space="preserve">Define</w:t>
      </w:r>
    </w:p>
    <w:p>
      <w:pPr>
        <w:pStyle w:val="BodyText"/>
      </w:pPr>
      <m:oMathPara>
        <m:oMathParaPr>
          <m:jc m:val="center"/>
        </m:oMathParaPr>
        <m:oMath>
          <m:sSub>
            <m:e>
              <m:r>
                <m:t>Ω</m:t>
              </m:r>
            </m:e>
            <m:sub>
              <m:r>
                <m:t>p</m:t>
              </m:r>
              <m:r>
                <m:rPr>
                  <m:sty m:val="p"/>
                </m:rPr>
                <m:t>,</m:t>
              </m:r>
              <m:r>
                <m:t>q</m:t>
              </m:r>
            </m:sub>
          </m:sSub>
          <m:r>
            <m:rPr>
              <m:sty m:val="p"/>
            </m:rPr>
            <m:t>=</m:t>
          </m:r>
          <m:sSub>
            <m:e>
              <m:r>
                <m:t>T</m:t>
              </m:r>
            </m:e>
            <m:sub>
              <m:r>
                <m:t>q</m:t>
              </m:r>
              <m:r>
                <m:rPr>
                  <m:sty m:val="p"/>
                </m:rPr>
                <m:t>|</m:t>
              </m:r>
              <m:r>
                <m:t>p</m:t>
              </m:r>
            </m:sub>
          </m:sSub>
          <m:sSub>
            <m:e>
              <m:r>
                <m:t>T</m:t>
              </m:r>
            </m:e>
            <m:sub>
              <m:r>
                <m:t>p</m:t>
              </m:r>
            </m:sub>
          </m:sSub>
          <m:r>
            <m:rPr>
              <m:sty m:val="p"/>
            </m:rPr>
            <m:t>−</m:t>
          </m:r>
          <m:sSub>
            <m:e>
              <m:r>
                <m:t>T</m:t>
              </m:r>
            </m:e>
            <m:sub>
              <m:r>
                <m:t>p</m:t>
              </m:r>
              <m:r>
                <m:rPr>
                  <m:sty m:val="p"/>
                </m:rPr>
                <m:t>|</m:t>
              </m:r>
              <m:r>
                <m:t>q</m:t>
              </m:r>
            </m:sub>
          </m:sSub>
          <m:sSub>
            <m:e>
              <m:r>
                <m:t>T</m:t>
              </m:r>
            </m:e>
            <m:sub>
              <m:r>
                <m:t>q</m:t>
              </m:r>
            </m:sub>
          </m:sSub>
          <m:r>
            <m:rPr>
              <m:sty m:val="p"/>
            </m:rPr>
            <m:t>.</m:t>
          </m:r>
        </m:oMath>
      </m:oMathPara>
    </w:p>
    <w:p>
      <w:pPr>
        <w:pStyle w:val="FirstParagraph"/>
      </w:pPr>
      <w:r>
        <w:t xml:space="preserve">Exact path independence is</w:t>
      </w:r>
      <w:r>
        <w:t xml:space="preserve"> </w:t>
      </w:r>
      <m:oMath>
        <m:sSub>
          <m:e>
            <m:r>
              <m:t>Ω</m:t>
            </m:r>
          </m:e>
          <m:sub>
            <m:r>
              <m:t>p</m:t>
            </m:r>
            <m:r>
              <m:rPr>
                <m:sty m:val="p"/>
              </m:rPr>
              <m:t>,</m:t>
            </m:r>
            <m:r>
              <m:t>q</m:t>
            </m:r>
          </m:sub>
        </m:sSub>
        <m:r>
          <m:rPr>
            <m:sty m:val="p"/>
          </m:rPr>
          <m:t>=</m:t>
        </m:r>
        <m:r>
          <m:t>0</m:t>
        </m:r>
      </m:oMath>
      <w:r>
        <w:t xml:space="preserve">. A nonzero column is a path-dependent certificate witness. In the arithmetic program,</w:t>
      </w:r>
      <w:r>
        <w:t xml:space="preserve"> </w:t>
      </w:r>
      <m:oMath>
        <m:r>
          <m:t>p</m:t>
        </m:r>
      </m:oMath>
      <w:r>
        <w:t xml:space="preserve"> </w:t>
      </w:r>
      <w:r>
        <w:t xml:space="preserve">and</w:t>
      </w:r>
      <w:r>
        <w:t xml:space="preserve"> </w:t>
      </w:r>
      <m:oMath>
        <m:r>
          <m:t>q</m:t>
        </m:r>
      </m:oMath>
      <w:r>
        <w:t xml:space="preserve"> </w:t>
      </w:r>
      <w:r>
        <w:t xml:space="preserve">can denote the order of adjoining primes. In the trans-scale program, they can denote two scale refinements. In an observation pipeline, they can denote quotienting and changing instruments.</w:t>
      </w:r>
    </w:p>
    <w:p>
      <w:pPr>
        <w:pStyle w:val="BodyText"/>
      </w:pPr>
      <w:r>
        <w:t xml:space="preserve">Triangle tests alone do not detect every such defect. A context graph may contain an unfilled square and no triangles, so every triangle condition is vacuous while</w:t>
      </w:r>
      <w:r>
        <w:t xml:space="preserve"> </w:t>
      </w:r>
      <m:oMath>
        <m:sSub>
          <m:e>
            <m:r>
              <m:t>Ω</m:t>
            </m:r>
          </m:e>
          <m:sub>
            <m:r>
              <m:t>p</m:t>
            </m:r>
            <m:r>
              <m:rPr>
                <m:sty m:val="p"/>
              </m:rPr>
              <m:t>,</m:t>
            </m:r>
            <m:r>
              <m:t>q</m:t>
            </m:r>
          </m:sub>
        </m:sSub>
        <m:r>
          <m:rPr>
            <m:sty m:val="p"/>
          </m:rPr>
          <m:t>≠</m:t>
        </m:r>
        <m:r>
          <m:t>0</m:t>
        </m:r>
      </m:oMath>
      <w:r>
        <w:t xml:space="preserve">. Coherence must be checked on a declared generating family of two-cells or path rewrites.</w:t>
      </w:r>
    </w:p>
    <w:bookmarkEnd w:id="33"/>
    <w:bookmarkStart w:id="34" w:name="curved-audit-bicomplex"/>
    <w:p>
      <w:pPr>
        <w:pStyle w:val="Heading2"/>
      </w:pPr>
      <w:r>
        <w:t xml:space="preserve">2.5 Curved audit bicomplex</w:t>
      </w:r>
    </w:p>
    <w:p>
      <w:pPr>
        <w:pStyle w:val="FirstParagraph"/>
      </w:pPr>
      <w:r>
        <w:t xml:space="preserve">Let</w:t>
      </w:r>
      <w:r>
        <w:t xml:space="preserve"> </w:t>
      </w:r>
      <m:oMath>
        <m:sSub>
          <m:e>
            <m:r>
              <m:t>K</m:t>
            </m:r>
          </m:e>
          <m:sub>
            <m:r>
              <m:t>p</m:t>
            </m:r>
            <m:r>
              <m:rPr>
                <m:sty m:val="p"/>
              </m:rPr>
              <m:t>,</m:t>
            </m:r>
            <m:r>
              <m:t>q</m:t>
            </m:r>
          </m:sub>
        </m:sSub>
      </m:oMath>
      <w:r>
        <w:t xml:space="preserve"> </w:t>
      </w:r>
      <w:r>
        <w:t xml:space="preserve">carry a horizontal differential</w:t>
      </w:r>
      <w:r>
        <w:t xml:space="preserve"> </w:t>
      </w:r>
      <m:oMath>
        <m:r>
          <m:t>δ</m:t>
        </m:r>
        <m:r>
          <m:rPr>
            <m:sty m:val="p"/>
          </m:rPr>
          <m:t>:</m:t>
        </m:r>
        <m:sSub>
          <m:e>
            <m:r>
              <m:t>K</m:t>
            </m:r>
          </m:e>
          <m:sub>
            <m:r>
              <m:t>p</m:t>
            </m:r>
            <m:r>
              <m:rPr>
                <m:sty m:val="p"/>
              </m:rPr>
              <m:t>,</m:t>
            </m:r>
            <m:r>
              <m:t>q</m:t>
            </m:r>
          </m:sub>
        </m:sSub>
        <m:r>
          <m:rPr>
            <m:sty m:val="p"/>
          </m:rPr>
          <m:t>→</m:t>
        </m:r>
        <m:sSub>
          <m:e>
            <m:r>
              <m:t>K</m:t>
            </m:r>
          </m:e>
          <m:sub>
            <m:r>
              <m:t>p</m:t>
            </m:r>
            <m:r>
              <m:rPr>
                <m:sty m:val="p"/>
              </m:rPr>
              <m:t>−</m:t>
            </m:r>
            <m:r>
              <m:t>1</m:t>
            </m:r>
            <m:r>
              <m:rPr>
                <m:sty m:val="p"/>
              </m:rPr>
              <m:t>,</m:t>
            </m:r>
            <m:r>
              <m:t>q</m:t>
            </m:r>
          </m:sub>
        </m:sSub>
      </m:oMath>
      <w:r>
        <w:t xml:space="preserve"> </w:t>
      </w:r>
      <w:r>
        <w:t xml:space="preserve">and a vertical differential</w:t>
      </w:r>
      <w:r>
        <w:t xml:space="preserve"> </w:t>
      </w:r>
      <m:oMath>
        <m:r>
          <m:rPr>
            <m:sty m:val="p"/>
          </m:rPr>
          <m:t>∂</m:t>
        </m:r>
        <m:r>
          <m:rPr>
            <m:sty m:val="p"/>
          </m:rPr>
          <m:t>:</m:t>
        </m:r>
        <m:sSub>
          <m:e>
            <m:r>
              <m:t>K</m:t>
            </m:r>
          </m:e>
          <m:sub>
            <m:r>
              <m:t>p</m:t>
            </m:r>
            <m:r>
              <m:rPr>
                <m:sty m:val="p"/>
              </m:rPr>
              <m:t>,</m:t>
            </m:r>
            <m:r>
              <m:t>q</m:t>
            </m:r>
          </m:sub>
        </m:sSub>
        <m:r>
          <m:rPr>
            <m:sty m:val="p"/>
          </m:rPr>
          <m:t>→</m:t>
        </m:r>
        <m:sSub>
          <m:e>
            <m:r>
              <m:t>K</m:t>
            </m:r>
          </m:e>
          <m:sub>
            <m:r>
              <m:t>p</m:t>
            </m:r>
            <m:r>
              <m:rPr>
                <m:sty m:val="p"/>
              </m:rPr>
              <m:t>,</m:t>
            </m:r>
            <m:r>
              <m:t>q</m:t>
            </m:r>
            <m:r>
              <m:rPr>
                <m:sty m:val="p"/>
              </m:rPr>
              <m:t>−</m:t>
            </m:r>
            <m:r>
              <m:t>1</m:t>
            </m:r>
          </m:sub>
        </m:sSub>
      </m:oMath>
      <w:r>
        <w:t xml:space="preserve">, with</w:t>
      </w:r>
      <w:r>
        <w:t xml:space="preserve"> </w:t>
      </w:r>
      <m:oMath>
        <m:sSup>
          <m:e>
            <m:r>
              <m:t>δ</m:t>
            </m:r>
          </m:e>
          <m:sup>
            <m:r>
              <m:t>2</m:t>
            </m:r>
          </m:sup>
        </m:sSup>
        <m:r>
          <m:rPr>
            <m:sty m:val="p"/>
          </m:rPr>
          <m:t>=</m:t>
        </m:r>
        <m:sSup>
          <m:e>
            <m:r>
              <m:rPr>
                <m:sty m:val="p"/>
              </m:rPr>
              <m:t>∂</m:t>
            </m:r>
          </m:e>
          <m:sup>
            <m:r>
              <m:t>2</m:t>
            </m:r>
          </m:sup>
        </m:sSup>
        <m:r>
          <m:rPr>
            <m:sty m:val="p"/>
          </m:rPr>
          <m:t>=</m:t>
        </m:r>
        <m:r>
          <m:t>0</m:t>
        </m:r>
      </m:oMath>
      <w:r>
        <w:t xml:space="preserve">. On</w:t>
      </w:r>
      <w:r>
        <w:t xml:space="preserve"> </w:t>
      </w:r>
      <m:oMath>
        <m:sSub>
          <m:e>
            <m:r>
              <m:t>K</m:t>
            </m:r>
          </m:e>
          <m:sub>
            <m:r>
              <m:t>p</m:t>
            </m:r>
            <m:r>
              <m:rPr>
                <m:sty m:val="p"/>
              </m:rPr>
              <m:t>,</m:t>
            </m:r>
            <m:r>
              <m:t>q</m:t>
            </m:r>
          </m:sub>
        </m:sSub>
      </m:oMath>
      <w:r>
        <w:t xml:space="preserve">, set</w:t>
      </w:r>
    </w:p>
    <w:p>
      <w:pPr>
        <w:pStyle w:val="BodyText"/>
      </w:pPr>
      <m:oMathPara>
        <m:oMathParaPr>
          <m:jc m:val="center"/>
        </m:oMathParaPr>
        <m:oMath>
          <m:r>
            <m:t>D</m:t>
          </m:r>
          <m:r>
            <m:rPr>
              <m:sty m:val="p"/>
            </m:rPr>
            <m:t>=</m:t>
          </m:r>
          <m:r>
            <m:t>δ</m:t>
          </m:r>
          <m:r>
            <m:rPr>
              <m:sty m:val="p"/>
            </m:rPr>
            <m:t>+</m:t>
          </m:r>
          <m:sSup>
            <m:e>
              <m:d>
                <m:dPr>
                  <m:begChr m:val="("/>
                  <m:endChr m:val=")"/>
                  <m:sepChr m:val=""/>
                  <m:grow/>
                </m:dPr>
                <m:e>
                  <m:r>
                    <m:rPr>
                      <m:sty m:val="p"/>
                    </m:rPr>
                    <m:t>−</m:t>
                  </m:r>
                  <m:r>
                    <m:t>1</m:t>
                  </m:r>
                </m:e>
              </m:d>
            </m:e>
            <m:sup>
              <m:r>
                <m:t>p</m:t>
              </m:r>
            </m:sup>
          </m:sSup>
          <m:r>
            <m:rPr>
              <m:sty m:val="p"/>
            </m:rPr>
            <m:t>∂</m:t>
          </m:r>
          <m:r>
            <m:rPr>
              <m:sty m:val="p"/>
            </m:rPr>
            <m:t>.</m:t>
          </m:r>
        </m:oMath>
      </m:oMathPara>
    </w:p>
    <w:p>
      <w:pPr>
        <w:pStyle w:val="FirstParagraph"/>
      </w:pPr>
      <w:r>
        <w:t xml:space="preserve">Then</w:t>
      </w:r>
    </w:p>
    <w:p>
      <w:pPr>
        <w:pStyle w:val="BodyText"/>
      </w:pPr>
      <m:oMathPara>
        <m:oMathParaPr>
          <m:jc m:val="center"/>
        </m:oMathParaPr>
        <m:oMath>
          <m:sSup>
            <m:e>
              <m:r>
                <m:t>D</m:t>
              </m:r>
            </m:e>
            <m:sup>
              <m:r>
                <m:t>2</m:t>
              </m:r>
            </m:sup>
          </m:sSup>
          <m:r>
            <m:rPr>
              <m:sty m:val="p"/>
            </m:rPr>
            <m:t>=</m:t>
          </m:r>
          <m:sSup>
            <m:e>
              <m:d>
                <m:dPr>
                  <m:begChr m:val="("/>
                  <m:endChr m:val=")"/>
                  <m:sepChr m:val=""/>
                  <m:grow/>
                </m:dPr>
                <m:e>
                  <m:r>
                    <m:rPr>
                      <m:sty m:val="p"/>
                    </m:rPr>
                    <m:t>−</m:t>
                  </m:r>
                  <m:r>
                    <m:t>1</m:t>
                  </m:r>
                </m:e>
              </m:d>
            </m:e>
            <m:sup>
              <m:r>
                <m:t>p</m:t>
              </m:r>
            </m:sup>
          </m:sSup>
          <m:d>
            <m:dPr>
              <m:begChr m:val="("/>
              <m:endChr m:val=")"/>
              <m:sepChr m:val=""/>
              <m:grow/>
            </m:dPr>
            <m:e>
              <m:r>
                <m:t>δ</m:t>
              </m:r>
              <m:r>
                <m:rPr>
                  <m:sty m:val="p"/>
                </m:rPr>
                <m:t>∂</m:t>
              </m:r>
              <m:r>
                <m:rPr>
                  <m:sty m:val="p"/>
                </m:rPr>
                <m:t>−</m:t>
              </m:r>
              <m:r>
                <m:rPr>
                  <m:sty m:val="p"/>
                </m:rPr>
                <m:t>∂</m:t>
              </m:r>
              <m:r>
                <m:t>δ</m:t>
              </m:r>
            </m:e>
          </m:d>
          <m:r>
            <m:rPr>
              <m:sty m:val="p"/>
            </m:rPr>
            <m:t>.</m:t>
          </m:r>
        </m:oMath>
      </m:oMathPara>
    </w:p>
    <w:p>
      <w:pPr>
        <w:pStyle w:val="FirstParagraph"/>
      </w:pPr>
      <w:r>
        <w:t xml:space="preserve">Thus the audit curvature is the interchange commutator. Only a flat double complex has a genuine total homology without correction. This supplies an exact replacement for distance-valued</w:t>
      </w:r>
      <w:r>
        <w:t xml:space="preserve"> </w:t>
      </w:r>
      <w:r>
        <w:t xml:space="preserve">“</w:t>
      </w:r>
      <w:r>
        <w:t xml:space="preserve">cohomology</w:t>
      </w:r>
      <w:r>
        <w:t xml:space="preserve">”</w:t>
      </w:r>
      <w:r>
        <w:t xml:space="preserve"> </w:t>
      </w:r>
      <w:r>
        <w:t xml:space="preserve">language: a cohomology theory needs typed coefficients and a coboundary; a path distance by itself is not a cocycle.</w:t>
      </w:r>
    </w:p>
    <w:bookmarkEnd w:id="34"/>
    <w:bookmarkEnd w:id="35"/>
    <w:bookmarkStart w:id="40" w:name="observation-descent-galois-lattice"/>
    <w:p>
      <w:pPr>
        <w:pStyle w:val="Heading1"/>
        <w:pBdr>
          <w:bottom w:val="single" w:sz="6" w:space="4" w:color="E8EEF5"/>
        </w:pBdr>
      </w:pPr>
      <w:r>
        <w:t xml:space="preserve">3. Observation-descent Galois lattice</w:t>
      </w:r>
    </w:p>
    <w:bookmarkStart w:id="38" w:name="exact-observation-relations"/>
    <w:p>
      <w:pPr>
        <w:pStyle w:val="Heading2"/>
      </w:pPr>
      <w:r>
        <w:t xml:space="preserve">3.1 Exact observation relations</w:t>
      </w:r>
    </w:p>
    <w:p>
      <w:pPr>
        <w:pStyle w:val="FirstParagraph"/>
      </w:pPr>
      <w:r>
        <w:t xml:space="preserve">Let</w:t>
      </w:r>
      <w:r>
        <w:t xml:space="preserve"> </w:t>
      </w:r>
      <m:oMath>
        <m:r>
          <m:t>X</m:t>
        </m:r>
      </m:oMath>
      <w:r>
        <w:t xml:space="preserve"> </w:t>
      </w:r>
      <w:r>
        <w:t xml:space="preserve">be a raw state set. An exact observation relation</w:t>
      </w:r>
      <w:r>
        <w:t xml:space="preserve"> </w:t>
      </w:r>
      <m:oMath>
        <m:r>
          <m:t>R</m:t>
        </m:r>
        <m:r>
          <m:rPr>
            <m:sty m:val="p"/>
          </m:rPr>
          <m:t>⊆</m:t>
        </m:r>
        <m:r>
          <m:t>X</m:t>
        </m:r>
        <m:r>
          <m:rPr>
            <m:sty m:val="p"/>
          </m:rPr>
          <m:t>×</m:t>
        </m:r>
        <m:r>
          <m:t>X</m:t>
        </m:r>
      </m:oMath>
      <w:r>
        <w:t xml:space="preserve"> </w:t>
      </w:r>
      <w:r>
        <w:t xml:space="preserve">identifies states that an instrument or legal filtration cannot distinguish. For a query</w:t>
      </w:r>
      <w:r>
        <w:t xml:space="preserve"> </w:t>
      </w:r>
      <m:oMath>
        <m:r>
          <m:t>q</m:t>
        </m:r>
        <m:r>
          <m:rPr>
            <m:sty m:val="p"/>
          </m:rPr>
          <m:t>:</m:t>
        </m:r>
        <m:r>
          <m:t>X</m:t>
        </m:r>
        <m:r>
          <m:rPr>
            <m:sty m:val="p"/>
          </m:rPr>
          <m:t>→</m:t>
        </m:r>
        <m:sSub>
          <m:e>
            <m:r>
              <m:t>Y</m:t>
            </m:r>
          </m:e>
          <m:sub>
            <m:r>
              <m:t>q</m:t>
            </m:r>
          </m:sub>
        </m:sSub>
      </m:oMath>
      <w:r>
        <w:t xml:space="preserve">, define</w:t>
      </w:r>
    </w:p>
    <w:p>
      <w:pPr>
        <w:pStyle w:val="BodyText"/>
      </w:pPr>
      <m:oMathPara>
        <m:oMathParaPr>
          <m:jc m:val="center"/>
        </m:oMathParaPr>
        <m:oMath>
          <m:r>
            <m:rPr>
              <m:sty m:val="p"/>
            </m:rPr>
            <m:t>ker</m:t>
          </m:r>
          <m:r>
            <m:t>q</m:t>
          </m:r>
          <m:r>
            <m:rPr>
              <m:sty m:val="p"/>
            </m:rPr>
            <m:t>=</m:t>
          </m:r>
          <m:r>
            <m:rPr>
              <m:sty m:val="p"/>
            </m:rPr>
            <m:t>{</m:t>
          </m:r>
          <m:d>
            <m:dPr>
              <m:begChr m:val="("/>
              <m:endChr m:val=")"/>
              <m:sepChr m:val=""/>
              <m:grow/>
            </m:dPr>
            <m:e>
              <m:r>
                <m:t>x</m:t>
              </m:r>
              <m:r>
                <m:rPr>
                  <m:sty m:val="p"/>
                </m:rPr>
                <m:t>,</m:t>
              </m:r>
              <m:r>
                <m:t>x</m:t>
              </m:r>
              <m:r>
                <m:rPr>
                  <m:sty m:val="p"/>
                </m:rPr>
                <m:t>′</m:t>
              </m:r>
            </m:e>
          </m:d>
          <m:r>
            <m:rPr>
              <m:sty m:val="p"/>
            </m:rPr>
            <m:t>∈</m:t>
          </m:r>
          <m:sSup>
            <m:e>
              <m:r>
                <m:t>X</m:t>
              </m:r>
            </m:e>
            <m:sup>
              <m:r>
                <m:t>2</m:t>
              </m:r>
            </m:sup>
          </m:sSup>
          <m:r>
            <m:rPr>
              <m:sty m:val="p"/>
            </m:rPr>
            <m:t>:</m:t>
          </m:r>
          <m:r>
            <m:t>q</m:t>
          </m:r>
          <m:d>
            <m:dPr>
              <m:begChr m:val="("/>
              <m:endChr m:val=")"/>
              <m:sepChr m:val=""/>
              <m:grow/>
            </m:dPr>
            <m:e>
              <m:r>
                <m:t>x</m:t>
              </m:r>
            </m:e>
          </m:d>
          <m:r>
            <m:rPr>
              <m:sty m:val="p"/>
            </m:rPr>
            <m:t>=</m:t>
          </m:r>
          <m:r>
            <m:t>q</m:t>
          </m:r>
          <m:d>
            <m:dPr>
              <m:begChr m:val="("/>
              <m:endChr m:val=")"/>
              <m:sepChr m:val=""/>
              <m:grow/>
            </m:dPr>
            <m:e>
              <m:r>
                <m:t>x</m:t>
              </m:r>
              <m:r>
                <m:rPr>
                  <m:sty m:val="p"/>
                </m:rPr>
                <m:t>′</m:t>
              </m:r>
            </m:e>
          </m:d>
          <m:r>
            <m:rPr>
              <m:sty m:val="p"/>
            </m:rPr>
            <m:t>}</m:t>
          </m:r>
          <m:r>
            <m:rPr>
              <m:sty m:val="p"/>
            </m:rPr>
            <m:t>.</m:t>
          </m:r>
        </m:oMath>
      </m:oMathPara>
    </w:p>
    <w:p>
      <w:pPr>
        <w:pStyle w:val="FirstParagraph"/>
      </w:pPr>
      <w:r>
        <w:t xml:space="preserve">For a query family</w:t>
      </w:r>
      <w:r>
        <w:t xml:space="preserve"> </w:t>
      </w:r>
      <m:oMath>
        <m:r>
          <m:t>Q</m:t>
        </m:r>
      </m:oMath>
      <w:r>
        <w:t xml:space="preserve">, define</w:t>
      </w:r>
    </w:p>
    <w:p>
      <w:pPr>
        <w:pStyle w:val="BodyText"/>
      </w:pPr>
      <m:oMathPara>
        <m:oMathParaPr>
          <m:jc m:val="center"/>
        </m:oMathParaPr>
        <m:oMath>
          <m:r>
            <m:rPr>
              <m:sty m:val="p"/>
            </m:rPr>
            <m:t>Ker</m:t>
          </m:r>
          <m:d>
            <m:dPr>
              <m:begChr m:val="("/>
              <m:endChr m:val=")"/>
              <m:sepChr m:val=""/>
              <m:grow/>
            </m:dPr>
            <m:e>
              <m:r>
                <m:t>Q</m:t>
              </m:r>
            </m:e>
          </m:d>
          <m:r>
            <m:rPr>
              <m:sty m:val="p"/>
            </m:rPr>
            <m:t>=</m:t>
          </m:r>
          <m:limLow>
            <m:e>
              <m:r>
                <m:rPr>
                  <m:sty m:val="p"/>
                </m:rPr>
                <m:t>⋂</m:t>
              </m:r>
            </m:e>
            <m:lim>
              <m:r>
                <m:t>q</m:t>
              </m:r>
              <m:r>
                <m:rPr>
                  <m:sty m:val="p"/>
                </m:rPr>
                <m:t>∈</m:t>
              </m:r>
              <m:r>
                <m:t>Q</m:t>
              </m:r>
            </m:lim>
          </m:limLow>
          <m:r>
            <m:rPr>
              <m:sty m:val="p"/>
            </m:rPr>
            <m:t>ker</m:t>
          </m:r>
          <m:r>
            <m:t>q</m:t>
          </m:r>
          <m:r>
            <m:rPr>
              <m:sty m:val="p"/>
            </m:rPr>
            <m:t>.</m:t>
          </m:r>
        </m:oMath>
      </m:oMathPara>
    </w:p>
    <w:p>
      <w:pPr>
        <w:pStyle w:val="FirstParagraph"/>
      </w:pPr>
      <w:r>
        <w:t xml:space="preserve">For a relation</w:t>
      </w:r>
      <w:r>
        <w:t xml:space="preserve"> </w:t>
      </w:r>
      <m:oMath>
        <m:r>
          <m:t>R</m:t>
        </m:r>
      </m:oMath>
      <w:r>
        <w:t xml:space="preserve">, define its descending queries</w:t>
      </w:r>
    </w:p>
    <w:p>
      <w:pPr>
        <w:pStyle w:val="BodyText"/>
      </w:pPr>
      <m:oMathPara>
        <m:oMathParaPr>
          <m:jc m:val="center"/>
        </m:oMathParaPr>
        <m:oMath>
          <m:r>
            <m:rPr>
              <m:sty m:val="p"/>
            </m:rPr>
            <m:t>Desc</m:t>
          </m:r>
          <m:d>
            <m:dPr>
              <m:begChr m:val="("/>
              <m:endChr m:val=")"/>
              <m:sepChr m:val=""/>
              <m:grow/>
            </m:dPr>
            <m:e>
              <m:r>
                <m:t>R</m:t>
              </m:r>
            </m:e>
          </m:d>
          <m:r>
            <m:rPr>
              <m:sty m:val="p"/>
            </m:rPr>
            <m:t>=</m:t>
          </m:r>
          <m:r>
            <m:rPr>
              <m:sty m:val="p"/>
            </m:rPr>
            <m:t>{</m:t>
          </m:r>
          <m:r>
            <m:t>q</m:t>
          </m:r>
          <m:r>
            <m:rPr>
              <m:sty m:val="p"/>
            </m:rPr>
            <m:t>:</m:t>
          </m:r>
          <m:r>
            <m:t>R</m:t>
          </m:r>
          <m:r>
            <m:rPr>
              <m:sty m:val="p"/>
            </m:rPr>
            <m:t>⊆</m:t>
          </m:r>
          <m:r>
            <m:rPr>
              <m:sty m:val="p"/>
            </m:rPr>
            <m:t>ker</m:t>
          </m:r>
          <m:r>
            <m:t>q</m:t>
          </m:r>
          <m:r>
            <m:rPr>
              <m:sty m:val="p"/>
            </m:rPr>
            <m:t>}</m:t>
          </m:r>
          <m:r>
            <m:rPr>
              <m:sty m:val="p"/>
            </m:rPr>
            <m:t>.</m:t>
          </m:r>
        </m:oMath>
      </m:oMathPara>
    </w:p>
    <w:bookmarkStart w:id="36" w:name="X02d81b4747e188e782aabd09888a7f35860304d"/>
    <w:p>
      <w:pPr>
        <w:pStyle w:val="Heading3"/>
      </w:pPr>
      <w:r>
        <w:t xml:space="preserve">Theorem 3.1 — Observation/query Galois connection</w:t>
      </w:r>
    </w:p>
    <w:p>
      <w:pPr>
        <w:pStyle w:val="FirstParagraph"/>
      </w:pPr>
      <m:oMathPara>
        <m:oMathParaPr>
          <m:jc m:val="center"/>
        </m:oMathParaPr>
        <m:oMath>
          <m:r>
            <m:t>Q</m:t>
          </m:r>
          <m:r>
            <m:rPr>
              <m:sty m:val="p"/>
            </m:rPr>
            <m:t>⊆</m:t>
          </m:r>
          <m:r>
            <m:rPr>
              <m:sty m:val="p"/>
            </m:rPr>
            <m:t>Desc</m:t>
          </m:r>
          <m:d>
            <m:dPr>
              <m:begChr m:val="("/>
              <m:endChr m:val=")"/>
              <m:sepChr m:val=""/>
              <m:grow/>
            </m:dPr>
            <m:e>
              <m:r>
                <m:t>R</m:t>
              </m:r>
            </m:e>
          </m:d>
          <m:r>
            <m:t> </m:t>
          </m:r>
          <m:r>
            <m:rPr>
              <m:sty m:val="p"/>
            </m:rPr>
            <m:t>⇔</m:t>
          </m:r>
          <m:r>
            <m:t> </m:t>
          </m:r>
          <m:r>
            <m:t>R</m:t>
          </m:r>
          <m:r>
            <m:rPr>
              <m:sty m:val="p"/>
            </m:rPr>
            <m:t>⊆</m:t>
          </m:r>
          <m:r>
            <m:rPr>
              <m:sty m:val="p"/>
            </m:rPr>
            <m:t>Ker</m:t>
          </m:r>
          <m:d>
            <m:dPr>
              <m:begChr m:val="("/>
              <m:endChr m:val=")"/>
              <m:sepChr m:val=""/>
              <m:grow/>
            </m:dPr>
            <m:e>
              <m:r>
                <m:t>Q</m:t>
              </m:r>
            </m:e>
          </m:d>
          <m:r>
            <m:rPr>
              <m:sty m:val="p"/>
            </m:rPr>
            <m:t>.</m:t>
          </m:r>
        </m:oMath>
      </m:oMathPara>
    </w:p>
    <w:p>
      <w:pPr>
        <w:pStyle w:val="FirstParagraph"/>
      </w:pPr>
      <w:r>
        <w:rPr>
          <w:bCs/>
          <w:b/>
        </w:rPr>
        <w:t xml:space="preserve">Proof.</w:t>
      </w:r>
      <w:r>
        <w:t xml:space="preserve"> </w:t>
      </w:r>
      <w:r>
        <w:t xml:space="preserve">Both statements assert that every</w:t>
      </w:r>
      <w:r>
        <w:t xml:space="preserve"> </w:t>
      </w:r>
      <m:oMath>
        <m:r>
          <m:t>q</m:t>
        </m:r>
        <m:r>
          <m:rPr>
            <m:sty m:val="p"/>
          </m:rPr>
          <m:t>∈</m:t>
        </m:r>
        <m:r>
          <m:t>Q</m:t>
        </m:r>
      </m:oMath>
      <w:r>
        <w:t xml:space="preserve"> </w:t>
      </w:r>
      <w:r>
        <w:t xml:space="preserve">is constant on every pair in</w:t>
      </w:r>
      <w:r>
        <w:t xml:space="preserve"> </w:t>
      </w:r>
      <m:oMath>
        <m:r>
          <m:t>R</m:t>
        </m:r>
      </m:oMath>
      <w:r>
        <w:t xml:space="preserve">.</w:t>
      </w:r>
      <w:r>
        <w:t xml:space="preserve"> </w:t>
      </w:r>
      <m:oMath>
        <m:r>
          <m:rPr>
            <m:sty m:val="p"/>
          </m:rPr>
          <m:t>▫</m:t>
        </m:r>
      </m:oMath>
    </w:p>
    <w:p>
      <w:pPr>
        <w:pStyle w:val="BodyText"/>
      </w:pPr>
      <w:r>
        <w:t xml:space="preserve">The maps</w:t>
      </w:r>
      <w:r>
        <w:t xml:space="preserve"> </w:t>
      </w:r>
      <m:oMath>
        <m:r>
          <m:rPr>
            <m:sty m:val="p"/>
          </m:rPr>
          <m:t>Ker</m:t>
        </m:r>
      </m:oMath>
      <w:r>
        <w:t xml:space="preserve"> </w:t>
      </w:r>
      <w:r>
        <w:t xml:space="preserve">and</w:t>
      </w:r>
      <w:r>
        <w:t xml:space="preserve"> </w:t>
      </w:r>
      <m:oMath>
        <m:r>
          <m:rPr>
            <m:sty m:val="p"/>
          </m:rPr>
          <m:t>Desc</m:t>
        </m:r>
      </m:oMath>
      <w:r>
        <w:t xml:space="preserve"> </w:t>
      </w:r>
      <w:r>
        <w:t xml:space="preserve">are antitone. Their composites are closure operators on declared relations and query families. A failed descent has a concrete witness</w:t>
      </w:r>
    </w:p>
    <w:p>
      <w:pPr>
        <w:pStyle w:val="BodyText"/>
      </w:pPr>
      <m:oMathPara>
        <m:oMathParaPr>
          <m:jc m:val="center"/>
        </m:oMathParaPr>
        <m:oMath>
          <m:d>
            <m:dPr>
              <m:begChr m:val="("/>
              <m:endChr m:val=")"/>
              <m:sepChr m:val=""/>
              <m:grow/>
            </m:dPr>
            <m:e>
              <m:r>
                <m:t>x</m:t>
              </m:r>
              <m:r>
                <m:rPr>
                  <m:sty m:val="p"/>
                </m:rPr>
                <m:t>,</m:t>
              </m:r>
              <m:r>
                <m:t>x</m:t>
              </m:r>
              <m:r>
                <m:rPr>
                  <m:sty m:val="p"/>
                </m:rPr>
                <m:t>′</m:t>
              </m:r>
            </m:e>
          </m:d>
          <m:r>
            <m:rPr>
              <m:sty m:val="p"/>
            </m:rPr>
            <m:t>∈</m:t>
          </m:r>
          <m:r>
            <m:t>R</m:t>
          </m:r>
          <m:r>
            <m:rPr>
              <m:sty m:val="p"/>
            </m:rPr>
            <m:t>,</m:t>
          </m:r>
          <m:r>
            <m:t>  </m:t>
          </m:r>
          <m:r>
            <m:t>q</m:t>
          </m:r>
          <m:d>
            <m:dPr>
              <m:begChr m:val="("/>
              <m:endChr m:val=")"/>
              <m:sepChr m:val=""/>
              <m:grow/>
            </m:dPr>
            <m:e>
              <m:r>
                <m:t>x</m:t>
              </m:r>
            </m:e>
          </m:d>
          <m:r>
            <m:rPr>
              <m:sty m:val="p"/>
            </m:rPr>
            <m:t>≠</m:t>
          </m:r>
          <m:r>
            <m:t>q</m:t>
          </m:r>
          <m:d>
            <m:dPr>
              <m:begChr m:val="("/>
              <m:endChr m:val=")"/>
              <m:sepChr m:val=""/>
              <m:grow/>
            </m:dPr>
            <m:e>
              <m:r>
                <m:t>x</m:t>
              </m:r>
              <m:r>
                <m:rPr>
                  <m:sty m:val="p"/>
                </m:rPr>
                <m:t>′</m:t>
              </m:r>
            </m:e>
          </m:d>
          <m:r>
            <m:rPr>
              <m:sty m:val="p"/>
            </m:rPr>
            <m:t>.</m:t>
          </m:r>
        </m:oMath>
      </m:oMathPara>
    </w:p>
    <w:p>
      <w:pPr>
        <w:pStyle w:val="FirstParagraph"/>
      </w:pPr>
      <w:r>
        <w:t xml:space="preserve">This is the executable form of quotient legality.</w:t>
      </w:r>
    </w:p>
    <w:bookmarkEnd w:id="36"/>
    <w:bookmarkStart w:id="37" w:name="corollary-3.2-informativeness-order"/>
    <w:p>
      <w:pPr>
        <w:pStyle w:val="Heading3"/>
      </w:pPr>
      <w:r>
        <w:t xml:space="preserve">Corollary 3.2 — Informativeness order</w:t>
      </w:r>
    </w:p>
    <w:p>
      <w:pPr>
        <w:pStyle w:val="FirstParagraph"/>
      </w:pPr>
      <w:r>
        <w:t xml:space="preserve">If</w:t>
      </w:r>
      <w:r>
        <w:t xml:space="preserve"> </w:t>
      </w:r>
      <m:oMath>
        <m:sSub>
          <m:e>
            <m:r>
              <m:t>R</m:t>
            </m:r>
          </m:e>
          <m:sub>
            <m:r>
              <m:t>1</m:t>
            </m:r>
          </m:sub>
        </m:sSub>
        <m:r>
          <m:rPr>
            <m:sty m:val="p"/>
          </m:rPr>
          <m:t>⊆</m:t>
        </m:r>
        <m:sSub>
          <m:e>
            <m:r>
              <m:t>R</m:t>
            </m:r>
          </m:e>
          <m:sub>
            <m:r>
              <m:t>2</m:t>
            </m:r>
          </m:sub>
        </m:sSub>
      </m:oMath>
      <w:r>
        <w:t xml:space="preserve">, then</w:t>
      </w:r>
    </w:p>
    <w:p>
      <w:pPr>
        <w:pStyle w:val="BodyText"/>
      </w:pPr>
      <m:oMathPara>
        <m:oMathParaPr>
          <m:jc m:val="center"/>
        </m:oMathParaPr>
        <m:oMath>
          <m:r>
            <m:rPr>
              <m:sty m:val="p"/>
            </m:rPr>
            <m:t>Desc</m:t>
          </m:r>
          <m:d>
            <m:dPr>
              <m:begChr m:val="("/>
              <m:endChr m:val=")"/>
              <m:sepChr m:val=""/>
              <m:grow/>
            </m:dPr>
            <m:e>
              <m:sSub>
                <m:e>
                  <m:r>
                    <m:t>R</m:t>
                  </m:r>
                </m:e>
                <m:sub>
                  <m:r>
                    <m:t>2</m:t>
                  </m:r>
                </m:sub>
              </m:sSub>
            </m:e>
          </m:d>
          <m:r>
            <m:rPr>
              <m:sty m:val="p"/>
            </m:rPr>
            <m:t>⊆</m:t>
          </m:r>
          <m:r>
            <m:rPr>
              <m:sty m:val="p"/>
            </m:rPr>
            <m:t>Desc</m:t>
          </m:r>
          <m:d>
            <m:dPr>
              <m:begChr m:val="("/>
              <m:endChr m:val=")"/>
              <m:sepChr m:val=""/>
              <m:grow/>
            </m:dPr>
            <m:e>
              <m:sSub>
                <m:e>
                  <m:r>
                    <m:t>R</m:t>
                  </m:r>
                </m:e>
                <m:sub>
                  <m:r>
                    <m:t>1</m:t>
                  </m:r>
                </m:sub>
              </m:sSub>
            </m:e>
          </m:d>
          <m:r>
            <m:rPr>
              <m:sty m:val="p"/>
            </m:rPr>
            <m:t>.</m:t>
          </m:r>
        </m:oMath>
      </m:oMathPara>
    </w:p>
    <w:p>
      <w:pPr>
        <w:pStyle w:val="FirstParagraph"/>
      </w:pPr>
      <w:r>
        <w:t xml:space="preserve">An experiment that identifies fewer state pairs admits at least as many well-defined queries.</w:t>
      </w:r>
    </w:p>
    <w:bookmarkEnd w:id="37"/>
    <w:bookmarkEnd w:id="38"/>
    <w:bookmarkStart w:id="39" w:name="quotient-caution"/>
    <w:p>
      <w:pPr>
        <w:pStyle w:val="Heading2"/>
      </w:pPr>
      <w:r>
        <w:t xml:space="preserve">3.2 Quotient caution</w:t>
      </w:r>
    </w:p>
    <w:p>
      <w:pPr>
        <w:pStyle w:val="FirstParagraph"/>
      </w:pPr>
      <w:r>
        <w:t xml:space="preserve">Even when</w:t>
      </w:r>
      <w:r>
        <w:t xml:space="preserve"> </w:t>
      </w:r>
      <m:oMath>
        <m:r>
          <m:t>X</m:t>
        </m:r>
      </m:oMath>
      <w:r>
        <w:t xml:space="preserve"> </w:t>
      </w:r>
      <w:r>
        <w:t xml:space="preserve">is a standard Borel space and</w:t>
      </w:r>
      <w:r>
        <w:t xml:space="preserve"> </w:t>
      </w:r>
      <m:oMath>
        <m:r>
          <m:t>R</m:t>
        </m:r>
      </m:oMath>
      <w:r>
        <w:t xml:space="preserve"> </w:t>
      </w:r>
      <w:r>
        <w:t xml:space="preserve">is a Borel equivalence relation, the quotient need not inherit a standard Borel structure. The court should emit a quotient object only when a smooth classification, countable separating family, or explicit code is supplied. Otherwise the correct object is the relation, its kernel-pair groupoid, or an identified set.</w:t>
      </w:r>
    </w:p>
    <w:p>
      <w:pPr>
        <w:pStyle w:val="BodyText"/>
      </w:pPr>
      <w:r>
        <w:t xml:space="preserve">Approximate confusability is generally not transitive. A tolerance relation</w:t>
      </w:r>
      <w:r>
        <w:t xml:space="preserve"> </w:t>
      </w:r>
      <m:oMath>
        <m:r>
          <m:t>d</m:t>
        </m:r>
        <m:d>
          <m:dPr>
            <m:begChr m:val="("/>
            <m:endChr m:val=")"/>
            <m:sepChr m:val=""/>
            <m:grow/>
          </m:dPr>
          <m:e>
            <m:r>
              <m:t>x</m:t>
            </m:r>
            <m:r>
              <m:rPr>
                <m:sty m:val="p"/>
              </m:rPr>
              <m:t>,</m:t>
            </m:r>
            <m:r>
              <m:t>x</m:t>
            </m:r>
            <m:r>
              <m:rPr>
                <m:sty m:val="p"/>
              </m:rPr>
              <m:t>′</m:t>
            </m:r>
          </m:e>
        </m:d>
        <m:r>
          <m:rPr>
            <m:sty m:val="p"/>
          </m:rPr>
          <m:t>≤</m:t>
        </m:r>
        <m:r>
          <m:t>ε</m:t>
        </m:r>
      </m:oMath>
      <w:r>
        <w:t xml:space="preserve"> </w:t>
      </w:r>
      <w:r>
        <w:t xml:space="preserve">can have</w:t>
      </w:r>
      <w:r>
        <w:t xml:space="preserve"> </w:t>
      </w:r>
      <m:oMath>
        <m:r>
          <m:t>x</m:t>
        </m:r>
      </m:oMath>
      <w:r>
        <w:t xml:space="preserve"> </w:t>
      </w:r>
      <w:r>
        <w:t xml:space="preserve">close to</w:t>
      </w:r>
      <w:r>
        <w:t xml:space="preserve"> </w:t>
      </w:r>
      <m:oMath>
        <m:r>
          <m:t>y</m:t>
        </m:r>
      </m:oMath>
      <w:r>
        <w:t xml:space="preserve"> </w:t>
      </w:r>
      <w:r>
        <w:t xml:space="preserve">and</w:t>
      </w:r>
      <w:r>
        <w:t xml:space="preserve"> </w:t>
      </w:r>
      <m:oMath>
        <m:r>
          <m:t>y</m:t>
        </m:r>
      </m:oMath>
      <w:r>
        <w:t xml:space="preserve"> </w:t>
      </w:r>
      <w:r>
        <w:t xml:space="preserve">close to</w:t>
      </w:r>
      <w:r>
        <w:t xml:space="preserve"> </w:t>
      </w:r>
      <m:oMath>
        <m:r>
          <m:t>z</m:t>
        </m:r>
      </m:oMath>
      <w:r>
        <w:t xml:space="preserve"> </w:t>
      </w:r>
      <w:r>
        <w:t xml:space="preserve">while</w:t>
      </w:r>
      <w:r>
        <w:t xml:space="preserve"> </w:t>
      </w:r>
      <m:oMath>
        <m:r>
          <m:t>x</m:t>
        </m:r>
      </m:oMath>
      <w:r>
        <w:t xml:space="preserve"> </w:t>
      </w:r>
      <w:r>
        <w:t xml:space="preserve">is not close to</w:t>
      </w:r>
      <w:r>
        <w:t xml:space="preserve"> </w:t>
      </w:r>
      <m:oMath>
        <m:r>
          <m:t>z</m:t>
        </m:r>
      </m:oMath>
      <w:r>
        <w:t xml:space="preserve">. Such data should remain a pseudometric ball system, weighted graph, or uncertainty set; forcing it into a quotient silently changes the mathematics.</w:t>
      </w:r>
    </w:p>
    <w:p>
      <w:pPr>
        <w:pStyle w:val="BodyText"/>
      </w:pPr>
      <w:r>
        <w:t xml:space="preserve">Observational equivalence is also weaker than interventional equivalence. A causal claim requires a declared intervention family and equality or controlled discrepancy of interventional laws, not merely equal passive observations.</w:t>
      </w:r>
    </w:p>
    <w:bookmarkEnd w:id="39"/>
    <w:bookmarkEnd w:id="40"/>
    <w:bookmarkStart w:id="44" w:name="quantitative-defect-transport"/>
    <w:p>
      <w:pPr>
        <w:pStyle w:val="Heading1"/>
        <w:pBdr>
          <w:bottom w:val="single" w:sz="6" w:space="4" w:color="E8EEF5"/>
        </w:pBdr>
      </w:pPr>
      <w:r>
        <w:t xml:space="preserve">4. Quantitative defect transport</w:t>
      </w:r>
    </w:p>
    <w:p>
      <w:pPr>
        <w:pStyle w:val="FirstParagraph"/>
      </w:pPr>
      <w:r>
        <w:t xml:space="preserve">The exact chain theory detects whether a certificate commutes. Approximate scientific systems additionally require controlled defect propagation.</w:t>
      </w:r>
    </w:p>
    <w:p>
      <w:pPr>
        <w:pStyle w:val="BodyText"/>
      </w:pPr>
      <w:r>
        <w:t xml:space="preserve">Let</w:t>
      </w:r>
      <w:r>
        <w:t xml:space="preserve"> </w:t>
      </w:r>
      <m:oMath>
        <m:d>
          <m:dPr>
            <m:begChr m:val="("/>
            <m:endChr m:val=")"/>
            <m:sepChr m:val=""/>
            <m:grow/>
          </m:dPr>
          <m:e>
            <m:r>
              <m:t>X</m:t>
            </m:r>
            <m:r>
              <m:rPr>
                <m:sty m:val="p"/>
              </m:rPr>
              <m:t>,</m:t>
            </m:r>
            <m:sSub>
              <m:e>
                <m:r>
                  <m:t>d</m:t>
                </m:r>
              </m:e>
              <m:sub>
                <m:r>
                  <m:t>X</m:t>
                </m:r>
              </m:sub>
            </m:sSub>
          </m:e>
        </m:d>
      </m:oMath>
      <w:r>
        <w:t xml:space="preserve"> </w:t>
      </w:r>
      <w:r>
        <w:t xml:space="preserve">and</w:t>
      </w:r>
      <w:r>
        <w:t xml:space="preserve"> </w:t>
      </w:r>
      <m:oMath>
        <m:d>
          <m:dPr>
            <m:begChr m:val="("/>
            <m:endChr m:val=")"/>
            <m:sepChr m:val=""/>
            <m:grow/>
          </m:dPr>
          <m:e>
            <m:r>
              <m:t>Y</m:t>
            </m:r>
            <m:r>
              <m:rPr>
                <m:sty m:val="p"/>
              </m:rPr>
              <m:t>,</m:t>
            </m:r>
            <m:sSub>
              <m:e>
                <m:r>
                  <m:t>d</m:t>
                </m:r>
              </m:e>
              <m:sub>
                <m:r>
                  <m:t>Y</m:t>
                </m:r>
              </m:sub>
            </m:sSub>
          </m:e>
        </m:d>
      </m:oMath>
      <w:r>
        <w:t xml:space="preserve"> </w:t>
      </w:r>
      <w:r>
        <w:t xml:space="preserve">be Polish metric spaces, and let</w:t>
      </w:r>
      <w:r>
        <w:t xml:space="preserve"> </w:t>
      </w:r>
      <m:oMath>
        <m:r>
          <m:t>K</m:t>
        </m:r>
        <m:r>
          <m:rPr>
            <m:sty m:val="p"/>
          </m:rPr>
          <m:t>:</m:t>
        </m:r>
        <m:r>
          <m:t>X</m:t>
        </m:r>
        <m:r>
          <m:rPr>
            <m:sty m:val="p"/>
          </m:rPr>
          <m:t>⇝</m:t>
        </m:r>
        <m:r>
          <m:t>Y</m:t>
        </m:r>
      </m:oMath>
      <w:r>
        <w:t xml:space="preserve"> </w:t>
      </w:r>
      <w:r>
        <w:t xml:space="preserve">be a Markov kernel whose output laws have finite first moment. Define the Wasserstein-Dobrushin modulus</w:t>
      </w:r>
    </w:p>
    <w:p>
      <w:pPr>
        <w:pStyle w:val="BodyText"/>
      </w:pPr>
      <m:oMathPara>
        <m:oMathParaPr>
          <m:jc m:val="center"/>
        </m:oMathParaPr>
        <m:oMath>
          <m:r>
            <m:t>L</m:t>
          </m:r>
          <m:d>
            <m:dPr>
              <m:begChr m:val="("/>
              <m:endChr m:val=")"/>
              <m:sepChr m:val=""/>
              <m:grow/>
            </m:dPr>
            <m:e>
              <m:r>
                <m:t>K</m:t>
              </m:r>
            </m:e>
          </m:d>
          <m:r>
            <m:rPr>
              <m:sty m:val="p"/>
            </m:rPr>
            <m:t>=</m:t>
          </m:r>
          <m:limLow>
            <m:e>
              <m:r>
                <m:rPr>
                  <m:sty m:val="p"/>
                </m:rPr>
                <m:t>sup</m:t>
              </m:r>
            </m:e>
            <m:lim>
              <m:r>
                <m:t>x</m:t>
              </m:r>
              <m:r>
                <m:rPr>
                  <m:sty m:val="p"/>
                </m:rPr>
                <m:t>≠</m:t>
              </m:r>
              <m:r>
                <m:t>x</m:t>
              </m:r>
              <m:r>
                <m:rPr>
                  <m:sty m:val="p"/>
                </m:rPr>
                <m:t>′</m:t>
              </m:r>
            </m:lim>
          </m:limLow>
          <m:f>
            <m:fPr>
              <m:type m:val="bar"/>
            </m:fPr>
            <m:num>
              <m:sSub>
                <m:e>
                  <m:r>
                    <m:t>W</m:t>
                  </m:r>
                </m:e>
                <m:sub>
                  <m:r>
                    <m:t>1</m:t>
                  </m:r>
                </m:sub>
              </m:sSub>
              <m:d>
                <m:dPr>
                  <m:begChr m:val="("/>
                  <m:endChr m:val=")"/>
                  <m:sepChr m:val=""/>
                  <m:grow/>
                </m:dPr>
                <m:e>
                  <m:sSub>
                    <m:e>
                      <m:r>
                        <m:t>K</m:t>
                      </m:r>
                    </m:e>
                    <m:sub>
                      <m:r>
                        <m:t>x</m:t>
                      </m:r>
                    </m:sub>
                  </m:sSub>
                  <m:r>
                    <m:rPr>
                      <m:sty m:val="p"/>
                    </m:rPr>
                    <m:t>,</m:t>
                  </m:r>
                  <m:sSub>
                    <m:e>
                      <m:r>
                        <m:t>K</m:t>
                      </m:r>
                    </m:e>
                    <m:sub>
                      <m:r>
                        <m:t>x</m:t>
                      </m:r>
                      <m:r>
                        <m:rPr>
                          <m:sty m:val="p"/>
                        </m:rPr>
                        <m:t>′</m:t>
                      </m:r>
                    </m:sub>
                  </m:sSub>
                </m:e>
              </m:d>
            </m:num>
            <m:den>
              <m:sSub>
                <m:e>
                  <m:r>
                    <m:t>d</m:t>
                  </m:r>
                </m:e>
                <m:sub>
                  <m:r>
                    <m:t>X</m:t>
                  </m:r>
                </m:sub>
              </m:sSub>
              <m:d>
                <m:dPr>
                  <m:begChr m:val="("/>
                  <m:endChr m:val=")"/>
                  <m:sepChr m:val=""/>
                  <m:grow/>
                </m:dPr>
                <m:e>
                  <m:r>
                    <m:t>x</m:t>
                  </m:r>
                  <m:r>
                    <m:rPr>
                      <m:sty m:val="p"/>
                    </m:rPr>
                    <m:t>,</m:t>
                  </m:r>
                  <m:r>
                    <m:t>x</m:t>
                  </m:r>
                  <m:r>
                    <m:rPr>
                      <m:sty m:val="p"/>
                    </m:rPr>
                    <m:t>′</m:t>
                  </m:r>
                </m:e>
              </m:d>
            </m:den>
          </m:f>
          <m:r>
            <m:rPr>
              <m:sty m:val="p"/>
            </m:rPr>
            <m:t>.</m:t>
          </m:r>
        </m:oMath>
      </m:oMathPara>
    </w:p>
    <w:p>
      <w:pPr>
        <w:pStyle w:val="FirstParagraph"/>
      </w:pPr>
      <w:r>
        <w:t xml:space="preserve">For parallel kernels</w:t>
      </w:r>
      <w:r>
        <w:t xml:space="preserve"> </w:t>
      </w:r>
      <m:oMath>
        <m:r>
          <m:t>K</m:t>
        </m:r>
        <m:r>
          <m:rPr>
            <m:sty m:val="p"/>
          </m:rPr>
          <m:t>,</m:t>
        </m:r>
        <m:r>
          <m:t>L</m:t>
        </m:r>
        <m:r>
          <m:rPr>
            <m:sty m:val="p"/>
          </m:rPr>
          <m:t>:</m:t>
        </m:r>
        <m:r>
          <m:t>X</m:t>
        </m:r>
        <m:r>
          <m:rPr>
            <m:sty m:val="p"/>
          </m:rPr>
          <m:t>⇝</m:t>
        </m:r>
        <m:r>
          <m:t>Y</m:t>
        </m:r>
      </m:oMath>
      <w:r>
        <w:t xml:space="preserve">, define</w:t>
      </w:r>
    </w:p>
    <w:p>
      <w:pPr>
        <w:pStyle w:val="BodyText"/>
      </w:pPr>
      <m:oMathPara>
        <m:oMathParaPr>
          <m:jc m:val="center"/>
        </m:oMathParaPr>
        <m:oMath>
          <m:r>
            <m:t>Δ</m:t>
          </m:r>
          <m:d>
            <m:dPr>
              <m:begChr m:val="("/>
              <m:endChr m:val=")"/>
              <m:sepChr m:val=""/>
              <m:grow/>
            </m:dPr>
            <m:e>
              <m:r>
                <m:t>K</m:t>
              </m:r>
              <m:r>
                <m:rPr>
                  <m:sty m:val="p"/>
                </m:rPr>
                <m:t>,</m:t>
              </m:r>
              <m:r>
                <m:t>L</m:t>
              </m:r>
            </m:e>
          </m:d>
          <m:r>
            <m:rPr>
              <m:sty m:val="p"/>
            </m:rPr>
            <m:t>=</m:t>
          </m:r>
          <m:limLow>
            <m:e>
              <m:r>
                <m:rPr>
                  <m:sty m:val="p"/>
                </m:rPr>
                <m:t>sup</m:t>
              </m:r>
            </m:e>
            <m:lim>
              <m:r>
                <m:t>x</m:t>
              </m:r>
              <m:r>
                <m:rPr>
                  <m:sty m:val="p"/>
                </m:rPr>
                <m:t>∈</m:t>
              </m:r>
              <m:r>
                <m:t>X</m:t>
              </m:r>
            </m:lim>
          </m:limLow>
          <m:sSub>
            <m:e>
              <m:r>
                <m:t>W</m:t>
              </m:r>
            </m:e>
            <m:sub>
              <m:r>
                <m:t>1</m:t>
              </m:r>
            </m:sub>
          </m:sSub>
          <m:d>
            <m:dPr>
              <m:begChr m:val="("/>
              <m:endChr m:val=")"/>
              <m:sepChr m:val=""/>
              <m:grow/>
            </m:dPr>
            <m:e>
              <m:sSub>
                <m:e>
                  <m:r>
                    <m:t>K</m:t>
                  </m:r>
                </m:e>
                <m:sub>
                  <m:r>
                    <m:t>x</m:t>
                  </m:r>
                </m:sub>
              </m:sSub>
              <m:r>
                <m:rPr>
                  <m:sty m:val="p"/>
                </m:rPr>
                <m:t>,</m:t>
              </m:r>
              <m:sSub>
                <m:e>
                  <m:r>
                    <m:t>L</m:t>
                  </m:r>
                </m:e>
                <m:sub>
                  <m:r>
                    <m:t>x</m:t>
                  </m:r>
                </m:sub>
              </m:sSub>
            </m:e>
          </m:d>
          <m:r>
            <m:rPr>
              <m:sty m:val="p"/>
            </m:rPr>
            <m:t>.</m:t>
          </m:r>
        </m:oMath>
      </m:oMathPara>
    </w:p>
    <w:bookmarkStart w:id="41" w:name="two-stage-defect-transport"/>
    <w:p>
      <w:pPr>
        <w:pStyle w:val="Heading2"/>
      </w:pPr>
      <w:r>
        <w:t xml:space="preserve">4.1 Two-stage defect transport</w:t>
      </w:r>
    </w:p>
    <w:p>
      <w:pPr>
        <w:pStyle w:val="FirstParagraph"/>
      </w:pPr>
      <w:r>
        <w:t xml:space="preserve">For</w:t>
      </w:r>
      <w:r>
        <w:t xml:space="preserve"> </w:t>
      </w:r>
      <m:oMath>
        <m:r>
          <m:t>K</m:t>
        </m:r>
        <m:r>
          <m:rPr>
            <m:sty m:val="p"/>
          </m:rPr>
          <m:t>,</m:t>
        </m:r>
        <m:r>
          <m:t>L</m:t>
        </m:r>
        <m:r>
          <m:rPr>
            <m:sty m:val="p"/>
          </m:rPr>
          <m:t>:</m:t>
        </m:r>
        <m:r>
          <m:t>X</m:t>
        </m:r>
        <m:r>
          <m:rPr>
            <m:sty m:val="p"/>
          </m:rPr>
          <m:t>⇝</m:t>
        </m:r>
        <m:r>
          <m:t>Y</m:t>
        </m:r>
      </m:oMath>
      <w:r>
        <w:t xml:space="preserve"> </w:t>
      </w:r>
      <w:r>
        <w:t xml:space="preserve">and</w:t>
      </w:r>
      <w:r>
        <w:t xml:space="preserve"> </w:t>
      </w:r>
      <m:oMath>
        <m:r>
          <m:t>M</m:t>
        </m:r>
        <m:r>
          <m:rPr>
            <m:sty m:val="p"/>
          </m:rPr>
          <m:t>,</m:t>
        </m:r>
        <m:r>
          <m:t>N</m:t>
        </m:r>
        <m:r>
          <m:rPr>
            <m:sty m:val="p"/>
          </m:rPr>
          <m:t>:</m:t>
        </m:r>
        <m:r>
          <m:t>Y</m:t>
        </m:r>
        <m:r>
          <m:rPr>
            <m:sty m:val="p"/>
          </m:rPr>
          <m:t>⇝</m:t>
        </m:r>
        <m:r>
          <m:t>Z</m:t>
        </m:r>
      </m:oMath>
      <w:r>
        <w:t xml:space="preserve">,</w:t>
      </w:r>
    </w:p>
    <w:p>
      <w:pPr>
        <w:pStyle w:val="BodyText"/>
      </w:pPr>
      <m:oMathPara>
        <m:oMathParaPr>
          <m:jc m:val="center"/>
        </m:oMathParaPr>
        <m:oMath>
          <m:r>
            <m:t>Δ</m:t>
          </m:r>
          <m:d>
            <m:dPr>
              <m:begChr m:val="("/>
              <m:endChr m:val=")"/>
              <m:sepChr m:val=""/>
              <m:grow/>
            </m:dPr>
            <m:e>
              <m:r>
                <m:t>M</m:t>
              </m:r>
              <m:r>
                <m:rPr>
                  <m:sty m:val="p"/>
                </m:rPr>
                <m:t>∘</m:t>
              </m:r>
              <m:r>
                <m:t>K</m:t>
              </m:r>
              <m:r>
                <m:rPr>
                  <m:sty m:val="p"/>
                </m:rPr>
                <m:t>,</m:t>
              </m:r>
              <m:r>
                <m:t>N</m:t>
              </m:r>
              <m:r>
                <m:rPr>
                  <m:sty m:val="p"/>
                </m:rPr>
                <m:t>∘</m:t>
              </m:r>
              <m:r>
                <m:t>L</m:t>
              </m:r>
            </m:e>
          </m:d>
          <m:r>
            <m:rPr>
              <m:sty m:val="p"/>
            </m:rPr>
            <m:t>≤</m:t>
          </m:r>
          <m:r>
            <m:t>L</m:t>
          </m:r>
          <m:d>
            <m:dPr>
              <m:begChr m:val="("/>
              <m:endChr m:val=")"/>
              <m:sepChr m:val=""/>
              <m:grow/>
            </m:dPr>
            <m:e>
              <m:r>
                <m:t>M</m:t>
              </m:r>
            </m:e>
          </m:d>
          <m:r>
            <m:t>Δ</m:t>
          </m:r>
          <m:d>
            <m:dPr>
              <m:begChr m:val="("/>
              <m:endChr m:val=")"/>
              <m:sepChr m:val=""/>
              <m:grow/>
            </m:dPr>
            <m:e>
              <m:r>
                <m:t>K</m:t>
              </m:r>
              <m:r>
                <m:rPr>
                  <m:sty m:val="p"/>
                </m:rPr>
                <m:t>,</m:t>
              </m:r>
              <m:r>
                <m:t>L</m:t>
              </m:r>
            </m:e>
          </m:d>
          <m:r>
            <m:rPr>
              <m:sty m:val="p"/>
            </m:rPr>
            <m:t>+</m:t>
          </m:r>
          <m:r>
            <m:t>Δ</m:t>
          </m:r>
          <m:d>
            <m:dPr>
              <m:begChr m:val="("/>
              <m:endChr m:val=")"/>
              <m:sepChr m:val=""/>
              <m:grow/>
            </m:dPr>
            <m:e>
              <m:r>
                <m:t>M</m:t>
              </m:r>
              <m:r>
                <m:rPr>
                  <m:sty m:val="p"/>
                </m:rPr>
                <m:t>,</m:t>
              </m:r>
              <m:r>
                <m:t>N</m:t>
              </m:r>
            </m:e>
          </m:d>
          <m:r>
            <m:rPr>
              <m:sty m:val="p"/>
            </m:rPr>
            <m:t>.</m:t>
          </m:r>
        </m:oMath>
      </m:oMathPara>
    </w:p>
    <w:p>
      <w:pPr>
        <w:pStyle w:val="FirstParagraph"/>
      </w:pPr>
      <w:r>
        <w:rPr>
          <w:bCs/>
          <w:b/>
        </w:rPr>
        <w:t xml:space="preserve">Proof.</w:t>
      </w:r>
      <w:r>
        <w:t xml:space="preserve"> </w:t>
      </w:r>
      <w:r>
        <w:t xml:space="preserve">Insert</w:t>
      </w:r>
      <w:r>
        <w:t xml:space="preserve"> </w:t>
      </w:r>
      <m:oMath>
        <m:r>
          <m:t>M</m:t>
        </m:r>
        <m:r>
          <m:rPr>
            <m:sty m:val="p"/>
          </m:rPr>
          <m:t>∘</m:t>
        </m:r>
        <m:r>
          <m:t>L</m:t>
        </m:r>
      </m:oMath>
      <w:r>
        <w:t xml:space="preserve"> </w:t>
      </w:r>
      <w:r>
        <w:t xml:space="preserve">and apply the triangle inequality. The map sending an input measure</w:t>
      </w:r>
      <w:r>
        <w:t xml:space="preserve"> </w:t>
      </w:r>
      <m:oMath>
        <m:r>
          <m:t>μ</m:t>
        </m:r>
      </m:oMath>
      <w:r>
        <w:t xml:space="preserve"> </w:t>
      </w:r>
      <w:r>
        <w:t xml:space="preserve">on</w:t>
      </w:r>
      <w:r>
        <w:t xml:space="preserve"> </w:t>
      </w:r>
      <m:oMath>
        <m:r>
          <m:t>Y</m:t>
        </m:r>
      </m:oMath>
      <w:r>
        <w:t xml:space="preserve"> </w:t>
      </w:r>
      <w:r>
        <w:t xml:space="preserve">to</w:t>
      </w:r>
      <w:r>
        <w:t xml:space="preserve"> </w:t>
      </w:r>
      <m:oMath>
        <m:r>
          <m:t>μ</m:t>
        </m:r>
        <m:r>
          <m:t>M</m:t>
        </m:r>
      </m:oMath>
      <w:r>
        <w:t xml:space="preserve"> </w:t>
      </w:r>
      <w:r>
        <w:t xml:space="preserve">is</w:t>
      </w:r>
      <w:r>
        <w:t xml:space="preserve"> </w:t>
      </w:r>
      <m:oMath>
        <m:r>
          <m:t>L</m:t>
        </m:r>
        <m:d>
          <m:dPr>
            <m:begChr m:val="("/>
            <m:endChr m:val=")"/>
            <m:sepChr m:val=""/>
            <m:grow/>
          </m:dPr>
          <m:e>
            <m:r>
              <m:t>M</m:t>
            </m:r>
          </m:e>
        </m:d>
      </m:oMath>
      <w:r>
        <w:t xml:space="preserve">-Lipschitz in</w:t>
      </w:r>
      <w:r>
        <w:t xml:space="preserve"> </w:t>
      </w:r>
      <m:oMath>
        <m:sSub>
          <m:e>
            <m:r>
              <m:t>W</m:t>
            </m:r>
          </m:e>
          <m:sub>
            <m:r>
              <m:t>1</m:t>
            </m:r>
          </m:sub>
        </m:sSub>
      </m:oMath>
      <w:r>
        <w:t xml:space="preserve">, giving the first term. Integrating the pointwise bound</w:t>
      </w:r>
      <w:r>
        <w:t xml:space="preserve"> </w:t>
      </w:r>
      <m:oMath>
        <m:sSub>
          <m:e>
            <m:r>
              <m:t>W</m:t>
            </m:r>
          </m:e>
          <m:sub>
            <m:r>
              <m:t>1</m:t>
            </m:r>
          </m:sub>
        </m:sSub>
        <m:d>
          <m:dPr>
            <m:begChr m:val="("/>
            <m:endChr m:val=")"/>
            <m:sepChr m:val=""/>
            <m:grow/>
          </m:dPr>
          <m:e>
            <m:sSub>
              <m:e>
                <m:r>
                  <m:t>M</m:t>
                </m:r>
              </m:e>
              <m:sub>
                <m:r>
                  <m:t>y</m:t>
                </m:r>
              </m:sub>
            </m:sSub>
            <m:r>
              <m:rPr>
                <m:sty m:val="p"/>
              </m:rPr>
              <m:t>,</m:t>
            </m:r>
            <m:sSub>
              <m:e>
                <m:r>
                  <m:t>N</m:t>
                </m:r>
              </m:e>
              <m:sub>
                <m:r>
                  <m:t>y</m:t>
                </m:r>
              </m:sub>
            </m:sSub>
          </m:e>
        </m:d>
        <m:r>
          <m:rPr>
            <m:sty m:val="p"/>
          </m:rPr>
          <m:t>≤</m:t>
        </m:r>
        <m:r>
          <m:t>Δ</m:t>
        </m:r>
        <m:d>
          <m:dPr>
            <m:begChr m:val="("/>
            <m:endChr m:val=")"/>
            <m:sepChr m:val=""/>
            <m:grow/>
          </m:dPr>
          <m:e>
            <m:r>
              <m:t>M</m:t>
            </m:r>
            <m:r>
              <m:rPr>
                <m:sty m:val="p"/>
              </m:rPr>
              <m:t>,</m:t>
            </m:r>
            <m:r>
              <m:t>N</m:t>
            </m:r>
          </m:e>
        </m:d>
      </m:oMath>
      <w:r>
        <w:t xml:space="preserve"> </w:t>
      </w:r>
      <w:r>
        <w:t xml:space="preserve">against</w:t>
      </w:r>
      <w:r>
        <w:t xml:space="preserve"> </w:t>
      </w:r>
      <m:oMath>
        <m:sSub>
          <m:e>
            <m:r>
              <m:t>L</m:t>
            </m:r>
          </m:e>
          <m:sub>
            <m:r>
              <m:t>x</m:t>
            </m:r>
          </m:sub>
        </m:sSub>
      </m:oMath>
      <w:r>
        <w:t xml:space="preserve"> </w:t>
      </w:r>
      <w:r>
        <w:t xml:space="preserve">gives the second. Taking the supremum over</w:t>
      </w:r>
      <w:r>
        <w:t xml:space="preserve"> </w:t>
      </w:r>
      <m:oMath>
        <m:r>
          <m:t>x</m:t>
        </m:r>
      </m:oMath>
      <w:r>
        <w:t xml:space="preserve"> </w:t>
      </w:r>
      <w:r>
        <w:t xml:space="preserve">proves the claim.</w:t>
      </w:r>
      <w:r>
        <w:t xml:space="preserve"> </w:t>
      </w:r>
      <m:oMath>
        <m:r>
          <m:rPr>
            <m:sty m:val="p"/>
          </m:rPr>
          <m:t>▫</m:t>
        </m:r>
      </m:oMath>
    </w:p>
    <w:bookmarkEnd w:id="41"/>
    <w:bookmarkStart w:id="43" w:name="affine-certificate-monoid"/>
    <w:p>
      <w:pPr>
        <w:pStyle w:val="Heading2"/>
      </w:pPr>
      <w:r>
        <w:t xml:space="preserve">4.2 Affine certificate monoid</w:t>
      </w:r>
    </w:p>
    <w:p>
      <w:pPr>
        <w:pStyle w:val="FirstParagraph"/>
      </w:pPr>
      <w:r>
        <w:t xml:space="preserve">Encode a certified stage by a triple</w:t>
      </w:r>
      <w:r>
        <w:t xml:space="preserve"> </w:t>
      </w:r>
      <m:oMath>
        <m:d>
          <m:dPr>
            <m:begChr m:val="("/>
            <m:endChr m:val=")"/>
            <m:sepChr m:val=""/>
            <m:grow/>
          </m:dPr>
          <m:e>
            <m:r>
              <m:t>L</m:t>
            </m:r>
            <m:r>
              <m:rPr>
                <m:sty m:val="p"/>
              </m:rPr>
              <m:t>,</m:t>
            </m:r>
            <m:r>
              <m:t>ε</m:t>
            </m:r>
            <m:r>
              <m:rPr>
                <m:sty m:val="p"/>
              </m:rPr>
              <m:t>,</m:t>
            </m:r>
            <m:r>
              <m:t>α</m:t>
            </m:r>
          </m:e>
        </m:d>
      </m:oMath>
      <w:r>
        <w:t xml:space="preserve">, where</w:t>
      </w:r>
      <w:r>
        <w:t xml:space="preserve"> </w:t>
      </w:r>
      <m:oMath>
        <m:r>
          <m:t>L</m:t>
        </m:r>
        <m:r>
          <m:rPr>
            <m:sty m:val="p"/>
          </m:rPr>
          <m:t>≥</m:t>
        </m:r>
        <m:r>
          <m:t>0</m:t>
        </m:r>
      </m:oMath>
      <w:r>
        <w:t xml:space="preserve"> </w:t>
      </w:r>
      <w:r>
        <w:t xml:space="preserve">bounds amplification,</w:t>
      </w:r>
      <w:r>
        <w:t xml:space="preserve"> </w:t>
      </w:r>
      <m:oMath>
        <m:r>
          <m:t>ε</m:t>
        </m:r>
        <m:r>
          <m:rPr>
            <m:sty m:val="p"/>
          </m:rPr>
          <m:t>≥</m:t>
        </m:r>
        <m:r>
          <m:t>0</m:t>
        </m:r>
      </m:oMath>
      <w:r>
        <w:t xml:space="preserve"> </w:t>
      </w:r>
      <w:r>
        <w:t xml:space="preserve">bounds newly introduced defect, and</w:t>
      </w:r>
      <w:r>
        <w:t xml:space="preserve"> </w:t>
      </w:r>
      <m:oMath>
        <m:r>
          <m:t>0</m:t>
        </m:r>
        <m:r>
          <m:rPr>
            <m:sty m:val="p"/>
          </m:rPr>
          <m:t>≤</m:t>
        </m:r>
        <m:r>
          <m:t>α</m:t>
        </m:r>
        <m:r>
          <m:rPr>
            <m:sty m:val="p"/>
          </m:rPr>
          <m:t>≤</m:t>
        </m:r>
        <m:r>
          <m:t>1</m:t>
        </m:r>
      </m:oMath>
      <w:r>
        <w:t xml:space="preserve"> </w:t>
      </w:r>
      <w:r>
        <w:t xml:space="preserve">bounds certificate failure probability. Define</w:t>
      </w:r>
    </w:p>
    <w:p>
      <w:pPr>
        <w:pStyle w:val="BodyText"/>
      </w:pPr>
      <m:oMathPara>
        <m:oMathParaPr>
          <m:jc m:val="center"/>
        </m:oMathParaPr>
        <m:oMath>
          <m:d>
            <m:dPr>
              <m:begChr m:val="("/>
              <m:endChr m:val=")"/>
              <m:sepChr m:val=""/>
              <m:grow/>
            </m:dPr>
            <m:e>
              <m:sSub>
                <m:e>
                  <m:r>
                    <m:t>L</m:t>
                  </m:r>
                </m:e>
                <m:sub>
                  <m:r>
                    <m:t>2</m:t>
                  </m:r>
                </m:sub>
              </m:sSub>
              <m:r>
                <m:rPr>
                  <m:sty m:val="p"/>
                </m:rPr>
                <m:t>,</m:t>
              </m:r>
              <m:sSub>
                <m:e>
                  <m:r>
                    <m:t>ε</m:t>
                  </m:r>
                </m:e>
                <m:sub>
                  <m:r>
                    <m:t>2</m:t>
                  </m:r>
                </m:sub>
              </m:sSub>
              <m:r>
                <m:rPr>
                  <m:sty m:val="p"/>
                </m:rPr>
                <m:t>,</m:t>
              </m:r>
              <m:sSub>
                <m:e>
                  <m:r>
                    <m:t>α</m:t>
                  </m:r>
                </m:e>
                <m:sub>
                  <m:r>
                    <m:t>2</m:t>
                  </m:r>
                </m:sub>
              </m:sSub>
            </m:e>
          </m:d>
          <m:r>
            <m:rPr>
              <m:sty m:val="p"/>
            </m:rPr>
            <m:t>⋆</m:t>
          </m:r>
          <m:d>
            <m:dPr>
              <m:begChr m:val="("/>
              <m:endChr m:val=")"/>
              <m:sepChr m:val=""/>
              <m:grow/>
            </m:dPr>
            <m:e>
              <m:sSub>
                <m:e>
                  <m:r>
                    <m:t>L</m:t>
                  </m:r>
                </m:e>
                <m:sub>
                  <m:r>
                    <m:t>1</m:t>
                  </m:r>
                </m:sub>
              </m:sSub>
              <m:r>
                <m:rPr>
                  <m:sty m:val="p"/>
                </m:rPr>
                <m:t>,</m:t>
              </m:r>
              <m:sSub>
                <m:e>
                  <m:r>
                    <m:t>ε</m:t>
                  </m:r>
                </m:e>
                <m:sub>
                  <m:r>
                    <m:t>1</m:t>
                  </m:r>
                </m:sub>
              </m:sSub>
              <m:r>
                <m:rPr>
                  <m:sty m:val="p"/>
                </m:rPr>
                <m:t>,</m:t>
              </m:r>
              <m:sSub>
                <m:e>
                  <m:r>
                    <m:t>α</m:t>
                  </m:r>
                </m:e>
                <m:sub>
                  <m:r>
                    <m:t>1</m:t>
                  </m:r>
                </m:sub>
              </m:sSub>
            </m:e>
          </m:d>
          <m:r>
            <m:rPr>
              <m:sty m:val="p"/>
            </m:rPr>
            <m:t>=</m:t>
          </m:r>
          <m:d>
            <m:dPr>
              <m:begChr m:val="("/>
              <m:endChr m:val=")"/>
              <m:sepChr m:val=""/>
              <m:grow/>
            </m:dPr>
            <m:e>
              <m:sSub>
                <m:e>
                  <m:r>
                    <m:t>L</m:t>
                  </m:r>
                </m:e>
                <m:sub>
                  <m:r>
                    <m:t>2</m:t>
                  </m:r>
                </m:sub>
              </m:sSub>
              <m:sSub>
                <m:e>
                  <m:r>
                    <m:t>L</m:t>
                  </m:r>
                </m:e>
                <m:sub>
                  <m:r>
                    <m:t>1</m:t>
                  </m:r>
                </m:sub>
              </m:sSub>
              <m:r>
                <m:rPr>
                  <m:sty m:val="p"/>
                </m:rPr>
                <m:t>,</m:t>
              </m:r>
              <m:sSub>
                <m:e>
                  <m:r>
                    <m:t>ε</m:t>
                  </m:r>
                </m:e>
                <m:sub>
                  <m:r>
                    <m:t>2</m:t>
                  </m:r>
                </m:sub>
              </m:sSub>
              <m:r>
                <m:rPr>
                  <m:sty m:val="p"/>
                </m:rPr>
                <m:t>+</m:t>
              </m:r>
              <m:sSub>
                <m:e>
                  <m:r>
                    <m:t>L</m:t>
                  </m:r>
                </m:e>
                <m:sub>
                  <m:r>
                    <m:t>2</m:t>
                  </m:r>
                </m:sub>
              </m:sSub>
              <m:sSub>
                <m:e>
                  <m:r>
                    <m:t>ε</m:t>
                  </m:r>
                </m:e>
                <m:sub>
                  <m:r>
                    <m:t>1</m:t>
                  </m:r>
                </m:sub>
              </m:sSub>
              <m:r>
                <m:rPr>
                  <m:sty m:val="p"/>
                </m:rPr>
                <m:t>,</m:t>
              </m:r>
              <m:r>
                <m:rPr>
                  <m:sty m:val="p"/>
                </m:rPr>
                <m:t>min</m:t>
              </m:r>
              <m:r>
                <m:rPr>
                  <m:sty m:val="p"/>
                </m:rPr>
                <m:t>{</m:t>
              </m:r>
              <m:r>
                <m:t>1</m:t>
              </m:r>
              <m:r>
                <m:rPr>
                  <m:sty m:val="p"/>
                </m:rPr>
                <m:t>,</m:t>
              </m:r>
              <m:sSub>
                <m:e>
                  <m:r>
                    <m:t>α</m:t>
                  </m:r>
                </m:e>
                <m:sub>
                  <m:r>
                    <m:t>1</m:t>
                  </m:r>
                </m:sub>
              </m:sSub>
              <m:r>
                <m:rPr>
                  <m:sty m:val="p"/>
                </m:rPr>
                <m:t>+</m:t>
              </m:r>
              <m:sSub>
                <m:e>
                  <m:r>
                    <m:t>α</m:t>
                  </m:r>
                </m:e>
                <m:sub>
                  <m:r>
                    <m:t>2</m:t>
                  </m:r>
                </m:sub>
              </m:sSub>
              <m:r>
                <m:rPr>
                  <m:sty m:val="p"/>
                </m:rPr>
                <m:t>}</m:t>
              </m:r>
            </m:e>
          </m:d>
          <m:r>
            <m:rPr>
              <m:sty m:val="p"/>
            </m:rPr>
            <m:t>.</m:t>
          </m:r>
        </m:oMath>
      </m:oMathPara>
    </w:p>
    <w:bookmarkStart w:id="42" w:name="proposition-4.2"/>
    <w:p>
      <w:pPr>
        <w:pStyle w:val="Heading3"/>
      </w:pPr>
      <w:r>
        <w:t xml:space="preserve">Proposition 4.2</w:t>
      </w:r>
    </w:p>
    <w:p>
      <w:pPr>
        <w:pStyle w:val="FirstParagraph"/>
      </w:pPr>
      <w:r>
        <w:t xml:space="preserve">The operation</w:t>
      </w:r>
      <w:r>
        <w:t xml:space="preserve"> </w:t>
      </w:r>
      <m:oMath>
        <m:r>
          <m:rPr>
            <m:sty m:val="p"/>
          </m:rPr>
          <m:t>⋆</m:t>
        </m:r>
      </m:oMath>
      <w:r>
        <w:t xml:space="preserve"> </w:t>
      </w:r>
      <w:r>
        <w:t xml:space="preserve">is associative with identity</w:t>
      </w:r>
      <w:r>
        <w:t xml:space="preserve"> </w:t>
      </w:r>
      <m:oMath>
        <m:d>
          <m:dPr>
            <m:begChr m:val="("/>
            <m:endChr m:val=")"/>
            <m:sepChr m:val=""/>
            <m:grow/>
          </m:dPr>
          <m:e>
            <m:r>
              <m:t>1</m:t>
            </m:r>
            <m:r>
              <m:rPr>
                <m:sty m:val="p"/>
              </m:rPr>
              <m:t>,</m:t>
            </m:r>
            <m:r>
              <m:t>0</m:t>
            </m:r>
            <m:r>
              <m:rPr>
                <m:sty m:val="p"/>
              </m:rPr>
              <m:t>,</m:t>
            </m:r>
            <m:r>
              <m:t>0</m:t>
            </m:r>
          </m:e>
        </m:d>
      </m:oMath>
      <w:r>
        <w:t xml:space="preserve">.</w:t>
      </w:r>
    </w:p>
    <w:p>
      <w:pPr>
        <w:pStyle w:val="BodyText"/>
      </w:pPr>
      <w:r>
        <w:rPr>
          <w:bCs/>
          <w:b/>
        </w:rPr>
        <w:t xml:space="preserve">Proof.</w:t>
      </w:r>
      <w:r>
        <w:t xml:space="preserve"> </w:t>
      </w:r>
      <w:r>
        <w:t xml:space="preserve">Multiplication is associative in the first coordinate. Both bracketings give</w:t>
      </w:r>
    </w:p>
    <w:p>
      <w:pPr>
        <w:pStyle w:val="BodyText"/>
      </w:pPr>
      <m:oMathPara>
        <m:oMathParaPr>
          <m:jc m:val="center"/>
        </m:oMathParaPr>
        <m:oMath>
          <m:sSub>
            <m:e>
              <m:r>
                <m:t>ε</m:t>
              </m:r>
            </m:e>
            <m:sub>
              <m:r>
                <m:t>3</m:t>
              </m:r>
            </m:sub>
          </m:sSub>
          <m:r>
            <m:rPr>
              <m:sty m:val="p"/>
            </m:rPr>
            <m:t>+</m:t>
          </m:r>
          <m:sSub>
            <m:e>
              <m:r>
                <m:t>L</m:t>
              </m:r>
            </m:e>
            <m:sub>
              <m:r>
                <m:t>3</m:t>
              </m:r>
            </m:sub>
          </m:sSub>
          <m:sSub>
            <m:e>
              <m:r>
                <m:t>ε</m:t>
              </m:r>
            </m:e>
            <m:sub>
              <m:r>
                <m:t>2</m:t>
              </m:r>
            </m:sub>
          </m:sSub>
          <m:r>
            <m:rPr>
              <m:sty m:val="p"/>
            </m:rPr>
            <m:t>+</m:t>
          </m:r>
          <m:sSub>
            <m:e>
              <m:r>
                <m:t>L</m:t>
              </m:r>
            </m:e>
            <m:sub>
              <m:r>
                <m:t>3</m:t>
              </m:r>
            </m:sub>
          </m:sSub>
          <m:sSub>
            <m:e>
              <m:r>
                <m:t>L</m:t>
              </m:r>
            </m:e>
            <m:sub>
              <m:r>
                <m:t>2</m:t>
              </m:r>
            </m:sub>
          </m:sSub>
          <m:sSub>
            <m:e>
              <m:r>
                <m:t>ε</m:t>
              </m:r>
            </m:e>
            <m:sub>
              <m:r>
                <m:t>1</m:t>
              </m:r>
            </m:sub>
          </m:sSub>
        </m:oMath>
      </m:oMathPara>
    </w:p>
    <w:p>
      <w:pPr>
        <w:pStyle w:val="FirstParagraph"/>
      </w:pPr>
      <w:r>
        <w:t xml:space="preserve">in the second coordinate. Truncated addition on</w:t>
      </w:r>
      <w:r>
        <w:t xml:space="preserve"> </w:t>
      </w:r>
      <m:oMath>
        <m:d>
          <m:dPr>
            <m:begChr m:val="["/>
            <m:endChr m:val="]"/>
            <m:sepChr m:val=""/>
            <m:grow/>
          </m:dPr>
          <m:e>
            <m:r>
              <m:t>0</m:t>
            </m:r>
            <m:r>
              <m:rPr>
                <m:sty m:val="p"/>
              </m:rPr>
              <m:t>,</m:t>
            </m:r>
            <m:r>
              <m:t>1</m:t>
            </m:r>
          </m:e>
        </m:d>
      </m:oMath>
      <w:r>
        <w:t xml:space="preserve"> </w:t>
      </w:r>
      <w:r>
        <w:t xml:space="preserve">is associative in the third.</w:t>
      </w:r>
      <w:r>
        <w:t xml:space="preserve"> </w:t>
      </w:r>
      <m:oMath>
        <m:r>
          <m:rPr>
            <m:sty m:val="p"/>
          </m:rPr>
          <m:t>▫</m:t>
        </m:r>
      </m:oMath>
    </w:p>
    <w:p>
      <w:pPr>
        <w:pStyle w:val="BodyText"/>
      </w:pPr>
      <w:r>
        <w:t xml:space="preserve">This monoid is deliberately conservative. The probability coordinate uses the union bound and assumes no independence. The audit engine computes the composite over exact rationals and rejects any declared path certificate that understates a coordinate.</w:t>
      </w:r>
    </w:p>
    <w:bookmarkEnd w:id="42"/>
    <w:bookmarkEnd w:id="43"/>
    <w:bookmarkEnd w:id="44"/>
    <w:bookmarkStart w:id="53" w:name="arithmetic-atomic-rigidity"/>
    <w:p>
      <w:pPr>
        <w:pStyle w:val="Heading1"/>
        <w:pBdr>
          <w:bottom w:val="single" w:sz="6" w:space="4" w:color="E8EEF5"/>
        </w:pBdr>
      </w:pPr>
      <w:r>
        <w:t xml:space="preserve">5. Arithmetic atomic rigidity</w:t>
      </w:r>
    </w:p>
    <w:bookmarkStart w:id="45" w:name="the-finite-matrix-boundary"/>
    <w:p>
      <w:pPr>
        <w:pStyle w:val="Heading2"/>
      </w:pPr>
      <w:r>
        <w:t xml:space="preserve">5.1 The finite matrix boundary</w:t>
      </w:r>
    </w:p>
    <w:p>
      <w:pPr>
        <w:pStyle w:val="FirstParagraph"/>
      </w:pPr>
      <w:r>
        <w:t xml:space="preserve">For a finite self-adjoint matrix</w:t>
      </w:r>
      <w:r>
        <w:t xml:space="preserve"> </w:t>
      </w:r>
      <m:oMath>
        <m:r>
          <m:t>A</m:t>
        </m:r>
      </m:oMath>
      <w:r>
        <w:t xml:space="preserve">, the distributional trace of its unitary flow paired against a test function has the form</w:t>
      </w:r>
    </w:p>
    <w:p>
      <w:pPr>
        <w:pStyle w:val="BodyText"/>
      </w:pPr>
      <m:oMathPara>
        <m:oMathParaPr>
          <m:jc m:val="center"/>
        </m:oMathParaPr>
        <m:oMath>
          <m:r>
            <m:t>f</m:t>
          </m:r>
          <m:r>
            <m:rPr>
              <m:sty m:val="p"/>
            </m:rPr>
            <m:t>↦</m:t>
          </m:r>
          <m:nary>
            <m:naryPr>
              <m:chr m:val="∑"/>
              <m:limLoc m:val="undOvr"/>
              <m:subHide m:val="off"/>
              <m:supHide m:val="off"/>
            </m:naryPr>
            <m:sub>
              <m:r>
                <m:t>j</m:t>
              </m:r>
              <m:r>
                <m:rPr>
                  <m:sty m:val="p"/>
                </m:rPr>
                <m:t>=</m:t>
              </m:r>
              <m:r>
                <m:t>1</m:t>
              </m:r>
            </m:sub>
            <m:sup>
              <m:r>
                <m:t>N</m:t>
              </m:r>
            </m:sup>
            <m:e>
              <m:sSub>
                <m:e>
                  <m:r>
                    <m:t>c</m:t>
                  </m:r>
                </m:e>
                <m:sub>
                  <m:r>
                    <m:t>j</m:t>
                  </m:r>
                </m:sub>
              </m:sSub>
            </m:e>
          </m:nary>
          <m:acc>
            <m:accPr>
              <m:chr m:val="̂"/>
            </m:accPr>
            <m:e>
              <m:r>
                <m:t>f</m:t>
              </m:r>
            </m:e>
          </m:acc>
          <m:d>
            <m:dPr>
              <m:begChr m:val="("/>
              <m:endChr m:val=")"/>
              <m:sepChr m:val=""/>
              <m:grow/>
            </m:dPr>
            <m:e>
              <m:sSub>
                <m:e>
                  <m:r>
                    <m:t>λ</m:t>
                  </m:r>
                </m:e>
                <m:sub>
                  <m:r>
                    <m:t>j</m:t>
                  </m:r>
                </m:sub>
              </m:sSub>
            </m:e>
          </m:d>
          <m:r>
            <m:rPr>
              <m:sty m:val="p"/>
            </m:rPr>
            <m:t>,</m:t>
          </m:r>
        </m:oMath>
      </m:oMathPara>
    </w:p>
    <w:p>
      <w:pPr>
        <w:pStyle w:val="FirstParagraph"/>
      </w:pPr>
      <w:r>
        <w:t xml:space="preserve">equivalently a distribution with a finite analytic exponential density in the flow variable. It cannot equal the infinite locally finite prime-power comb on</w:t>
      </w:r>
      <w:r>
        <w:t xml:space="preserve"> </w:t>
      </w:r>
      <m:oMath>
        <m:sSubSup>
          <m:e>
            <m:r>
              <m:t>C</m:t>
            </m:r>
          </m:e>
          <m:sub>
            <m:r>
              <m:t>c</m:t>
            </m:r>
          </m:sub>
          <m:sup>
            <m:r>
              <m:rPr>
                <m:sty m:val="p"/>
              </m:rPr>
              <m:t>∞</m:t>
            </m:r>
          </m:sup>
        </m:sSubSup>
        <m:d>
          <m:dPr>
            <m:begChr m:val="("/>
            <m:endChr m:val=")"/>
            <m:sepChr m:val=""/>
            <m:grow/>
          </m:dPr>
          <m:e>
            <m:r>
              <m:rPr>
                <m:sty m:val="p"/>
                <m:scr m:val="double-struck"/>
              </m:rPr>
              <m:t>R</m:t>
            </m:r>
          </m:e>
        </m:d>
      </m:oMath>
      <w:r>
        <w:t xml:space="preserve">. A counterterm allowed to contain that comb would make the operator contribution arithmetically nonidentifiable. Therefore an exact prime law requires an infinite-dimensional distributional trace or a statement explicitly restricted to a finite truncation.</w:t>
      </w:r>
    </w:p>
    <w:p>
      <w:pPr>
        <w:pStyle w:val="BodyText"/>
      </w:pPr>
      <w:r>
        <w:t xml:space="preserve">This no-go theorem is a permanent gate, not a disappointment. It eliminates zero-fitting and naive finite matrix reconstruction before spectral computation begins.</w:t>
      </w:r>
    </w:p>
    <w:bookmarkEnd w:id="45"/>
    <w:bookmarkStart w:id="47" w:name="admissible-counterterm-class"/>
    <w:p>
      <w:pPr>
        <w:pStyle w:val="Heading2"/>
      </w:pPr>
      <w:r>
        <w:t xml:space="preserve">5.2 Admissible counterterm class</w:t>
      </w:r>
    </w:p>
    <w:p>
      <w:pPr>
        <w:pStyle w:val="FirstParagraph"/>
      </w:pPr>
      <w:r>
        <w:t xml:space="preserve">Let</w:t>
      </w:r>
      <w:r>
        <w:t xml:space="preserve"> </w:t>
      </w:r>
      <m:oMath>
        <m:r>
          <m:rPr>
            <m:sty m:val="p"/>
            <m:scr m:val="script"/>
          </m:rPr>
          <m:t>X</m:t>
        </m:r>
      </m:oMath>
      <w:r>
        <w:t xml:space="preserve"> </w:t>
      </w:r>
      <w:r>
        <w:t xml:space="preserve">consist of distributions of the form</w:t>
      </w:r>
    </w:p>
    <w:p>
      <w:pPr>
        <w:pStyle w:val="BodyText"/>
      </w:pPr>
      <m:oMathPara>
        <m:oMathParaPr>
          <m:jc m:val="center"/>
        </m:oMathParaPr>
        <m:oMath>
          <m:r>
            <m:t>T</m:t>
          </m:r>
          <m:r>
            <m:rPr>
              <m:sty m:val="p"/>
            </m:rPr>
            <m:t>=</m:t>
          </m:r>
          <m:sSub>
            <m:e>
              <m:r>
                <m:t>C</m:t>
              </m:r>
            </m:e>
            <m:sub>
              <m:r>
                <m:t>0</m:t>
              </m:r>
            </m:sub>
          </m:sSub>
          <m:r>
            <m:rPr>
              <m:sty m:val="p"/>
            </m:rPr>
            <m:t>+</m:t>
          </m:r>
          <m:r>
            <m:t>a</m:t>
          </m:r>
          <m:d>
            <m:dPr>
              <m:begChr m:val="("/>
              <m:endChr m:val=")"/>
              <m:sepChr m:val=""/>
              <m:grow/>
            </m:dPr>
            <m:e>
              <m:r>
                <m:t>u</m:t>
              </m:r>
            </m:e>
          </m:d>
          <m:r>
            <m:t> </m:t>
          </m:r>
          <m:r>
            <m:t>d</m:t>
          </m:r>
          <m:r>
            <m:t>u</m:t>
          </m:r>
          <m:r>
            <m:rPr>
              <m:sty m:val="p"/>
            </m:rPr>
            <m:t>+</m:t>
          </m:r>
          <m:nary>
            <m:naryPr>
              <m:chr m:val="∑"/>
              <m:limLoc m:val="undOvr"/>
              <m:subHide m:val="off"/>
              <m:supHide m:val="on"/>
            </m:naryPr>
            <m:sub>
              <m:r>
                <m:t>t</m:t>
              </m:r>
              <m:r>
                <m:rPr>
                  <m:sty m:val="p"/>
                </m:rPr>
                <m:t>∈</m:t>
              </m:r>
              <m:r>
                <m:t>E</m:t>
              </m:r>
            </m:sub>
            <m:sup>
              <m:r>
                <m:t>​</m:t>
              </m:r>
            </m:sup>
            <m:e>
              <m:sSub>
                <m:e>
                  <m:r>
                    <m:t>c</m:t>
                  </m:r>
                </m:e>
                <m:sub>
                  <m:r>
                    <m:t>t</m:t>
                  </m:r>
                </m:sub>
              </m:sSub>
            </m:e>
          </m:nary>
          <m:sSub>
            <m:e>
              <m:r>
                <m:t>δ</m:t>
              </m:r>
            </m:e>
            <m:sub>
              <m:r>
                <m:t>t</m:t>
              </m:r>
            </m:sub>
          </m:sSub>
          <m:r>
            <m:rPr>
              <m:sty m:val="p"/>
            </m:rPr>
            <m:t>,</m:t>
          </m:r>
        </m:oMath>
      </m:oMathPara>
    </w:p>
    <w:p>
      <w:pPr>
        <w:pStyle w:val="FirstParagraph"/>
      </w:pPr>
      <w:r>
        <w:t xml:space="preserve">where</w:t>
      </w:r>
      <w:r>
        <w:t xml:space="preserve"> </w:t>
      </w:r>
      <m:oMath>
        <m:r>
          <m:rPr>
            <m:sty m:val="p"/>
          </m:rPr>
          <m:t>supp</m:t>
        </m:r>
        <m:sSub>
          <m:e>
            <m:r>
              <m:t>C</m:t>
            </m:r>
          </m:e>
          <m:sub>
            <m:r>
              <m:t>0</m:t>
            </m:r>
          </m:sub>
        </m:sSub>
        <m:r>
          <m:rPr>
            <m:sty m:val="p"/>
          </m:rPr>
          <m:t>⊆</m:t>
        </m:r>
        <m:r>
          <m:rPr>
            <m:sty m:val="p"/>
          </m:rPr>
          <m:t>{</m:t>
        </m:r>
        <m:r>
          <m:t>0</m:t>
        </m:r>
        <m:r>
          <m:rPr>
            <m:sty m:val="p"/>
          </m:rPr>
          <m:t>}</m:t>
        </m:r>
      </m:oMath>
      <w:r>
        <w:t xml:space="preserve">,</w:t>
      </w:r>
      <w:r>
        <w:t xml:space="preserve"> </w:t>
      </w:r>
      <m:oMath>
        <m:r>
          <m:t>a</m:t>
        </m:r>
        <m:r>
          <m:rPr>
            <m:sty m:val="p"/>
          </m:rPr>
          <m:t>∈</m:t>
        </m:r>
        <m:sSubSup>
          <m:e>
            <m:r>
              <m:t>L</m:t>
            </m:r>
          </m:e>
          <m:sub>
            <m:r>
              <m:rPr>
                <m:sty m:val="p"/>
              </m:rPr>
              <m:t>l</m:t>
            </m:r>
            <m:r>
              <m:rPr>
                <m:sty m:val="p"/>
              </m:rPr>
              <m:t>o</m:t>
            </m:r>
            <m:r>
              <m:rPr>
                <m:sty m:val="p"/>
              </m:rPr>
              <m:t>c</m:t>
            </m:r>
          </m:sub>
          <m:sup>
            <m:r>
              <m:t>1</m:t>
            </m:r>
          </m:sup>
        </m:sSubSup>
        <m:d>
          <m:dPr>
            <m:begChr m:val="("/>
            <m:endChr m:val=")"/>
            <m:sepChr m:val=""/>
            <m:grow/>
          </m:dPr>
          <m:e>
            <m:r>
              <m:rPr>
                <m:sty m:val="p"/>
                <m:scr m:val="double-struck"/>
              </m:rPr>
              <m:t>R</m:t>
            </m:r>
          </m:e>
        </m:d>
      </m:oMath>
      <w:r>
        <w:t xml:space="preserve">, and</w:t>
      </w:r>
      <w:r>
        <w:t xml:space="preserve"> </w:t>
      </w:r>
      <m:oMath>
        <m:r>
          <m:t>E</m:t>
        </m:r>
        <m:r>
          <m:rPr>
            <m:sty m:val="p"/>
          </m:rPr>
          <m:t>⊂</m:t>
        </m:r>
        <m:r>
          <m:rPr>
            <m:sty m:val="p"/>
            <m:scr m:val="double-struck"/>
          </m:rPr>
          <m:t>R</m:t>
        </m:r>
        <m:r>
          <m:rPr>
            <m:sty m:val="p"/>
          </m:rPr>
          <m:t>∖</m:t>
        </m:r>
        <m:r>
          <m:rPr>
            <m:sty m:val="p"/>
          </m:rPr>
          <m:t>{</m:t>
        </m:r>
        <m:r>
          <m:t>0</m:t>
        </m:r>
        <m:r>
          <m:rPr>
            <m:sty m:val="p"/>
          </m:rPr>
          <m:t>}</m:t>
        </m:r>
      </m:oMath>
      <w:r>
        <w:t xml:space="preserve"> </w:t>
      </w:r>
      <w:r>
        <w:t xml:space="preserve">is locally finite. The off-origin atomic decomposition is unique. Define the atomic charge</w:t>
      </w:r>
    </w:p>
    <w:p>
      <w:pPr>
        <w:pStyle w:val="BodyText"/>
      </w:pPr>
      <m:oMathPara>
        <m:oMathParaPr>
          <m:jc m:val="center"/>
        </m:oMathParaPr>
        <m:oMath>
          <m:r>
            <m:rPr>
              <m:sty m:val="p"/>
            </m:rPr>
            <m:t>At</m:t>
          </m:r>
          <m:d>
            <m:dPr>
              <m:begChr m:val="("/>
              <m:endChr m:val=")"/>
              <m:sepChr m:val=""/>
              <m:grow/>
            </m:dPr>
            <m:e>
              <m:r>
                <m:t>T</m:t>
              </m:r>
            </m:e>
          </m:d>
          <m:r>
            <m:rPr>
              <m:sty m:val="p"/>
            </m:rPr>
            <m:t>=</m:t>
          </m:r>
          <m:nary>
            <m:naryPr>
              <m:chr m:val="∑"/>
              <m:limLoc m:val="undOvr"/>
              <m:subHide m:val="off"/>
              <m:supHide m:val="on"/>
            </m:naryPr>
            <m:sub>
              <m:r>
                <m:t>t</m:t>
              </m:r>
              <m:r>
                <m:rPr>
                  <m:sty m:val="p"/>
                </m:rPr>
                <m:t>∈</m:t>
              </m:r>
              <m:r>
                <m:t>E</m:t>
              </m:r>
            </m:sub>
            <m:sup>
              <m:r>
                <m:t>​</m:t>
              </m:r>
            </m:sup>
            <m:e>
              <m:sSub>
                <m:e>
                  <m:r>
                    <m:t>c</m:t>
                  </m:r>
                </m:e>
                <m:sub>
                  <m:r>
                    <m:t>t</m:t>
                  </m:r>
                </m:sub>
              </m:sSub>
            </m:e>
          </m:nary>
          <m:d>
            <m:dPr>
              <m:begChr m:val="["/>
              <m:endChr m:val="]"/>
              <m:sepChr m:val=""/>
              <m:grow/>
            </m:dPr>
            <m:e>
              <m:r>
                <m:t>t</m:t>
              </m:r>
            </m:e>
          </m:d>
        </m:oMath>
      </m:oMathPara>
    </w:p>
    <w:p>
      <w:pPr>
        <w:pStyle w:val="FirstParagraph"/>
      </w:pPr>
      <w:r>
        <w:t xml:space="preserve">in the free complex vector space on</w:t>
      </w:r>
      <w:r>
        <w:t xml:space="preserve"> </w:t>
      </w:r>
      <m:oMath>
        <m:r>
          <m:rPr>
            <m:sty m:val="p"/>
            <m:scr m:val="double-struck"/>
          </m:rPr>
          <m:t>R</m:t>
        </m:r>
        <m:r>
          <m:rPr>
            <m:sty m:val="p"/>
          </m:rPr>
          <m:t>∖</m:t>
        </m:r>
        <m:r>
          <m:rPr>
            <m:sty m:val="p"/>
          </m:rPr>
          <m:t>{</m:t>
        </m:r>
        <m:r>
          <m:t>0</m:t>
        </m:r>
        <m:r>
          <m:rPr>
            <m:sty m:val="p"/>
          </m:rPr>
          <m:t>}</m:t>
        </m:r>
      </m:oMath>
      <w:r>
        <w:t xml:space="preserve">.</w:t>
      </w:r>
    </w:p>
    <w:p>
      <w:pPr>
        <w:pStyle w:val="BodyText"/>
      </w:pPr>
      <w:r>
        <w:t xml:space="preserve">Admissible counterterms have the form</w:t>
      </w:r>
      <w:r>
        <w:t xml:space="preserve"> </w:t>
      </w:r>
      <m:oMath>
        <m:sSub>
          <m:e>
            <m:r>
              <m:t>C</m:t>
            </m:r>
          </m:e>
          <m:sub>
            <m:r>
              <m:t>0</m:t>
            </m:r>
          </m:sub>
        </m:sSub>
        <m:r>
          <m:rPr>
            <m:sty m:val="p"/>
          </m:rPr>
          <m:t>+</m:t>
        </m:r>
        <m:r>
          <m:t>a</m:t>
        </m:r>
        <m:d>
          <m:dPr>
            <m:begChr m:val="("/>
            <m:endChr m:val=")"/>
            <m:sepChr m:val=""/>
            <m:grow/>
          </m:dPr>
          <m:e>
            <m:r>
              <m:t>u</m:t>
            </m:r>
          </m:e>
        </m:d>
        <m:r>
          <m:t>d</m:t>
        </m:r>
        <m:r>
          <m:t>u</m:t>
        </m:r>
      </m:oMath>
      <w:r>
        <w:t xml:space="preserve">, so their atomic charge vanishes. A finite analytic exponential trace also has vanishing atomic charge.</w:t>
      </w:r>
    </w:p>
    <w:p>
      <w:pPr>
        <w:pStyle w:val="BodyText"/>
      </w:pPr>
      <w:r>
        <w:t xml:space="preserve">For a rational prime</w:t>
      </w:r>
      <w:r>
        <w:t xml:space="preserve"> </w:t>
      </w:r>
      <m:oMath>
        <m:r>
          <m:t>p</m:t>
        </m:r>
      </m:oMath>
      <w:r>
        <w:t xml:space="preserve">, define the symmetric prime-power comb</w:t>
      </w:r>
    </w:p>
    <w:p>
      <w:pPr>
        <w:pStyle w:val="BodyText"/>
      </w:pPr>
      <m:oMathPara>
        <m:oMathParaPr>
          <m:jc m:val="center"/>
        </m:oMathParaPr>
        <m:oMath>
          <m:sSub>
            <m:e>
              <m:r>
                <m:rPr>
                  <m:sty m:val="p"/>
                  <m:scr m:val="script"/>
                </m:rPr>
                <m:t>P</m:t>
              </m:r>
            </m:e>
            <m:sub>
              <m:r>
                <m:t>p</m:t>
              </m:r>
            </m:sub>
          </m:sSub>
          <m:r>
            <m:rPr>
              <m:sty m:val="p"/>
            </m:rPr>
            <m:t>=</m:t>
          </m:r>
          <m:nary>
            <m:naryPr>
              <m:chr m:val="∑"/>
              <m:limLoc m:val="undOvr"/>
              <m:subHide m:val="off"/>
              <m:supHide m:val="on"/>
            </m:naryPr>
            <m:sub>
              <m:r>
                <m:t>m</m:t>
              </m:r>
              <m:r>
                <m:rPr>
                  <m:sty m:val="p"/>
                </m:rPr>
                <m:t>≥</m:t>
              </m:r>
              <m:r>
                <m:t>1</m:t>
              </m:r>
            </m:sub>
            <m:sup>
              <m:r>
                <m:t>​</m:t>
              </m:r>
            </m:sup>
            <m:e>
              <m:f>
                <m:fPr>
                  <m:type m:val="bar"/>
                </m:fPr>
                <m:num>
                  <m:r>
                    <m:rPr>
                      <m:sty m:val="p"/>
                    </m:rPr>
                    <m:t>log</m:t>
                  </m:r>
                  <m:r>
                    <m:t>p</m:t>
                  </m:r>
                </m:num>
                <m:den>
                  <m:sSup>
                    <m:e>
                      <m:r>
                        <m:t>p</m:t>
                      </m:r>
                    </m:e>
                    <m:sup>
                      <m:r>
                        <m:t>m</m:t>
                      </m:r>
                      <m:r>
                        <m:rPr>
                          <m:sty m:val="p"/>
                        </m:rPr>
                        <m:t>/</m:t>
                      </m:r>
                      <m:r>
                        <m:t>2</m:t>
                      </m:r>
                    </m:sup>
                  </m:sSup>
                </m:den>
              </m:f>
            </m:e>
          </m:nary>
          <m:d>
            <m:dPr>
              <m:begChr m:val="("/>
              <m:endChr m:val=")"/>
              <m:sepChr m:val=""/>
              <m:grow/>
            </m:dPr>
            <m:e>
              <m:sSub>
                <m:e>
                  <m:r>
                    <m:t>δ</m:t>
                  </m:r>
                </m:e>
                <m:sub>
                  <m:r>
                    <m:t>m</m:t>
                  </m:r>
                  <m:r>
                    <m:rPr>
                      <m:sty m:val="p"/>
                    </m:rPr>
                    <m:t>log</m:t>
                  </m:r>
                  <m:r>
                    <m:t>p</m:t>
                  </m:r>
                </m:sub>
              </m:sSub>
              <m:r>
                <m:rPr>
                  <m:sty m:val="p"/>
                </m:rPr>
                <m:t>+</m:t>
              </m:r>
              <m:sSub>
                <m:e>
                  <m:r>
                    <m:t>δ</m:t>
                  </m:r>
                </m:e>
                <m:sub>
                  <m:r>
                    <m:rPr>
                      <m:sty m:val="p"/>
                    </m:rPr>
                    <m:t>−</m:t>
                  </m:r>
                  <m:r>
                    <m:t>m</m:t>
                  </m:r>
                  <m:r>
                    <m:rPr>
                      <m:sty m:val="p"/>
                    </m:rPr>
                    <m:t>log</m:t>
                  </m:r>
                  <m:r>
                    <m:t>p</m:t>
                  </m:r>
                </m:sub>
              </m:sSub>
            </m:e>
          </m:d>
          <m:r>
            <m:rPr>
              <m:sty m:val="p"/>
            </m:rPr>
            <m:t>.</m:t>
          </m:r>
        </m:oMath>
      </m:oMathPara>
    </w:p>
    <w:p>
      <w:pPr>
        <w:pStyle w:val="FirstParagraph"/>
      </w:pPr>
      <w:r>
        <w:t xml:space="preserve">Then</w:t>
      </w:r>
    </w:p>
    <w:p>
      <w:pPr>
        <w:pStyle w:val="BodyText"/>
      </w:pPr>
      <m:oMathPara>
        <m:oMathParaPr>
          <m:jc m:val="center"/>
        </m:oMathParaPr>
        <m:oMath>
          <m:r>
            <m:rPr>
              <m:sty m:val="p"/>
            </m:rPr>
            <m:t>At</m:t>
          </m:r>
          <m:d>
            <m:dPr>
              <m:begChr m:val="("/>
              <m:endChr m:val=")"/>
              <m:sepChr m:val=""/>
              <m:grow/>
            </m:dPr>
            <m:e>
              <m:sSub>
                <m:e>
                  <m:r>
                    <m:rPr>
                      <m:sty m:val="p"/>
                      <m:scr m:val="script"/>
                    </m:rPr>
                    <m:t>P</m:t>
                  </m:r>
                </m:e>
                <m:sub>
                  <m:r>
                    <m:t>p</m:t>
                  </m:r>
                </m:sub>
              </m:sSub>
            </m:e>
          </m:d>
          <m:r>
            <m:rPr>
              <m:sty m:val="p"/>
            </m:rPr>
            <m:t>=</m:t>
          </m:r>
          <m:nary>
            <m:naryPr>
              <m:chr m:val="∑"/>
              <m:limLoc m:val="undOvr"/>
              <m:subHide m:val="off"/>
              <m:supHide m:val="on"/>
            </m:naryPr>
            <m:sub>
              <m:r>
                <m:t>m</m:t>
              </m:r>
              <m:r>
                <m:rPr>
                  <m:sty m:val="p"/>
                </m:rPr>
                <m:t>≥</m:t>
              </m:r>
              <m:r>
                <m:t>1</m:t>
              </m:r>
            </m:sub>
            <m:sup>
              <m:r>
                <m:t>​</m:t>
              </m:r>
            </m:sup>
            <m:e>
              <m:f>
                <m:fPr>
                  <m:type m:val="bar"/>
                </m:fPr>
                <m:num>
                  <m:r>
                    <m:rPr>
                      <m:sty m:val="p"/>
                    </m:rPr>
                    <m:t>log</m:t>
                  </m:r>
                  <m:r>
                    <m:t>p</m:t>
                  </m:r>
                </m:num>
                <m:den>
                  <m:sSup>
                    <m:e>
                      <m:r>
                        <m:t>p</m:t>
                      </m:r>
                    </m:e>
                    <m:sup>
                      <m:r>
                        <m:t>m</m:t>
                      </m:r>
                      <m:r>
                        <m:rPr>
                          <m:sty m:val="p"/>
                        </m:rPr>
                        <m:t>/</m:t>
                      </m:r>
                      <m:r>
                        <m:t>2</m:t>
                      </m:r>
                    </m:sup>
                  </m:sSup>
                </m:den>
              </m:f>
            </m:e>
          </m:nary>
          <m:d>
            <m:dPr>
              <m:begChr m:val="("/>
              <m:endChr m:val=")"/>
              <m:sepChr m:val=""/>
              <m:grow/>
            </m:dPr>
            <m:e>
              <m:d>
                <m:dPr>
                  <m:begChr m:val="["/>
                  <m:endChr m:val="]"/>
                  <m:sepChr m:val=""/>
                  <m:grow/>
                </m:dPr>
                <m:e>
                  <m:r>
                    <m:t>m</m:t>
                  </m:r>
                  <m:r>
                    <m:rPr>
                      <m:sty m:val="p"/>
                    </m:rPr>
                    <m:t>log</m:t>
                  </m:r>
                  <m:r>
                    <m:t>p</m:t>
                  </m:r>
                </m:e>
              </m:d>
              <m:r>
                <m:rPr>
                  <m:sty m:val="p"/>
                </m:rPr>
                <m:t>+</m:t>
              </m:r>
              <m:d>
                <m:dPr>
                  <m:begChr m:val="["/>
                  <m:endChr m:val="]"/>
                  <m:sepChr m:val=""/>
                  <m:grow/>
                </m:dPr>
                <m:e>
                  <m:r>
                    <m:rPr>
                      <m:sty m:val="p"/>
                    </m:rPr>
                    <m:t>−</m:t>
                  </m:r>
                  <m:r>
                    <m:t>m</m:t>
                  </m:r>
                  <m:r>
                    <m:rPr>
                      <m:sty m:val="p"/>
                    </m:rPr>
                    <m:t>log</m:t>
                  </m:r>
                  <m:r>
                    <m:t>p</m:t>
                  </m:r>
                </m:e>
              </m:d>
            </m:e>
          </m:d>
          <m:r>
            <m:rPr>
              <m:sty m:val="p"/>
            </m:rPr>
            <m:t>.</m:t>
          </m:r>
        </m:oMath>
      </m:oMathPara>
    </w:p>
    <w:bookmarkStart w:id="46" w:name="X62cca902c3047d53d15af144ca991d4f75c80c9"/>
    <w:p>
      <w:pPr>
        <w:pStyle w:val="Heading3"/>
      </w:pPr>
      <w:r>
        <w:t xml:space="preserve">Proposition 5.1 — Prime atomic independence</w:t>
      </w:r>
    </w:p>
    <w:p>
      <w:pPr>
        <w:pStyle w:val="FirstParagraph"/>
      </w:pPr>
      <w:r>
        <w:t xml:space="preserve">The family</w:t>
      </w:r>
      <w:r>
        <w:t xml:space="preserve"> </w:t>
      </w:r>
      <m:oMath>
        <m:r>
          <m:rPr>
            <m:sty m:val="p"/>
          </m:rPr>
          <m:t>{</m:t>
        </m:r>
        <m:r>
          <m:rPr>
            <m:sty m:val="p"/>
          </m:rPr>
          <m:t>At</m:t>
        </m:r>
        <m:d>
          <m:dPr>
            <m:begChr m:val="("/>
            <m:endChr m:val=")"/>
            <m:sepChr m:val=""/>
            <m:grow/>
          </m:dPr>
          <m:e>
            <m:sSub>
              <m:e>
                <m:r>
                  <m:rPr>
                    <m:sty m:val="p"/>
                    <m:scr m:val="script"/>
                  </m:rPr>
                  <m:t>P</m:t>
                </m:r>
              </m:e>
              <m:sub>
                <m:r>
                  <m:t>p</m:t>
                </m:r>
              </m:sub>
            </m:sSub>
          </m:e>
        </m:d>
        <m:r>
          <m:rPr>
            <m:sty m:val="p"/>
          </m:rPr>
          <m:t>:</m:t>
        </m:r>
        <m:r>
          <m:t>p</m:t>
        </m:r>
        <m:r>
          <m:rPr>
            <m:nor/>
            <m:sty m:val="p"/>
          </m:rPr>
          <m:t> prime</m:t>
        </m:r>
        <m:r>
          <m:rPr>
            <m:sty m:val="p"/>
          </m:rPr>
          <m:t>}</m:t>
        </m:r>
      </m:oMath>
      <w:r>
        <w:t xml:space="preserve"> </w:t>
      </w:r>
      <w:r>
        <w:t xml:space="preserve">is linearly independent.</w:t>
      </w:r>
    </w:p>
    <w:p>
      <w:pPr>
        <w:pStyle w:val="BodyText"/>
      </w:pPr>
      <w:r>
        <w:rPr>
          <w:bCs/>
          <w:b/>
        </w:rPr>
        <w:t xml:space="preserve">Proof.</w:t>
      </w:r>
      <w:r>
        <w:t xml:space="preserve"> </w:t>
      </w:r>
      <w:r>
        <w:t xml:space="preserve">The supports for distinct primes are disjoint. If</w:t>
      </w:r>
      <w:r>
        <w:t xml:space="preserve"> </w:t>
      </w:r>
      <m:oMath>
        <m:r>
          <m:t>m</m:t>
        </m:r>
        <m:r>
          <m:rPr>
            <m:sty m:val="p"/>
          </m:rPr>
          <m:t>log</m:t>
        </m:r>
        <m:r>
          <m:t>p</m:t>
        </m:r>
        <m:r>
          <m:rPr>
            <m:sty m:val="p"/>
          </m:rPr>
          <m:t>=</m:t>
        </m:r>
        <m:r>
          <m:t>n</m:t>
        </m:r>
        <m:r>
          <m:rPr>
            <m:sty m:val="p"/>
          </m:rPr>
          <m:t>log</m:t>
        </m:r>
        <m:r>
          <m:t>q</m:t>
        </m:r>
      </m:oMath>
      <w:r>
        <w:t xml:space="preserve"> </w:t>
      </w:r>
      <w:r>
        <w:t xml:space="preserve">for rational primes</w:t>
      </w:r>
      <w:r>
        <w:t xml:space="preserve"> </w:t>
      </w:r>
      <m:oMath>
        <m:r>
          <m:t>p</m:t>
        </m:r>
        <m:r>
          <m:rPr>
            <m:sty m:val="p"/>
          </m:rPr>
          <m:t>,</m:t>
        </m:r>
        <m:r>
          <m:t>q</m:t>
        </m:r>
      </m:oMath>
      <w:r>
        <w:t xml:space="preserve">, then</w:t>
      </w:r>
      <w:r>
        <w:t xml:space="preserve"> </w:t>
      </w:r>
      <m:oMath>
        <m:sSup>
          <m:e>
            <m:r>
              <m:t>p</m:t>
            </m:r>
          </m:e>
          <m:sup>
            <m:r>
              <m:t>m</m:t>
            </m:r>
          </m:sup>
        </m:sSup>
        <m:r>
          <m:rPr>
            <m:sty m:val="p"/>
          </m:rPr>
          <m:t>=</m:t>
        </m:r>
        <m:sSup>
          <m:e>
            <m:r>
              <m:t>q</m:t>
            </m:r>
          </m:e>
          <m:sup>
            <m:r>
              <m:t>n</m:t>
            </m:r>
          </m:sup>
        </m:sSup>
      </m:oMath>
      <w:r>
        <w:t xml:space="preserve">. Unique factorization gives</w:t>
      </w:r>
      <w:r>
        <w:t xml:space="preserve"> </w:t>
      </w:r>
      <m:oMath>
        <m:r>
          <m:t>p</m:t>
        </m:r>
        <m:r>
          <m:rPr>
            <m:sty m:val="p"/>
          </m:rPr>
          <m:t>=</m:t>
        </m:r>
        <m:r>
          <m:t>q</m:t>
        </m:r>
      </m:oMath>
      <w:r>
        <w:t xml:space="preserve">, and then</w:t>
      </w:r>
      <w:r>
        <w:t xml:space="preserve"> </w:t>
      </w:r>
      <m:oMath>
        <m:r>
          <m:t>m</m:t>
        </m:r>
        <m:r>
          <m:rPr>
            <m:sty m:val="p"/>
          </m:rPr>
          <m:t>=</m:t>
        </m:r>
        <m:r>
          <m:t>n</m:t>
        </m:r>
      </m:oMath>
      <w:r>
        <w:t xml:space="preserve">. The same holds for negative locations. A finite linear combination can vanish only if every prime coefficient vanishes.</w:t>
      </w:r>
      <w:r>
        <w:t xml:space="preserve"> </w:t>
      </w:r>
      <m:oMath>
        <m:r>
          <m:rPr>
            <m:sty m:val="p"/>
          </m:rPr>
          <m:t>▫</m:t>
        </m:r>
      </m:oMath>
    </w:p>
    <w:p>
      <w:pPr>
        <w:pStyle w:val="BodyText"/>
      </w:pPr>
      <w:r>
        <w:t xml:space="preserve">Atomic charge therefore records exactly which prime channels occur. It is invariant under every declared admissible counterterm and is stronger than a finite test-function battery.</w:t>
      </w:r>
    </w:p>
    <w:bookmarkEnd w:id="46"/>
    <w:bookmarkEnd w:id="47"/>
    <w:bookmarkStart w:id="48" w:name="the-concentration-loophole"/>
    <w:p>
      <w:pPr>
        <w:pStyle w:val="Heading2"/>
      </w:pPr>
      <w:r>
        <w:t xml:space="preserve">5.3 The concentration loophole</w:t>
      </w:r>
    </w:p>
    <w:p>
      <w:pPr>
        <w:pStyle w:val="FirstParagraph"/>
      </w:pPr>
      <w:r>
        <w:t xml:space="preserve">Stagewise admissibility is not stable under limits. Let</w:t>
      </w:r>
      <w:r>
        <w:t xml:space="preserve"> </w:t>
      </w:r>
      <m:oMath>
        <m:r>
          <m:t>η</m:t>
        </m:r>
        <m:r>
          <m:rPr>
            <m:sty m:val="p"/>
          </m:rPr>
          <m:t>∈</m:t>
        </m:r>
        <m:sSubSup>
          <m:e>
            <m:r>
              <m:t>C</m:t>
            </m:r>
          </m:e>
          <m:sub>
            <m:r>
              <m:t>c</m:t>
            </m:r>
          </m:sub>
          <m:sup>
            <m:r>
              <m:rPr>
                <m:sty m:val="p"/>
              </m:rPr>
              <m:t>∞</m:t>
            </m:r>
          </m:sup>
        </m:sSubSup>
        <m:d>
          <m:dPr>
            <m:begChr m:val="("/>
            <m:endChr m:val=")"/>
            <m:sepChr m:val=""/>
            <m:grow/>
          </m:dPr>
          <m:e>
            <m:r>
              <m:rPr>
                <m:sty m:val="p"/>
              </m:rPr>
              <m:t>−</m:t>
            </m:r>
            <m:r>
              <m:t>1</m:t>
            </m:r>
            <m:r>
              <m:rPr>
                <m:sty m:val="p"/>
              </m:rPr>
              <m:t>,</m:t>
            </m:r>
            <m:r>
              <m:t>1</m:t>
            </m:r>
          </m:e>
        </m:d>
      </m:oMath>
      <w:r>
        <w:t xml:space="preserve"> </w:t>
      </w:r>
      <w:r>
        <w:t xml:space="preserve">be nonnegative with</w:t>
      </w:r>
      <w:r>
        <w:t xml:space="preserve"> </w:t>
      </w:r>
      <m:oMath>
        <m:r>
          <m:rPr>
            <m:sty m:val="p"/>
          </m:rPr>
          <m:t>∫</m:t>
        </m:r>
        <m:r>
          <m:t>η</m:t>
        </m:r>
        <m:r>
          <m:rPr>
            <m:sty m:val="p"/>
          </m:rPr>
          <m:t>=</m:t>
        </m:r>
        <m:r>
          <m:t>1</m:t>
        </m:r>
      </m:oMath>
      <w:r>
        <w:t xml:space="preserve">. For a fixed prime</w:t>
      </w:r>
      <w:r>
        <w:t xml:space="preserve"> </w:t>
      </w:r>
      <m:oMath>
        <m:r>
          <m:t>p</m:t>
        </m:r>
      </m:oMath>
      <w:r>
        <w:t xml:space="preserve">, set</w:t>
      </w:r>
    </w:p>
    <w:p>
      <w:pPr>
        <w:pStyle w:val="BodyText"/>
      </w:pPr>
      <m:oMathPara>
        <m:oMathParaPr>
          <m:jc m:val="center"/>
        </m:oMathParaPr>
        <m:oMath>
          <m:sSub>
            <m:e>
              <m:r>
                <m:t>a</m:t>
              </m:r>
            </m:e>
            <m:sub>
              <m:r>
                <m:t>R</m:t>
              </m:r>
            </m:sub>
          </m:sSub>
          <m:d>
            <m:dPr>
              <m:begChr m:val="("/>
              <m:endChr m:val=")"/>
              <m:sepChr m:val=""/>
              <m:grow/>
            </m:dPr>
            <m:e>
              <m:r>
                <m:t>u</m:t>
              </m:r>
            </m:e>
          </m:d>
          <m:r>
            <m:rPr>
              <m:sty m:val="p"/>
            </m:rPr>
            <m:t>=</m:t>
          </m:r>
          <m:nary>
            <m:naryPr>
              <m:chr m:val="∑"/>
              <m:limLoc m:val="undOvr"/>
              <m:subHide m:val="off"/>
              <m:supHide m:val="on"/>
            </m:naryPr>
            <m:sub>
              <m:r>
                <m:t>m</m:t>
              </m:r>
              <m:r>
                <m:rPr>
                  <m:sty m:val="p"/>
                </m:rPr>
                <m:t>≤</m:t>
              </m:r>
              <m:r>
                <m:t>R</m:t>
              </m:r>
            </m:sub>
            <m:sup>
              <m:r>
                <m:t>​</m:t>
              </m:r>
            </m:sup>
            <m:e>
              <m:f>
                <m:fPr>
                  <m:type m:val="bar"/>
                </m:fPr>
                <m:num>
                  <m:r>
                    <m:rPr>
                      <m:sty m:val="p"/>
                    </m:rPr>
                    <m:t>log</m:t>
                  </m:r>
                  <m:r>
                    <m:t>p</m:t>
                  </m:r>
                </m:num>
                <m:den>
                  <m:sSup>
                    <m:e>
                      <m:r>
                        <m:t>p</m:t>
                      </m:r>
                    </m:e>
                    <m:sup>
                      <m:r>
                        <m:t>m</m:t>
                      </m:r>
                      <m:r>
                        <m:rPr>
                          <m:sty m:val="p"/>
                        </m:rPr>
                        <m:t>/</m:t>
                      </m:r>
                      <m:r>
                        <m:t>2</m:t>
                      </m:r>
                    </m:sup>
                  </m:sSup>
                </m:den>
              </m:f>
            </m:e>
          </m:nary>
          <m:r>
            <m:t>R</m:t>
          </m:r>
          <m:d>
            <m:dPr>
              <m:begChr m:val="["/>
              <m:endChr m:val="]"/>
              <m:sepChr m:val=""/>
              <m:grow/>
            </m:dPr>
            <m:e>
              <m:r>
                <m:t>η</m:t>
              </m:r>
              <m:r>
                <m:rPr>
                  <m:sty m:val="p"/>
                </m:rPr>
                <m:t>(</m:t>
              </m:r>
              <m:r>
                <m:t>R</m:t>
              </m:r>
              <m:d>
                <m:dPr>
                  <m:begChr m:val="("/>
                  <m:endChr m:val=")"/>
                  <m:sepChr m:val=""/>
                  <m:grow/>
                </m:dPr>
                <m:e>
                  <m:r>
                    <m:t>u</m:t>
                  </m:r>
                  <m:r>
                    <m:rPr>
                      <m:sty m:val="p"/>
                    </m:rPr>
                    <m:t>−</m:t>
                  </m:r>
                  <m:r>
                    <m:t>m</m:t>
                  </m:r>
                  <m:r>
                    <m:rPr>
                      <m:sty m:val="p"/>
                    </m:rPr>
                    <m:t>log</m:t>
                  </m:r>
                  <m:r>
                    <m:t>p</m:t>
                  </m:r>
                </m:e>
              </m:d>
              <m:r>
                <m:rPr>
                  <m:sty m:val="p"/>
                </m:rPr>
                <m:t>)</m:t>
              </m:r>
              <m:r>
                <m:rPr>
                  <m:sty m:val="p"/>
                </m:rPr>
                <m:t>+</m:t>
              </m:r>
              <m:r>
                <m:t>η</m:t>
              </m:r>
              <m:r>
                <m:rPr>
                  <m:sty m:val="p"/>
                </m:rPr>
                <m:t>(</m:t>
              </m:r>
              <m:r>
                <m:t>R</m:t>
              </m:r>
              <m:d>
                <m:dPr>
                  <m:begChr m:val="("/>
                  <m:endChr m:val=")"/>
                  <m:sepChr m:val=""/>
                  <m:grow/>
                </m:dPr>
                <m:e>
                  <m:r>
                    <m:t>u</m:t>
                  </m:r>
                  <m:r>
                    <m:rPr>
                      <m:sty m:val="p"/>
                    </m:rPr>
                    <m:t>+</m:t>
                  </m:r>
                  <m:r>
                    <m:t>m</m:t>
                  </m:r>
                  <m:r>
                    <m:rPr>
                      <m:sty m:val="p"/>
                    </m:rPr>
                    <m:t>log</m:t>
                  </m:r>
                  <m:r>
                    <m:t>p</m:t>
                  </m:r>
                </m:e>
              </m:d>
              <m:r>
                <m:rPr>
                  <m:sty m:val="p"/>
                </m:rPr>
                <m:t>)</m:t>
              </m:r>
            </m:e>
          </m:d>
          <m:r>
            <m:rPr>
              <m:sty m:val="p"/>
            </m:rPr>
            <m:t>.</m:t>
          </m:r>
        </m:oMath>
      </m:oMathPara>
    </w:p>
    <w:p>
      <w:pPr>
        <w:pStyle w:val="FirstParagraph"/>
      </w:pPr>
      <w:r>
        <w:t xml:space="preserve">For every finite</w:t>
      </w:r>
      <w:r>
        <w:t xml:space="preserve"> </w:t>
      </w:r>
      <m:oMath>
        <m:r>
          <m:t>R</m:t>
        </m:r>
      </m:oMath>
      <w:r>
        <w:t xml:space="preserve">,</w:t>
      </w:r>
      <w:r>
        <w:t xml:space="preserve"> </w:t>
      </w:r>
      <m:oMath>
        <m:sSub>
          <m:e>
            <m:r>
              <m:t>a</m:t>
            </m:r>
          </m:e>
          <m:sub>
            <m:r>
              <m:t>R</m:t>
            </m:r>
          </m:sub>
        </m:sSub>
        <m:d>
          <m:dPr>
            <m:begChr m:val="("/>
            <m:endChr m:val=")"/>
            <m:sepChr m:val=""/>
            <m:grow/>
          </m:dPr>
          <m:e>
            <m:r>
              <m:t>u</m:t>
            </m:r>
          </m:e>
        </m:d>
        <m:r>
          <m:t>d</m:t>
        </m:r>
        <m:r>
          <m:t>u</m:t>
        </m:r>
      </m:oMath>
      <w:r>
        <w:t xml:space="preserve"> </w:t>
      </w:r>
      <w:r>
        <w:t xml:space="preserve">is a smooth, absolutely continuous measure and has zero atomic charge. Yet</w:t>
      </w:r>
    </w:p>
    <w:p>
      <w:pPr>
        <w:pStyle w:val="BodyText"/>
      </w:pPr>
      <m:oMathPara>
        <m:oMathParaPr>
          <m:jc m:val="center"/>
        </m:oMathParaPr>
        <m:oMath>
          <m:sSub>
            <m:e>
              <m:r>
                <m:t>a</m:t>
              </m:r>
            </m:e>
            <m:sub>
              <m:r>
                <m:t>R</m:t>
              </m:r>
            </m:sub>
          </m:sSub>
          <m:d>
            <m:dPr>
              <m:begChr m:val="("/>
              <m:endChr m:val=")"/>
              <m:sepChr m:val=""/>
              <m:grow/>
            </m:dPr>
            <m:e>
              <m:r>
                <m:t>u</m:t>
              </m:r>
            </m:e>
          </m:d>
          <m:r>
            <m:t>d</m:t>
          </m:r>
          <m:r>
            <m:t>u</m:t>
          </m:r>
          <m:r>
            <m:rPr>
              <m:sty m:val="p"/>
            </m:rPr>
            <m:t>→</m:t>
          </m:r>
          <m:sSub>
            <m:e>
              <m:r>
                <m:rPr>
                  <m:sty m:val="p"/>
                  <m:scr m:val="script"/>
                </m:rPr>
                <m:t>P</m:t>
              </m:r>
            </m:e>
            <m:sub>
              <m:r>
                <m:t>p</m:t>
              </m:r>
            </m:sub>
          </m:sSub>
        </m:oMath>
      </m:oMathPara>
    </w:p>
    <w:p>
      <w:pPr>
        <w:pStyle w:val="FirstParagraph"/>
      </w:pPr>
      <w:r>
        <w:t xml:space="preserve">distributionally. A counterterm channel constrained only stage by stage can therefore reconstruct the forbidden comb in the joint cutoff limit.</w:t>
      </w:r>
    </w:p>
    <w:bookmarkEnd w:id="48"/>
    <w:bookmarkStart w:id="51" w:name="concentration-defect"/>
    <w:p>
      <w:pPr>
        <w:pStyle w:val="Heading2"/>
      </w:pPr>
      <w:r>
        <w:t xml:space="preserve">5.4 Concentration defect</w:t>
      </w:r>
    </w:p>
    <w:p>
      <w:pPr>
        <w:pStyle w:val="FirstParagraph"/>
      </w:pPr>
      <w:r>
        <w:t xml:space="preserve">For a compact</w:t>
      </w:r>
      <w:r>
        <w:t xml:space="preserve"> </w:t>
      </w:r>
      <m:oMath>
        <m:r>
          <m:t>K</m:t>
        </m:r>
      </m:oMath>
      <w:r>
        <w:t xml:space="preserve"> </w:t>
      </w:r>
      <w:r>
        <w:t xml:space="preserve">disjoint from the origin and a directed family</w:t>
      </w:r>
      <w:r>
        <w:t xml:space="preserve"> </w:t>
      </w:r>
      <m:oMath>
        <m:sSub>
          <m:e>
            <m:r>
              <m:t>a</m:t>
            </m:r>
          </m:e>
          <m:sub>
            <m:r>
              <m:t>λ</m:t>
            </m:r>
          </m:sub>
        </m:sSub>
        <m:d>
          <m:dPr>
            <m:begChr m:val="("/>
            <m:endChr m:val=")"/>
            <m:sepChr m:val=""/>
            <m:grow/>
          </m:dPr>
          <m:e>
            <m:r>
              <m:t>u</m:t>
            </m:r>
          </m:e>
        </m:d>
        <m:r>
          <m:t>d</m:t>
        </m:r>
        <m:r>
          <m:t>u</m:t>
        </m:r>
      </m:oMath>
      <w:r>
        <w:t xml:space="preserve">, define</w:t>
      </w:r>
    </w:p>
    <w:p>
      <w:pPr>
        <w:pStyle w:val="BodyText"/>
      </w:pPr>
      <m:oMathPara>
        <m:oMathParaPr>
          <m:jc m:val="center"/>
        </m:oMathParaPr>
        <m:oMath>
          <m:sSub>
            <m:e>
              <m:r>
                <m:t>χ</m:t>
              </m:r>
            </m:e>
            <m:sub>
              <m:r>
                <m:t>K</m:t>
              </m:r>
            </m:sub>
          </m:sSub>
          <m:r>
            <m:rPr>
              <m:sty m:val="p"/>
            </m:rPr>
            <m:t>=</m:t>
          </m:r>
          <m:limLow>
            <m:e>
              <m:r>
                <m:rPr>
                  <m:sty m:val="p"/>
                </m:rPr>
                <m:t>lim</m:t>
              </m:r>
            </m:e>
            <m:lim>
              <m:r>
                <m:t>ε</m:t>
              </m:r>
              <m:r>
                <m:rPr>
                  <m:sty m:val="p"/>
                </m:rPr>
                <m:t>↓</m:t>
              </m:r>
              <m:r>
                <m:t>0</m:t>
              </m:r>
            </m:lim>
          </m:limLow>
          <m:limLow>
            <m:e>
              <m:r>
                <m:rPr>
                  <m:sty m:val="p"/>
                </m:rPr>
                <m:t>limsup</m:t>
              </m:r>
            </m:e>
            <m:lim>
              <m:r>
                <m:t>λ</m:t>
              </m:r>
            </m:lim>
          </m:limLow>
          <m:limLow>
            <m:e>
              <m:r>
                <m:rPr>
                  <m:sty m:val="p"/>
                </m:rPr>
                <m:t>sup</m:t>
              </m:r>
            </m:e>
            <m:lim>
              <m:r>
                <m:t>t</m:t>
              </m:r>
              <m:r>
                <m:rPr>
                  <m:sty m:val="p"/>
                </m:rPr>
                <m:t>∈</m:t>
              </m:r>
              <m:r>
                <m:t>K</m:t>
              </m:r>
            </m:lim>
          </m:limLow>
          <m:nary>
            <m:naryPr>
              <m:chr m:val="∫"/>
              <m:limLoc m:val="subSup"/>
              <m:subHide m:val="off"/>
              <m:supHide m:val="off"/>
            </m:naryPr>
            <m:sub>
              <m:r>
                <m:t>t</m:t>
              </m:r>
              <m:r>
                <m:rPr>
                  <m:sty m:val="p"/>
                </m:rPr>
                <m:t>−</m:t>
              </m:r>
              <m:r>
                <m:t>ε</m:t>
              </m:r>
            </m:sub>
            <m:sup>
              <m:r>
                <m:t>t</m:t>
              </m:r>
              <m:r>
                <m:rPr>
                  <m:sty m:val="p"/>
                </m:rPr>
                <m:t>+</m:t>
              </m:r>
              <m:r>
                <m:t>ε</m:t>
              </m:r>
            </m:sup>
            <m:e>
              <m:d>
                <m:dPr>
                  <m:begChr m:val="|"/>
                  <m:endChr m:val="|"/>
                  <m:sepChr m:val=""/>
                  <m:grow/>
                </m:dPr>
                <m:e>
                  <m:sSub>
                    <m:e>
                      <m:r>
                        <m:t>a</m:t>
                      </m:r>
                    </m:e>
                    <m:sub>
                      <m:r>
                        <m:t>λ</m:t>
                      </m:r>
                    </m:sub>
                  </m:sSub>
                  <m:d>
                    <m:dPr>
                      <m:begChr m:val="("/>
                      <m:endChr m:val=")"/>
                      <m:sepChr m:val=""/>
                      <m:grow/>
                    </m:dPr>
                    <m:e>
                      <m:r>
                        <m:t>u</m:t>
                      </m:r>
                    </m:e>
                  </m:d>
                </m:e>
              </m:d>
            </m:e>
          </m:nary>
          <m:r>
            <m:t> </m:t>
          </m:r>
          <m:r>
            <m:t>d</m:t>
          </m:r>
          <m:r>
            <m:t>u</m:t>
          </m:r>
          <m:r>
            <m:rPr>
              <m:sty m:val="p"/>
            </m:rPr>
            <m:t>.</m:t>
          </m:r>
        </m:oMath>
      </m:oMathPara>
    </w:p>
    <w:p>
      <w:pPr>
        <w:pStyle w:val="FirstParagraph"/>
      </w:pPr>
      <w:r>
        <w:t xml:space="preserve">The operational certificate is a computable modulus</w:t>
      </w:r>
      <w:r>
        <w:t xml:space="preserve"> </w:t>
      </w:r>
      <m:oMath>
        <m:sSub>
          <m:e>
            <m:r>
              <m:t>κ</m:t>
            </m:r>
          </m:e>
          <m:sub>
            <m:r>
              <m:t>K</m:t>
            </m:r>
          </m:sub>
        </m:sSub>
        <m:d>
          <m:dPr>
            <m:begChr m:val="("/>
            <m:endChr m:val=")"/>
            <m:sepChr m:val=""/>
            <m:grow/>
          </m:dPr>
          <m:e>
            <m:r>
              <m:t>ε</m:t>
            </m:r>
          </m:e>
        </m:d>
      </m:oMath>
      <w:r>
        <w:t xml:space="preserve"> </w:t>
      </w:r>
      <w:r>
        <w:t xml:space="preserve">such that, eventually in</w:t>
      </w:r>
      <w:r>
        <w:t xml:space="preserve"> </w:t>
      </w:r>
      <m:oMath>
        <m:r>
          <m:t>λ</m:t>
        </m:r>
      </m:oMath>
      <w:r>
        <w:t xml:space="preserve">,</w:t>
      </w:r>
    </w:p>
    <w:p>
      <w:pPr>
        <w:pStyle w:val="BodyText"/>
      </w:pPr>
      <m:oMathPara>
        <m:oMathParaPr>
          <m:jc m:val="center"/>
        </m:oMathParaPr>
        <m:oMath>
          <m:limLow>
            <m:e>
              <m:r>
                <m:rPr>
                  <m:sty m:val="p"/>
                </m:rPr>
                <m:t>sup</m:t>
              </m:r>
            </m:e>
            <m:lim>
              <m:r>
                <m:t>t</m:t>
              </m:r>
              <m:r>
                <m:rPr>
                  <m:sty m:val="p"/>
                </m:rPr>
                <m:t>∈</m:t>
              </m:r>
              <m:r>
                <m:t>K</m:t>
              </m:r>
            </m:lim>
          </m:limLow>
          <m:nary>
            <m:naryPr>
              <m:chr m:val="∫"/>
              <m:limLoc m:val="subSup"/>
              <m:subHide m:val="off"/>
              <m:supHide m:val="off"/>
            </m:naryPr>
            <m:sub>
              <m:r>
                <m:t>t</m:t>
              </m:r>
              <m:r>
                <m:rPr>
                  <m:sty m:val="p"/>
                </m:rPr>
                <m:t>−</m:t>
              </m:r>
              <m:r>
                <m:t>ε</m:t>
              </m:r>
            </m:sub>
            <m:sup>
              <m:r>
                <m:t>t</m:t>
              </m:r>
              <m:r>
                <m:rPr>
                  <m:sty m:val="p"/>
                </m:rPr>
                <m:t>+</m:t>
              </m:r>
              <m:r>
                <m:t>ε</m:t>
              </m:r>
            </m:sup>
            <m:e>
              <m:d>
                <m:dPr>
                  <m:begChr m:val="|"/>
                  <m:endChr m:val="|"/>
                  <m:sepChr m:val=""/>
                  <m:grow/>
                </m:dPr>
                <m:e>
                  <m:sSub>
                    <m:e>
                      <m:r>
                        <m:t>a</m:t>
                      </m:r>
                    </m:e>
                    <m:sub>
                      <m:r>
                        <m:t>λ</m:t>
                      </m:r>
                    </m:sub>
                  </m:sSub>
                  <m:d>
                    <m:dPr>
                      <m:begChr m:val="("/>
                      <m:endChr m:val=")"/>
                      <m:sepChr m:val=""/>
                      <m:grow/>
                    </m:dPr>
                    <m:e>
                      <m:r>
                        <m:t>u</m:t>
                      </m:r>
                    </m:e>
                  </m:d>
                </m:e>
              </m:d>
            </m:e>
          </m:nary>
          <m:r>
            <m:t> </m:t>
          </m:r>
          <m:r>
            <m:t>d</m:t>
          </m:r>
          <m:r>
            <m:t>u</m:t>
          </m:r>
          <m:r>
            <m:rPr>
              <m:sty m:val="p"/>
            </m:rPr>
            <m:t>≤</m:t>
          </m:r>
          <m:sSub>
            <m:e>
              <m:r>
                <m:t>κ</m:t>
              </m:r>
            </m:e>
            <m:sub>
              <m:r>
                <m:t>K</m:t>
              </m:r>
            </m:sub>
          </m:sSub>
          <m:d>
            <m:dPr>
              <m:begChr m:val="("/>
              <m:endChr m:val=")"/>
              <m:sepChr m:val=""/>
              <m:grow/>
            </m:dPr>
            <m:e>
              <m:r>
                <m:t>ε</m:t>
              </m:r>
            </m:e>
          </m:d>
          <m:r>
            <m:rPr>
              <m:sty m:val="p"/>
            </m:rPr>
            <m:t>,</m:t>
          </m:r>
          <m:r>
            <m:t>  </m:t>
          </m:r>
          <m:sSub>
            <m:e>
              <m:r>
                <m:t>κ</m:t>
              </m:r>
            </m:e>
            <m:sub>
              <m:r>
                <m:t>K</m:t>
              </m:r>
            </m:sub>
          </m:sSub>
          <m:d>
            <m:dPr>
              <m:begChr m:val="("/>
              <m:endChr m:val=")"/>
              <m:sepChr m:val=""/>
              <m:grow/>
            </m:dPr>
            <m:e>
              <m:r>
                <m:t>ε</m:t>
              </m:r>
            </m:e>
          </m:d>
          <m:r>
            <m:rPr>
              <m:sty m:val="p"/>
            </m:rPr>
            <m:t>→</m:t>
          </m:r>
          <m:r>
            <m:t>0</m:t>
          </m:r>
          <m:r>
            <m:rPr>
              <m:sty m:val="p"/>
            </m:rPr>
            <m:t>.</m:t>
          </m:r>
        </m:oMath>
      </m:oMathPara>
    </w:p>
    <w:p>
      <w:pPr>
        <w:pStyle w:val="FirstParagraph"/>
      </w:pPr>
      <w:r>
        <w:t xml:space="preserve">A power certificate</w:t>
      </w:r>
      <w:r>
        <w:t xml:space="preserve"> </w:t>
      </w:r>
      <m:oMath>
        <m:sSub>
          <m:e>
            <m:r>
              <m:t>κ</m:t>
            </m:r>
          </m:e>
          <m:sub>
            <m:r>
              <m:t>K</m:t>
            </m:r>
          </m:sub>
        </m:sSub>
        <m:d>
          <m:dPr>
            <m:begChr m:val="("/>
            <m:endChr m:val=")"/>
            <m:sepChr m:val=""/>
            <m:grow/>
          </m:dPr>
          <m:e>
            <m:r>
              <m:t>ε</m:t>
            </m:r>
          </m:e>
        </m:d>
        <m:r>
          <m:rPr>
            <m:sty m:val="p"/>
          </m:rPr>
          <m:t>≤</m:t>
        </m:r>
        <m:sSub>
          <m:e>
            <m:r>
              <m:t>C</m:t>
            </m:r>
          </m:e>
          <m:sub>
            <m:r>
              <m:t>K</m:t>
            </m:r>
          </m:sub>
        </m:sSub>
        <m:sSup>
          <m:e>
            <m:r>
              <m:t>ε</m:t>
            </m:r>
          </m:e>
          <m:sup>
            <m:sSub>
              <m:e>
                <m:r>
                  <m:t>γ</m:t>
                </m:r>
              </m:e>
              <m:sub>
                <m:r>
                  <m:t>K</m:t>
                </m:r>
              </m:sub>
            </m:sSub>
          </m:sup>
        </m:sSup>
      </m:oMath>
      <w:r>
        <w:t xml:space="preserve">, with</w:t>
      </w:r>
      <w:r>
        <w:t xml:space="preserve"> </w:t>
      </w:r>
      <m:oMath>
        <m:sSub>
          <m:e>
            <m:r>
              <m:t>γ</m:t>
            </m:r>
          </m:e>
          <m:sub>
            <m:r>
              <m:t>K</m:t>
            </m:r>
          </m:sub>
        </m:sSub>
        <m:r>
          <m:rPr>
            <m:sty m:val="p"/>
          </m:rPr>
          <m:t>&gt;</m:t>
        </m:r>
        <m:r>
          <m:t>0</m:t>
        </m:r>
      </m:oMath>
      <w:r>
        <w:t xml:space="preserve">, is directly checkable once the uniform analytic bound is supplied.</w:t>
      </w:r>
    </w:p>
    <w:bookmarkStart w:id="49" w:name="theorem-5.2-atomic-rigidity"/>
    <w:p>
      <w:pPr>
        <w:pStyle w:val="Heading3"/>
      </w:pPr>
      <w:r>
        <w:t xml:space="preserve">Theorem 5.2 — Atomic rigidity</w:t>
      </w:r>
    </w:p>
    <w:p>
      <w:pPr>
        <w:pStyle w:val="FirstParagraph"/>
      </w:pPr>
      <w:r>
        <w:t xml:space="preserve">Let</w:t>
      </w:r>
      <w:r>
        <w:t xml:space="preserve"> </w:t>
      </w:r>
      <m:oMath>
        <m:sSub>
          <m:e>
            <m:r>
              <m:t>μ</m:t>
            </m:r>
          </m:e>
          <m:sub>
            <m:r>
              <m:t>λ</m:t>
            </m:r>
          </m:sub>
        </m:sSub>
        <m:r>
          <m:rPr>
            <m:sty m:val="p"/>
          </m:rPr>
          <m:t>=</m:t>
        </m:r>
        <m:sSub>
          <m:e>
            <m:r>
              <m:t>a</m:t>
            </m:r>
          </m:e>
          <m:sub>
            <m:r>
              <m:t>λ</m:t>
            </m:r>
          </m:sub>
        </m:sSub>
        <m:d>
          <m:dPr>
            <m:begChr m:val="("/>
            <m:endChr m:val=")"/>
            <m:sepChr m:val=""/>
            <m:grow/>
          </m:dPr>
          <m:e>
            <m:r>
              <m:t>u</m:t>
            </m:r>
          </m:e>
        </m:d>
        <m:r>
          <m:t>d</m:t>
        </m:r>
        <m:r>
          <m:t>u</m:t>
        </m:r>
      </m:oMath>
      <w:r>
        <w:t xml:space="preserve"> </w:t>
      </w:r>
      <w:r>
        <w:t xml:space="preserve">converge weakly as complex Radon measures on compact sets disjoint from the origin to</w:t>
      </w:r>
      <w:r>
        <w:t xml:space="preserve"> </w:t>
      </w:r>
      <m:oMath>
        <m:r>
          <m:t>μ</m:t>
        </m:r>
      </m:oMath>
      <w:r>
        <w:t xml:space="preserve">. Assume local uniform boundedness of total variation and the vanishing concentration modulus above. Then</w:t>
      </w:r>
      <w:r>
        <w:t xml:space="preserve"> </w:t>
      </w:r>
      <m:oMath>
        <m:r>
          <m:t>μ</m:t>
        </m:r>
      </m:oMath>
      <w:r>
        <w:t xml:space="preserve"> </w:t>
      </w:r>
      <w:r>
        <w:t xml:space="preserve">has no atom away from the origin.</w:t>
      </w:r>
    </w:p>
    <w:p>
      <w:pPr>
        <w:pStyle w:val="BodyText"/>
      </w:pPr>
      <w:r>
        <w:rPr>
          <w:bCs/>
          <w:b/>
        </w:rPr>
        <w:t xml:space="preserve">Proof.</w:t>
      </w:r>
      <w:r>
        <w:t xml:space="preserve"> </w:t>
      </w:r>
      <w:r>
        <w:t xml:space="preserve">Fix</w:t>
      </w:r>
      <w:r>
        <w:t xml:space="preserve"> </w:t>
      </w:r>
      <m:oMath>
        <m:r>
          <m:t>t</m:t>
        </m:r>
        <m:r>
          <m:rPr>
            <m:sty m:val="p"/>
          </m:rPr>
          <m:t>≠</m:t>
        </m:r>
        <m:r>
          <m:t>0</m:t>
        </m:r>
      </m:oMath>
      <w:r>
        <w:t xml:space="preserve"> </w:t>
      </w:r>
      <w:r>
        <w:t xml:space="preserve">and a compact neighborhood</w:t>
      </w:r>
      <w:r>
        <w:t xml:space="preserve"> </w:t>
      </w:r>
      <m:oMath>
        <m:r>
          <m:t>K</m:t>
        </m:r>
      </m:oMath>
      <w:r>
        <w:t xml:space="preserve"> </w:t>
      </w:r>
      <w:r>
        <w:t xml:space="preserve">of</w:t>
      </w:r>
      <w:r>
        <w:t xml:space="preserve"> </w:t>
      </w:r>
      <m:oMath>
        <m:r>
          <m:t>t</m:t>
        </m:r>
      </m:oMath>
      <w:r>
        <w:t xml:space="preserve"> </w:t>
      </w:r>
      <w:r>
        <w:t xml:space="preserve">disjoint from the origin. For sufficiently small</w:t>
      </w:r>
      <w:r>
        <w:t xml:space="preserve"> </w:t>
      </w:r>
      <m:oMath>
        <m:r>
          <m:t>ε</m:t>
        </m:r>
      </m:oMath>
      <w:r>
        <w:t xml:space="preserve">, choose continuous functions</w:t>
      </w:r>
      <w:r>
        <w:t xml:space="preserve"> </w:t>
      </w:r>
      <m:oMath>
        <m:sSub>
          <m:e>
            <m:r>
              <m:t>φ</m:t>
            </m:r>
          </m:e>
          <m:sub>
            <m:r>
              <m:t>r</m:t>
            </m:r>
          </m:sub>
        </m:sSub>
      </m:oMath>
      <w:r>
        <w:t xml:space="preserve">,</w:t>
      </w:r>
      <w:r>
        <w:t xml:space="preserve"> </w:t>
      </w:r>
      <m:oMath>
        <m:r>
          <m:t>0</m:t>
        </m:r>
        <m:r>
          <m:rPr>
            <m:sty m:val="p"/>
          </m:rPr>
          <m:t>≤</m:t>
        </m:r>
        <m:sSub>
          <m:e>
            <m:r>
              <m:t>φ</m:t>
            </m:r>
          </m:e>
          <m:sub>
            <m:r>
              <m:t>r</m:t>
            </m:r>
          </m:sub>
        </m:sSub>
        <m:r>
          <m:rPr>
            <m:sty m:val="p"/>
          </m:rPr>
          <m:t>≤</m:t>
        </m:r>
        <m:r>
          <m:t>1</m:t>
        </m:r>
      </m:oMath>
      <w:r>
        <w:t xml:space="preserve">, equal to one on</w:t>
      </w:r>
      <w:r>
        <w:t xml:space="preserve"> </w:t>
      </w:r>
      <m:oMath>
        <m:d>
          <m:dPr>
            <m:begChr m:val="["/>
            <m:endChr m:val="]"/>
            <m:sepChr m:val=""/>
            <m:grow/>
          </m:dPr>
          <m:e>
            <m:r>
              <m:t>t</m:t>
            </m:r>
            <m:r>
              <m:rPr>
                <m:sty m:val="p"/>
              </m:rPr>
              <m:t>−</m:t>
            </m:r>
            <m:r>
              <m:t>r</m:t>
            </m:r>
            <m:r>
              <m:rPr>
                <m:sty m:val="p"/>
              </m:rPr>
              <m:t>,</m:t>
            </m:r>
            <m:r>
              <m:t>t</m:t>
            </m:r>
            <m:r>
              <m:rPr>
                <m:sty m:val="p"/>
              </m:rPr>
              <m:t>+</m:t>
            </m:r>
            <m:r>
              <m:t>r</m:t>
            </m:r>
          </m:e>
        </m:d>
      </m:oMath>
      <w:r>
        <w:t xml:space="preserve">, supported in</w:t>
      </w:r>
      <w:r>
        <w:t xml:space="preserve"> </w:t>
      </w:r>
      <m:oMath>
        <m:d>
          <m:dPr>
            <m:begChr m:val="["/>
            <m:endChr m:val="]"/>
            <m:sepChr m:val=""/>
            <m:grow/>
          </m:dPr>
          <m:e>
            <m:r>
              <m:t>t</m:t>
            </m:r>
            <m:r>
              <m:rPr>
                <m:sty m:val="p"/>
              </m:rPr>
              <m:t>−</m:t>
            </m:r>
            <m:r>
              <m:t>ε</m:t>
            </m:r>
            <m:r>
              <m:rPr>
                <m:sty m:val="p"/>
              </m:rPr>
              <m:t>,</m:t>
            </m:r>
            <m:r>
              <m:t>t</m:t>
            </m:r>
            <m:r>
              <m:rPr>
                <m:sty m:val="p"/>
              </m:rPr>
              <m:t>+</m:t>
            </m:r>
            <m:r>
              <m:t>ε</m:t>
            </m:r>
          </m:e>
        </m:d>
      </m:oMath>
      <w:r>
        <w:t xml:space="preserve">, and decreasing pointwise to the indicator of</w:t>
      </w:r>
      <w:r>
        <w:t xml:space="preserve"> </w:t>
      </w:r>
      <m:oMath>
        <m:r>
          <m:rPr>
            <m:sty m:val="p"/>
          </m:rPr>
          <m:t>{</m:t>
        </m:r>
        <m:r>
          <m:t>t</m:t>
        </m:r>
        <m:r>
          <m:rPr>
            <m:sty m:val="p"/>
          </m:rPr>
          <m:t>}</m:t>
        </m:r>
      </m:oMath>
      <w:r>
        <w:t xml:space="preserve"> </w:t>
      </w:r>
      <w:r>
        <w:t xml:space="preserve">as</w:t>
      </w:r>
      <w:r>
        <w:t xml:space="preserve"> </w:t>
      </w:r>
      <m:oMath>
        <m:r>
          <m:t>r</m:t>
        </m:r>
        <m:r>
          <m:rPr>
            <m:sty m:val="p"/>
          </m:rPr>
          <m:t>↓</m:t>
        </m:r>
        <m:r>
          <m:t>0</m:t>
        </m:r>
      </m:oMath>
      <w:r>
        <w:t xml:space="preserve">. Weak convergence gives</w:t>
      </w:r>
    </w:p>
    <w:p>
      <w:pPr>
        <w:pStyle w:val="BodyText"/>
      </w:pPr>
      <m:oMathPara>
        <m:oMathParaPr>
          <m:jc m:val="center"/>
        </m:oMathParaPr>
        <m:oMath>
          <m:d>
            <m:dPr>
              <m:begChr m:val="|"/>
              <m:endChr m:val="|"/>
              <m:sepChr m:val=""/>
              <m:grow/>
            </m:dPr>
            <m:e>
              <m:r>
                <m:rPr>
                  <m:sty m:val="p"/>
                </m:rPr>
                <m:t>∫</m:t>
              </m:r>
              <m:sSub>
                <m:e>
                  <m:r>
                    <m:t>φ</m:t>
                  </m:r>
                </m:e>
                <m:sub>
                  <m:r>
                    <m:t>r</m:t>
                  </m:r>
                </m:sub>
              </m:sSub>
              <m:r>
                <m:t> </m:t>
              </m:r>
              <m:r>
                <m:t>d</m:t>
              </m:r>
              <m:r>
                <m:t>μ</m:t>
              </m:r>
            </m:e>
          </m:d>
          <m:r>
            <m:rPr>
              <m:sty m:val="p"/>
            </m:rPr>
            <m:t>=</m:t>
          </m:r>
          <m:limLow>
            <m:e>
              <m:r>
                <m:rPr>
                  <m:sty m:val="p"/>
                </m:rPr>
                <m:t>lim</m:t>
              </m:r>
            </m:e>
            <m:lim>
              <m:r>
                <m:t>λ</m:t>
              </m:r>
            </m:lim>
          </m:limLow>
          <m:d>
            <m:dPr>
              <m:begChr m:val="|"/>
              <m:endChr m:val="|"/>
              <m:sepChr m:val=""/>
              <m:grow/>
            </m:dPr>
            <m:e>
              <m:r>
                <m:rPr>
                  <m:sty m:val="p"/>
                </m:rPr>
                <m:t>∫</m:t>
              </m:r>
              <m:sSub>
                <m:e>
                  <m:r>
                    <m:t>φ</m:t>
                  </m:r>
                </m:e>
                <m:sub>
                  <m:r>
                    <m:t>r</m:t>
                  </m:r>
                </m:sub>
              </m:sSub>
              <m:r>
                <m:t> </m:t>
              </m:r>
              <m:r>
                <m:t>d</m:t>
              </m:r>
              <m:sSub>
                <m:e>
                  <m:r>
                    <m:t>μ</m:t>
                  </m:r>
                </m:e>
                <m:sub>
                  <m:r>
                    <m:t>λ</m:t>
                  </m:r>
                </m:sub>
              </m:sSub>
            </m:e>
          </m:d>
          <m:r>
            <m:rPr>
              <m:sty m:val="p"/>
            </m:rPr>
            <m:t>≤</m:t>
          </m:r>
          <m:limLow>
            <m:e>
              <m:r>
                <m:rPr>
                  <m:sty m:val="p"/>
                </m:rPr>
                <m:t>limsup</m:t>
              </m:r>
            </m:e>
            <m:lim>
              <m:r>
                <m:t>λ</m:t>
              </m:r>
            </m:lim>
          </m:limLow>
          <m:nary>
            <m:naryPr>
              <m:chr m:val="∫"/>
              <m:limLoc m:val="subSup"/>
              <m:subHide m:val="off"/>
              <m:supHide m:val="off"/>
            </m:naryPr>
            <m:sub>
              <m:r>
                <m:t>t</m:t>
              </m:r>
              <m:r>
                <m:rPr>
                  <m:sty m:val="p"/>
                </m:rPr>
                <m:t>−</m:t>
              </m:r>
              <m:r>
                <m:t>ε</m:t>
              </m:r>
            </m:sub>
            <m:sup>
              <m:r>
                <m:t>t</m:t>
              </m:r>
              <m:r>
                <m:rPr>
                  <m:sty m:val="p"/>
                </m:rPr>
                <m:t>+</m:t>
              </m:r>
              <m:r>
                <m:t>ε</m:t>
              </m:r>
            </m:sup>
            <m:e>
              <m:d>
                <m:dPr>
                  <m:begChr m:val="|"/>
                  <m:endChr m:val="|"/>
                  <m:sepChr m:val=""/>
                  <m:grow/>
                </m:dPr>
                <m:e>
                  <m:sSub>
                    <m:e>
                      <m:r>
                        <m:t>a</m:t>
                      </m:r>
                    </m:e>
                    <m:sub>
                      <m:r>
                        <m:t>λ</m:t>
                      </m:r>
                    </m:sub>
                  </m:sSub>
                  <m:d>
                    <m:dPr>
                      <m:begChr m:val="("/>
                      <m:endChr m:val=")"/>
                      <m:sepChr m:val=""/>
                      <m:grow/>
                    </m:dPr>
                    <m:e>
                      <m:r>
                        <m:t>u</m:t>
                      </m:r>
                    </m:e>
                  </m:d>
                </m:e>
              </m:d>
            </m:e>
          </m:nary>
          <m:r>
            <m:t> </m:t>
          </m:r>
          <m:r>
            <m:t>d</m:t>
          </m:r>
          <m:r>
            <m:t>u</m:t>
          </m:r>
          <m:r>
            <m:rPr>
              <m:sty m:val="p"/>
            </m:rPr>
            <m:t>≤</m:t>
          </m:r>
          <m:sSub>
            <m:e>
              <m:r>
                <m:t>κ</m:t>
              </m:r>
            </m:e>
            <m:sub>
              <m:r>
                <m:t>K</m:t>
              </m:r>
            </m:sub>
          </m:sSub>
          <m:d>
            <m:dPr>
              <m:begChr m:val="("/>
              <m:endChr m:val=")"/>
              <m:sepChr m:val=""/>
              <m:grow/>
            </m:dPr>
            <m:e>
              <m:r>
                <m:t>ε</m:t>
              </m:r>
            </m:e>
          </m:d>
          <m:r>
            <m:rPr>
              <m:sty m:val="p"/>
            </m:rPr>
            <m:t>.</m:t>
          </m:r>
        </m:oMath>
      </m:oMathPara>
    </w:p>
    <w:p>
      <w:pPr>
        <w:pStyle w:val="FirstParagraph"/>
      </w:pPr>
      <w:r>
        <w:t xml:space="preserve">Local finite variation and dominated convergence yield</w:t>
      </w:r>
      <w:r>
        <w:t xml:space="preserve"> </w:t>
      </w:r>
      <m:oMath>
        <m:r>
          <m:rPr>
            <m:sty m:val="p"/>
          </m:rPr>
          <m:t>∫</m:t>
        </m:r>
        <m:sSub>
          <m:e>
            <m:r>
              <m:t>φ</m:t>
            </m:r>
          </m:e>
          <m:sub>
            <m:r>
              <m:t>r</m:t>
            </m:r>
          </m:sub>
        </m:sSub>
        <m:r>
          <m:t>d</m:t>
        </m:r>
        <m:r>
          <m:t>μ</m:t>
        </m:r>
        <m:r>
          <m:rPr>
            <m:sty m:val="p"/>
          </m:rPr>
          <m:t>→</m:t>
        </m:r>
        <m:r>
          <m:t>μ</m:t>
        </m:r>
        <m:d>
          <m:dPr>
            <m:begChr m:val="("/>
            <m:endChr m:val=")"/>
            <m:sepChr m:val=""/>
            <m:grow/>
          </m:dPr>
          <m:e>
            <m:r>
              <m:rPr>
                <m:sty m:val="p"/>
              </m:rPr>
              <m:t>{</m:t>
            </m:r>
            <m:r>
              <m:t>t</m:t>
            </m:r>
            <m:r>
              <m:rPr>
                <m:sty m:val="p"/>
              </m:rPr>
              <m:t>}</m:t>
            </m:r>
          </m:e>
        </m:d>
      </m:oMath>
      <w:r>
        <w:t xml:space="preserve">. Hence</w:t>
      </w:r>
      <w:r>
        <w:t xml:space="preserve"> </w:t>
      </w:r>
      <m:oMath>
        <m:d>
          <m:dPr>
            <m:begChr m:val="|"/>
            <m:endChr m:val="|"/>
            <m:sepChr m:val=""/>
            <m:grow/>
          </m:dPr>
          <m:e>
            <m:r>
              <m:t>μ</m:t>
            </m:r>
            <m:d>
              <m:dPr>
                <m:begChr m:val="("/>
                <m:endChr m:val=")"/>
                <m:sepChr m:val=""/>
                <m:grow/>
              </m:dPr>
              <m:e>
                <m:r>
                  <m:rPr>
                    <m:sty m:val="p"/>
                  </m:rPr>
                  <m:t>{</m:t>
                </m:r>
                <m:r>
                  <m:t>t</m:t>
                </m:r>
                <m:r>
                  <m:rPr>
                    <m:sty m:val="p"/>
                  </m:rPr>
                  <m:t>}</m:t>
                </m:r>
              </m:e>
            </m:d>
          </m:e>
        </m:d>
        <m:r>
          <m:rPr>
            <m:sty m:val="p"/>
          </m:rPr>
          <m:t>≤</m:t>
        </m:r>
        <m:sSub>
          <m:e>
            <m:r>
              <m:t>κ</m:t>
            </m:r>
          </m:e>
          <m:sub>
            <m:r>
              <m:t>K</m:t>
            </m:r>
          </m:sub>
        </m:sSub>
        <m:d>
          <m:dPr>
            <m:begChr m:val="("/>
            <m:endChr m:val=")"/>
            <m:sepChr m:val=""/>
            <m:grow/>
          </m:dPr>
          <m:e>
            <m:r>
              <m:t>ε</m:t>
            </m:r>
          </m:e>
        </m:d>
      </m:oMath>
      <w:r>
        <w:t xml:space="preserve">. Let</w:t>
      </w:r>
      <w:r>
        <w:t xml:space="preserve"> </w:t>
      </w:r>
      <m:oMath>
        <m:r>
          <m:t>ε</m:t>
        </m:r>
        <m:r>
          <m:rPr>
            <m:sty m:val="p"/>
          </m:rPr>
          <m:t>↓</m:t>
        </m:r>
        <m:r>
          <m:t>0</m:t>
        </m:r>
      </m:oMath>
      <w:r>
        <w:t xml:space="preserve">.</w:t>
      </w:r>
      <w:r>
        <w:t xml:space="preserve"> </w:t>
      </w:r>
      <m:oMath>
        <m:r>
          <m:rPr>
            <m:sty m:val="p"/>
          </m:rPr>
          <m:t>▫</m:t>
        </m:r>
      </m:oMath>
    </w:p>
    <w:bookmarkEnd w:id="49"/>
    <w:bookmarkStart w:id="50" w:name="corollary-5.3-raw-origin-theorem"/>
    <w:p>
      <w:pPr>
        <w:pStyle w:val="Heading3"/>
      </w:pPr>
      <w:r>
        <w:t xml:space="preserve">Corollary 5.3 — Raw-origin theorem</w:t>
      </w:r>
    </w:p>
    <w:p>
      <w:pPr>
        <w:pStyle w:val="FirstParagraph"/>
      </w:pPr>
      <w:r>
        <w:t xml:space="preserve">If a limiting trace identity contains</w:t>
      </w:r>
      <w:r>
        <w:t xml:space="preserve"> </w:t>
      </w:r>
      <m:oMath>
        <m:sSub>
          <m:e>
            <m:r>
              <m:rPr>
                <m:sty m:val="p"/>
                <m:scr m:val="script"/>
              </m:rPr>
              <m:t>P</m:t>
            </m:r>
          </m:e>
          <m:sub>
            <m:r>
              <m:t>p</m:t>
            </m:r>
          </m:sub>
        </m:sSub>
      </m:oMath>
      <w:r>
        <w:t xml:space="preserve">, while its counterterm family satisfies atomic rigidity away from zero, then the prime atomic charge must originate in the raw trace channel.</w:t>
      </w:r>
    </w:p>
    <w:p>
      <w:pPr>
        <w:pStyle w:val="BodyText"/>
      </w:pPr>
      <w:r>
        <w:t xml:space="preserve">This is the bridge between the finite prime ledger and the infinite-dimensional operator fold: both must expose the same canonical atomic signature.</w:t>
      </w:r>
    </w:p>
    <w:bookmarkEnd w:id="50"/>
    <w:bookmarkEnd w:id="51"/>
    <w:bookmarkStart w:id="52" w:name="a-sufficient-regularity-certificate"/>
    <w:p>
      <w:pPr>
        <w:pStyle w:val="Heading2"/>
      </w:pPr>
      <w:r>
        <w:t xml:space="preserve">5.5 A sufficient regularity certificate</w:t>
      </w:r>
    </w:p>
    <w:p>
      <w:pPr>
        <w:pStyle w:val="FirstParagraph"/>
      </w:pPr>
      <w:r>
        <w:t xml:space="preserve">On a compact interval</w:t>
      </w:r>
      <w:r>
        <w:t xml:space="preserve"> </w:t>
      </w:r>
      <m:oMath>
        <m:r>
          <m:t>I</m:t>
        </m:r>
      </m:oMath>
      <w:r>
        <w:t xml:space="preserve">, a uniform</w:t>
      </w:r>
      <w:r>
        <w:t xml:space="preserve"> </w:t>
      </w:r>
      <m:oMath>
        <m:sSup>
          <m:e>
            <m:r>
              <m:t>W</m:t>
            </m:r>
          </m:e>
          <m:sup>
            <m:r>
              <m:t>1</m:t>
            </m:r>
            <m:r>
              <m:rPr>
                <m:sty m:val="p"/>
              </m:rPr>
              <m:t>,</m:t>
            </m:r>
            <m:r>
              <m:t>1</m:t>
            </m:r>
          </m:sup>
        </m:sSup>
        <m:d>
          <m:dPr>
            <m:begChr m:val="("/>
            <m:endChr m:val=")"/>
            <m:sepChr m:val=""/>
            <m:grow/>
          </m:dPr>
          <m:e>
            <m:r>
              <m:t>I</m:t>
            </m:r>
          </m:e>
        </m:d>
      </m:oMath>
      <w:r>
        <w:t xml:space="preserve"> </w:t>
      </w:r>
      <w:r>
        <w:t xml:space="preserve">bound supplies a linear concentration modulus. For an absolutely continuous representative,</w:t>
      </w:r>
    </w:p>
    <w:p>
      <w:pPr>
        <w:pStyle w:val="BodyText"/>
      </w:pPr>
      <m:oMathPara>
        <m:oMathParaPr>
          <m:jc m:val="center"/>
        </m:oMathParaPr>
        <m:oMath>
          <m:r>
            <m:rPr>
              <m:sty m:val="p"/>
            </m:rPr>
            <m:t>∥</m:t>
          </m:r>
          <m:r>
            <m:t>a</m:t>
          </m:r>
          <m:sSub>
            <m:e>
              <m:r>
                <m:rPr>
                  <m:sty m:val="p"/>
                </m:rPr>
                <m:t>∥</m:t>
              </m:r>
            </m:e>
            <m:sub>
              <m:r>
                <m:rPr>
                  <m:sty m:val="p"/>
                </m:rPr>
                <m:t>∞</m:t>
              </m:r>
            </m:sub>
          </m:sSub>
          <m:r>
            <m:rPr>
              <m:sty m:val="p"/>
            </m:rPr>
            <m:t>≤</m:t>
          </m:r>
          <m:sSup>
            <m:e>
              <m:d>
                <m:dPr>
                  <m:begChr m:val="|"/>
                  <m:endChr m:val="|"/>
                  <m:sepChr m:val=""/>
                  <m:grow/>
                </m:dPr>
                <m:e>
                  <m:r>
                    <m:t>I</m:t>
                  </m:r>
                </m:e>
              </m:d>
            </m:e>
            <m:sup>
              <m:r>
                <m:rPr>
                  <m:sty m:val="p"/>
                </m:rPr>
                <m:t>−</m:t>
              </m:r>
              <m:r>
                <m:t>1</m:t>
              </m:r>
            </m:sup>
          </m:sSup>
          <m:r>
            <m:rPr>
              <m:sty m:val="p"/>
            </m:rPr>
            <m:t>∥</m:t>
          </m:r>
          <m:r>
            <m:t>a</m:t>
          </m:r>
          <m:sSub>
            <m:e>
              <m:r>
                <m:rPr>
                  <m:sty m:val="p"/>
                </m:rPr>
                <m:t>∥</m:t>
              </m:r>
            </m:e>
            <m:sub>
              <m:r>
                <m:t>1</m:t>
              </m:r>
            </m:sub>
          </m:sSub>
          <m:r>
            <m:rPr>
              <m:sty m:val="p"/>
            </m:rPr>
            <m:t>+</m:t>
          </m:r>
          <m:r>
            <m:rPr>
              <m:sty m:val="p"/>
            </m:rPr>
            <m:t>∥</m:t>
          </m:r>
          <m:r>
            <m:t>a</m:t>
          </m:r>
          <m:r>
            <m:rPr>
              <m:sty m:val="p"/>
            </m:rPr>
            <m:t>′</m:t>
          </m:r>
          <m:sSub>
            <m:e>
              <m:r>
                <m:rPr>
                  <m:sty m:val="p"/>
                </m:rPr>
                <m:t>∥</m:t>
              </m:r>
            </m:e>
            <m:sub>
              <m:r>
                <m:t>1</m:t>
              </m:r>
            </m:sub>
          </m:sSub>
          <m:r>
            <m:rPr>
              <m:sty m:val="p"/>
            </m:rPr>
            <m:t>.</m:t>
          </m:r>
        </m:oMath>
      </m:oMathPara>
    </w:p>
    <w:p>
      <w:pPr>
        <w:pStyle w:val="FirstParagraph"/>
      </w:pPr>
      <w:r>
        <w:t xml:space="preserve">Therefore</w:t>
      </w:r>
    </w:p>
    <w:p>
      <w:pPr>
        <w:pStyle w:val="BodyText"/>
      </w:pPr>
      <m:oMathPara>
        <m:oMathParaPr>
          <m:jc m:val="center"/>
        </m:oMathParaPr>
        <m:oMath>
          <m:limLow>
            <m:e>
              <m:r>
                <m:rPr>
                  <m:sty m:val="p"/>
                </m:rPr>
                <m:t>sup</m:t>
              </m:r>
            </m:e>
            <m:lim>
              <m:r>
                <m:t>t</m:t>
              </m:r>
            </m:lim>
          </m:limLow>
          <m:nary>
            <m:naryPr>
              <m:chr m:val="∫"/>
              <m:limLoc m:val="subSup"/>
              <m:subHide m:val="off"/>
              <m:supHide m:val="off"/>
            </m:naryPr>
            <m:sub>
              <m:r>
                <m:t>t</m:t>
              </m:r>
              <m:r>
                <m:rPr>
                  <m:sty m:val="p"/>
                </m:rPr>
                <m:t>−</m:t>
              </m:r>
              <m:r>
                <m:t>ε</m:t>
              </m:r>
            </m:sub>
            <m:sup>
              <m:r>
                <m:t>t</m:t>
              </m:r>
              <m:r>
                <m:rPr>
                  <m:sty m:val="p"/>
                </m:rPr>
                <m:t>+</m:t>
              </m:r>
              <m:r>
                <m:t>ε</m:t>
              </m:r>
            </m:sup>
            <m:e>
              <m:d>
                <m:dPr>
                  <m:begChr m:val="|"/>
                  <m:endChr m:val="|"/>
                  <m:sepChr m:val=""/>
                  <m:grow/>
                </m:dPr>
                <m:e>
                  <m:r>
                    <m:t>a</m:t>
                  </m:r>
                  <m:d>
                    <m:dPr>
                      <m:begChr m:val="("/>
                      <m:endChr m:val=")"/>
                      <m:sepChr m:val=""/>
                      <m:grow/>
                    </m:dPr>
                    <m:e>
                      <m:r>
                        <m:t>u</m:t>
                      </m:r>
                    </m:e>
                  </m:d>
                </m:e>
              </m:d>
            </m:e>
          </m:nary>
          <m:r>
            <m:t>d</m:t>
          </m:r>
          <m:r>
            <m:t>u</m:t>
          </m:r>
          <m:r>
            <m:rPr>
              <m:sty m:val="p"/>
            </m:rPr>
            <m:t>≤</m:t>
          </m:r>
          <m:r>
            <m:t>2</m:t>
          </m:r>
          <m:r>
            <m:t>ε</m:t>
          </m:r>
          <m:d>
            <m:dPr>
              <m:begChr m:val="("/>
              <m:endChr m:val=")"/>
              <m:sepChr m:val=""/>
              <m:grow/>
            </m:dPr>
            <m:e>
              <m:sSup>
                <m:e>
                  <m:d>
                    <m:dPr>
                      <m:begChr m:val="|"/>
                      <m:endChr m:val="|"/>
                      <m:sepChr m:val=""/>
                      <m:grow/>
                    </m:dPr>
                    <m:e>
                      <m:r>
                        <m:t>I</m:t>
                      </m:r>
                    </m:e>
                  </m:d>
                </m:e>
                <m:sup>
                  <m:r>
                    <m:rPr>
                      <m:sty m:val="p"/>
                    </m:rPr>
                    <m:t>−</m:t>
                  </m:r>
                  <m:r>
                    <m:t>1</m:t>
                  </m:r>
                </m:sup>
              </m:sSup>
              <m:r>
                <m:rPr>
                  <m:sty m:val="p"/>
                </m:rPr>
                <m:t>∥</m:t>
              </m:r>
              <m:r>
                <m:t>a</m:t>
              </m:r>
              <m:sSub>
                <m:e>
                  <m:r>
                    <m:rPr>
                      <m:sty m:val="p"/>
                    </m:rPr>
                    <m:t>∥</m:t>
                  </m:r>
                </m:e>
                <m:sub>
                  <m:r>
                    <m:t>1</m:t>
                  </m:r>
                </m:sub>
              </m:sSub>
              <m:r>
                <m:rPr>
                  <m:sty m:val="p"/>
                </m:rPr>
                <m:t>+</m:t>
              </m:r>
              <m:r>
                <m:rPr>
                  <m:sty m:val="p"/>
                </m:rPr>
                <m:t>∥</m:t>
              </m:r>
              <m:r>
                <m:t>a</m:t>
              </m:r>
              <m:r>
                <m:rPr>
                  <m:sty m:val="p"/>
                </m:rPr>
                <m:t>′</m:t>
              </m:r>
              <m:sSub>
                <m:e>
                  <m:r>
                    <m:rPr>
                      <m:sty m:val="p"/>
                    </m:rPr>
                    <m:t>∥</m:t>
                  </m:r>
                </m:e>
                <m:sub>
                  <m:r>
                    <m:t>1</m:t>
                  </m:r>
                </m:sub>
              </m:sSub>
            </m:e>
          </m:d>
          <m:r>
            <m:rPr>
              <m:sty m:val="p"/>
            </m:rPr>
            <m:t>.</m:t>
          </m:r>
        </m:oMath>
      </m:oMathPara>
    </w:p>
    <w:p>
      <w:pPr>
        <w:pStyle w:val="FirstParagraph"/>
      </w:pPr>
      <w:r>
        <w:t xml:space="preserve">The checker uses the compact exhaustion</w:t>
      </w:r>
    </w:p>
    <w:p>
      <w:pPr>
        <w:pStyle w:val="BodyText"/>
      </w:pPr>
      <m:oMathPara>
        <m:oMathParaPr>
          <m:jc m:val="center"/>
        </m:oMathParaPr>
        <m:oMath>
          <m:sSub>
            <m:e>
              <m:r>
                <m:t>K</m:t>
              </m:r>
            </m:e>
            <m:sub>
              <m:r>
                <m:t>n</m:t>
              </m:r>
            </m:sub>
          </m:sSub>
          <m:r>
            <m:rPr>
              <m:sty m:val="p"/>
            </m:rPr>
            <m:t>=</m:t>
          </m:r>
          <m:d>
            <m:dPr>
              <m:begChr m:val="["/>
              <m:endChr m:val="]"/>
              <m:sepChr m:val=""/>
              <m:grow/>
            </m:dPr>
            <m:e>
              <m:r>
                <m:rPr>
                  <m:sty m:val="p"/>
                </m:rPr>
                <m:t>−</m:t>
              </m:r>
              <m:r>
                <m:t>n</m:t>
              </m:r>
              <m:r>
                <m:rPr>
                  <m:sty m:val="p"/>
                </m:rPr>
                <m:t>,</m:t>
              </m:r>
              <m:r>
                <m:rPr>
                  <m:sty m:val="p"/>
                </m:rPr>
                <m:t>−</m:t>
              </m:r>
              <m:r>
                <m:t>1</m:t>
              </m:r>
              <m:r>
                <m:rPr>
                  <m:sty m:val="p"/>
                </m:rPr>
                <m:t>/</m:t>
              </m:r>
              <m:r>
                <m:t>n</m:t>
              </m:r>
            </m:e>
          </m:d>
          <m:r>
            <m:rPr>
              <m:sty m:val="p"/>
            </m:rPr>
            <m:t>∪</m:t>
          </m:r>
          <m:d>
            <m:dPr>
              <m:begChr m:val="["/>
              <m:endChr m:val="]"/>
              <m:sepChr m:val=""/>
              <m:grow/>
            </m:dPr>
            <m:e>
              <m:r>
                <m:t>1</m:t>
              </m:r>
              <m:r>
                <m:rPr>
                  <m:sty m:val="p"/>
                </m:rPr>
                <m:t>/</m:t>
              </m:r>
              <m:r>
                <m:t>n</m:t>
              </m:r>
              <m:r>
                <m:rPr>
                  <m:sty m:val="p"/>
                </m:rPr>
                <m:t>,</m:t>
              </m:r>
              <m:r>
                <m:t>n</m:t>
              </m:r>
            </m:e>
          </m:d>
          <m:r>
            <m:rPr>
              <m:sty m:val="p"/>
            </m:rPr>
            <m:t>.</m:t>
          </m:r>
        </m:oMath>
      </m:oMathPara>
    </w:p>
    <w:p>
      <w:pPr>
        <w:pStyle w:val="FirstParagraph"/>
      </w:pPr>
      <w:r>
        <w:t xml:space="preserve">Passing finite sample records establishes only their internal consistency. The uniform analytic proof remains a separate certificate obligation.</w:t>
      </w:r>
    </w:p>
    <w:bookmarkEnd w:id="52"/>
    <w:bookmarkEnd w:id="53"/>
    <w:bookmarkStart w:id="57" w:name="consequences-for-the-arithmetic-program"/>
    <w:p>
      <w:pPr>
        <w:pStyle w:val="Heading1"/>
        <w:pBdr>
          <w:bottom w:val="single" w:sz="6" w:space="4" w:color="E8EEF5"/>
        </w:pBdr>
      </w:pPr>
      <w:r>
        <w:t xml:space="preserve">6. Consequences for the arithmetic program</w:t>
      </w:r>
    </w:p>
    <w:bookmarkStart w:id="54" w:name="phase-1-effective-rational-dictionary"/>
    <w:p>
      <w:pPr>
        <w:pStyle w:val="Heading2"/>
      </w:pPr>
      <w:r>
        <w:t xml:space="preserve">6.1 Phase 1 — Effective rational dictionary</w:t>
      </w:r>
    </w:p>
    <w:p>
      <w:pPr>
        <w:pStyle w:val="FirstParagraph"/>
      </w:pPr>
      <w:r>
        <w:t xml:space="preserve">Work in the logarithmic half-density variable</w:t>
      </w:r>
      <w:r>
        <w:t xml:space="preserve"> </w:t>
      </w:r>
      <m:oMath>
        <m:r>
          <m:t>u</m:t>
        </m:r>
        <m:r>
          <m:rPr>
            <m:sty m:val="p"/>
          </m:rPr>
          <m:t>=</m:t>
        </m:r>
        <m:r>
          <m:rPr>
            <m:sty m:val="p"/>
          </m:rPr>
          <m:t>log</m:t>
        </m:r>
        <m:r>
          <m:t>x</m:t>
        </m:r>
      </m:oMath>
      <w:r>
        <w:t xml:space="preserve">. The dictionary should enumerate rational compactly supported splines and their convolutions with rational translates and dilates of one fixed normalized mollifier in</w:t>
      </w:r>
      <w:r>
        <w:t xml:space="preserve"> </w:t>
      </w:r>
      <m:oMath>
        <m:sSubSup>
          <m:e>
            <m:r>
              <m:t>C</m:t>
            </m:r>
          </m:e>
          <m:sub>
            <m:r>
              <m:t>c</m:t>
            </m:r>
          </m:sub>
          <m:sup>
            <m:r>
              <m:rPr>
                <m:sty m:val="p"/>
              </m:rPr>
              <m:t>∞</m:t>
            </m:r>
          </m:sup>
        </m:sSubSup>
        <m:d>
          <m:dPr>
            <m:begChr m:val="("/>
            <m:endChr m:val=")"/>
            <m:sepChr m:val=""/>
            <m:grow/>
          </m:dPr>
          <m:e>
            <m:r>
              <m:rPr>
                <m:sty m:val="p"/>
                <m:scr m:val="double-struck"/>
              </m:rPr>
              <m:t>R</m:t>
            </m:r>
          </m:e>
        </m:d>
      </m:oMath>
      <w:r>
        <w:t xml:space="preserve">.</w:t>
      </w:r>
    </w:p>
    <w:p>
      <w:pPr>
        <w:pStyle w:val="BodyText"/>
      </w:pPr>
      <w:r>
        <w:t xml:space="preserve">Two certificates must be separated.</w:t>
      </w:r>
    </w:p>
    <w:p>
      <w:pPr>
        <w:pStyle w:val="BodyText"/>
      </w:pPr>
      <w:r>
        <w:rPr>
          <w:bCs/>
          <w:b/>
        </w:rPr>
        <w:t xml:space="preserve">DictionaryAtomCertificate.</w:t>
      </w:r>
      <w:r>
        <w:t xml:space="preserve"> </w:t>
      </w:r>
      <w:r>
        <w:t xml:space="preserve">Records the enumeration index, spline degree, rational knots and coefficients, mollifier identifier and scale, inset support, reflection partner, and explicit derivative bounds.</w:t>
      </w:r>
    </w:p>
    <w:p>
      <w:pPr>
        <w:pStyle w:val="BodyText"/>
      </w:pPr>
      <w:r>
        <w:rPr>
          <w:bCs/>
          <w:b/>
        </w:rPr>
        <w:t xml:space="preserve">ApproximationCertificate.</w:t>
      </w:r>
      <w:r>
        <w:t xml:space="preserve"> </w:t>
      </w:r>
      <w:r>
        <w:t xml:space="preserve">Begins only after a target</w:t>
      </w:r>
      <w:r>
        <w:t xml:space="preserve"> </w:t>
      </w:r>
      <m:oMath>
        <m:r>
          <m:t>f</m:t>
        </m:r>
      </m:oMath>
      <w:r>
        <w:t xml:space="preserve">, support stage</w:t>
      </w:r>
      <w:r>
        <w:t xml:space="preserve"> </w:t>
      </w:r>
      <m:oMath>
        <m:r>
          <m:t>m</m:t>
        </m:r>
      </m:oMath>
      <w:r>
        <w:t xml:space="preserve">, derivative order</w:t>
      </w:r>
      <w:r>
        <w:t xml:space="preserve"> </w:t>
      </w:r>
      <m:oMath>
        <m:r>
          <m:t>k</m:t>
        </m:r>
      </m:oMath>
      <w:r>
        <w:t xml:space="preserve">, and requested error</w:t>
      </w:r>
      <w:r>
        <w:t xml:space="preserve"> </w:t>
      </w:r>
      <m:oMath>
        <m:r>
          <m:t>η</m:t>
        </m:r>
      </m:oMath>
      <w:r>
        <w:t xml:space="preserve"> </w:t>
      </w:r>
      <w:r>
        <w:t xml:space="preserve">are declared. It records a finite atom combination and separate boundary, spline, rationalization, and mollification errors.</w:t>
      </w:r>
    </w:p>
    <w:p>
      <w:pPr>
        <w:pStyle w:val="BodyText"/>
      </w:pPr>
      <w:r>
        <w:t xml:space="preserve">An executable density theorem requires one explicit quasi-interpolant and computable constants. A notebook can verify instances; it does not prove LF density merely by plotting convergence. Fair enumeration should order parameter tuples by bounded total height so that support stage, degree, mesh, mollification scale, derivative order, and coefficient height all advance.</w:t>
      </w:r>
    </w:p>
    <w:bookmarkEnd w:id="54"/>
    <w:bookmarkStart w:id="55" w:name="phase-2-interval-weil-gram-engine"/>
    <w:p>
      <w:pPr>
        <w:pStyle w:val="Heading2"/>
      </w:pPr>
      <w:r>
        <w:t xml:space="preserve">6.2 Phase 2 — Interval Weil Gram engine</w:t>
      </w:r>
    </w:p>
    <w:p>
      <w:pPr>
        <w:pStyle w:val="FirstParagraph"/>
      </w:pPr>
      <w:r>
        <w:t xml:space="preserve">For logarithmic supports</w:t>
      </w:r>
      <w:r>
        <w:t xml:space="preserve"> </w:t>
      </w:r>
      <m:oMath>
        <m:d>
          <m:dPr>
            <m:begChr m:val="["/>
            <m:endChr m:val="]"/>
            <m:sepChr m:val=""/>
            <m:grow/>
          </m:dPr>
          <m:e>
            <m:sSub>
              <m:e>
                <m:r>
                  <m:t>a</m:t>
                </m:r>
              </m:e>
              <m:sub>
                <m:r>
                  <m:t>j</m:t>
                </m:r>
              </m:sub>
            </m:sSub>
            <m:r>
              <m:rPr>
                <m:sty m:val="p"/>
              </m:rPr>
              <m:t>,</m:t>
            </m:r>
            <m:sSub>
              <m:e>
                <m:r>
                  <m:t>b</m:t>
                </m:r>
              </m:e>
              <m:sub>
                <m:r>
                  <m:t>j</m:t>
                </m:r>
              </m:sub>
            </m:sSub>
          </m:e>
        </m:d>
      </m:oMath>
      <w:r>
        <w:t xml:space="preserve"> </w:t>
      </w:r>
      <w:r>
        <w:t xml:space="preserve">and</w:t>
      </w:r>
      <w:r>
        <w:t xml:space="preserve"> </w:t>
      </w:r>
      <m:oMath>
        <m:d>
          <m:dPr>
            <m:begChr m:val="["/>
            <m:endChr m:val="]"/>
            <m:sepChr m:val=""/>
            <m:grow/>
          </m:dPr>
          <m:e>
            <m:sSub>
              <m:e>
                <m:r>
                  <m:t>a</m:t>
                </m:r>
              </m:e>
              <m:sub>
                <m:r>
                  <m:t>i</m:t>
                </m:r>
              </m:sub>
            </m:sSub>
            <m:r>
              <m:rPr>
                <m:sty m:val="p"/>
              </m:rPr>
              <m:t>,</m:t>
            </m:r>
            <m:sSub>
              <m:e>
                <m:r>
                  <m:t>b</m:t>
                </m:r>
              </m:e>
              <m:sub>
                <m:r>
                  <m:t>i</m:t>
                </m:r>
              </m:sub>
            </m:sSub>
          </m:e>
        </m:d>
      </m:oMath>
      <w:r>
        <w:t xml:space="preserve">, the convolution with reflected conjugate has certified outer support</w:t>
      </w:r>
    </w:p>
    <w:p>
      <w:pPr>
        <w:pStyle w:val="BodyText"/>
      </w:pPr>
      <m:oMathPara>
        <m:oMathParaPr>
          <m:jc m:val="center"/>
        </m:oMathParaPr>
        <m:oMath>
          <m:r>
            <m:rPr>
              <m:sty m:val="p"/>
            </m:rPr>
            <m:t>supp</m:t>
          </m:r>
          <m:d>
            <m:dPr>
              <m:begChr m:val="("/>
              <m:endChr m:val=")"/>
              <m:sepChr m:val=""/>
              <m:grow/>
            </m:dPr>
            <m:e>
              <m:sSub>
                <m:e>
                  <m:r>
                    <m:t>ϕ</m:t>
                  </m:r>
                </m:e>
                <m:sub>
                  <m:r>
                    <m:t>j</m:t>
                  </m:r>
                </m:sub>
              </m:sSub>
              <m:r>
                <m:rPr>
                  <m:sty m:val="p"/>
                </m:rPr>
                <m:t>*</m:t>
              </m:r>
              <m:sSubSup>
                <m:e>
                  <m:r>
                    <m:t>ϕ</m:t>
                  </m:r>
                </m:e>
                <m:sub>
                  <m:r>
                    <m:t>i</m:t>
                  </m:r>
                </m:sub>
                <m:sup>
                  <m:r>
                    <m:rPr>
                      <m:sty m:val="p"/>
                    </m:rPr>
                    <m:t>*</m:t>
                  </m:r>
                </m:sup>
              </m:sSubSup>
            </m:e>
          </m:d>
          <m:r>
            <m:rPr>
              <m:sty m:val="p"/>
            </m:rPr>
            <m:t>⊆</m:t>
          </m:r>
          <m:d>
            <m:dPr>
              <m:begChr m:val="["/>
              <m:endChr m:val="]"/>
              <m:sepChr m:val=""/>
              <m:grow/>
            </m:dPr>
            <m:e>
              <m:sSub>
                <m:e>
                  <m:r>
                    <m:t>a</m:t>
                  </m:r>
                </m:e>
                <m:sub>
                  <m:r>
                    <m:t>j</m:t>
                  </m:r>
                </m:sub>
              </m:sSub>
              <m:r>
                <m:rPr>
                  <m:sty m:val="p"/>
                </m:rPr>
                <m:t>−</m:t>
              </m:r>
              <m:sSub>
                <m:e>
                  <m:r>
                    <m:t>b</m:t>
                  </m:r>
                </m:e>
                <m:sub>
                  <m:r>
                    <m:t>i</m:t>
                  </m:r>
                </m:sub>
              </m:sSub>
              <m:r>
                <m:rPr>
                  <m:sty m:val="p"/>
                </m:rPr>
                <m:t>,</m:t>
              </m:r>
              <m:sSub>
                <m:e>
                  <m:r>
                    <m:t>b</m:t>
                  </m:r>
                </m:e>
                <m:sub>
                  <m:r>
                    <m:t>j</m:t>
                  </m:r>
                </m:sub>
              </m:sSub>
              <m:r>
                <m:rPr>
                  <m:sty m:val="p"/>
                </m:rPr>
                <m:t>−</m:t>
              </m:r>
              <m:sSub>
                <m:e>
                  <m:r>
                    <m:t>a</m:t>
                  </m:r>
                </m:e>
                <m:sub>
                  <m:r>
                    <m:t>i</m:t>
                  </m:r>
                </m:sub>
              </m:sSub>
            </m:e>
          </m:d>
          <m:r>
            <m:rPr>
              <m:sty m:val="p"/>
            </m:rPr>
            <m:t>.</m:t>
          </m:r>
        </m:oMath>
      </m:oMathPara>
    </w:p>
    <w:p>
      <w:pPr>
        <w:pStyle w:val="FirstParagraph"/>
      </w:pPr>
      <w:r>
        <w:t xml:space="preserve">This is an</w:t>
      </w:r>
      <w:r>
        <w:t xml:space="preserve"> </w:t>
      </w:r>
      <w:r>
        <w:rPr>
          <w:bCs/>
          <w:b/>
        </w:rPr>
        <w:t xml:space="preserve">outer support</w:t>
      </w:r>
      <w:r>
        <w:t xml:space="preserve">, sufficient for the arithmetic cutoff. It is not automatically sharp; sharpness requires endpoint-cancellation analysis or a Titchmarsh-type certificate.</w:t>
      </w:r>
    </w:p>
    <w:p>
      <w:pPr>
        <w:pStyle w:val="BodyText"/>
      </w:pPr>
      <w:r>
        <w:t xml:space="preserve">For exact rational outer radius</w:t>
      </w:r>
      <w:r>
        <w:t xml:space="preserve"> </w:t>
      </w:r>
      <m:oMath>
        <m:r>
          <m:t>L</m:t>
        </m:r>
      </m:oMath>
      <w:r>
        <w:t xml:space="preserve">, an enclosure of</w:t>
      </w:r>
      <w:r>
        <w:t xml:space="preserve"> </w:t>
      </w:r>
      <m:oMath>
        <m:sSup>
          <m:e>
            <m:r>
              <m:t>e</m:t>
            </m:r>
          </m:e>
          <m:sup>
            <m:r>
              <m:t>L</m:t>
            </m:r>
          </m:sup>
        </m:sSup>
      </m:oMath>
      <w:r>
        <w:t xml:space="preserve"> </w:t>
      </w:r>
      <w:r>
        <w:t xml:space="preserve">must be refined until its floor is isolated. Prime powers are then enumerated by a complete integer sieve and exact integer multiplication, with primality and completeness transcripts. Arithmetic, pole, removable-origin, compact archimedean, and analytic-tail contributions are enclosed separately. Entries</w:t>
      </w:r>
      <w:r>
        <w:t xml:space="preserve"> </w:t>
      </w:r>
      <m:oMath>
        <m:d>
          <m:dPr>
            <m:begChr m:val="("/>
            <m:endChr m:val=")"/>
            <m:sepChr m:val=""/>
            <m:grow/>
          </m:dPr>
          <m:e>
            <m:r>
              <m:t>i</m:t>
            </m:r>
            <m:r>
              <m:rPr>
                <m:sty m:val="p"/>
              </m:rPr>
              <m:t>,</m:t>
            </m:r>
            <m:r>
              <m:t>j</m:t>
            </m:r>
          </m:e>
        </m:d>
      </m:oMath>
      <w:r>
        <w:t xml:space="preserve"> </w:t>
      </w:r>
      <w:r>
        <w:t xml:space="preserve">and</w:t>
      </w:r>
      <w:r>
        <w:t xml:space="preserve"> </w:t>
      </w:r>
      <m:oMath>
        <m:d>
          <m:dPr>
            <m:begChr m:val="("/>
            <m:endChr m:val=")"/>
            <m:sepChr m:val=""/>
            <m:grow/>
          </m:dPr>
          <m:e>
            <m:r>
              <m:t>j</m:t>
            </m:r>
            <m:r>
              <m:rPr>
                <m:sty m:val="p"/>
              </m:rPr>
              <m:t>,</m:t>
            </m:r>
            <m:r>
              <m:t>i</m:t>
            </m:r>
          </m:e>
        </m:d>
      </m:oMath>
      <w:r>
        <w:t xml:space="preserve"> </w:t>
      </w:r>
      <w:r>
        <w:t xml:space="preserve">are computed independently and intersected after conjugation. Empty intersection is a contradiction, never an invitation to average.</w:t>
      </w:r>
    </w:p>
    <w:p>
      <w:pPr>
        <w:pStyle w:val="BodyText"/>
      </w:pPr>
      <w:r>
        <w:t xml:space="preserve">At singular Gram stages, the preferred certificate is an exact function relation</w:t>
      </w:r>
    </w:p>
    <w:p>
      <w:pPr>
        <w:pStyle w:val="BodyText"/>
      </w:pPr>
      <m:oMathPara>
        <m:oMathParaPr>
          <m:jc m:val="center"/>
        </m:oMathParaPr>
        <m:oMath>
          <m:nary>
            <m:naryPr>
              <m:chr m:val="∑"/>
              <m:limLoc m:val="undOvr"/>
              <m:subHide m:val="off"/>
              <m:supHide m:val="on"/>
            </m:naryPr>
            <m:sub>
              <m:r>
                <m:t>j</m:t>
              </m:r>
            </m:sub>
            <m:sup>
              <m:r>
                <m:t>​</m:t>
              </m:r>
            </m:sup>
            <m:e>
              <m:sSub>
                <m:e>
                  <m:r>
                    <m:t>Z</m:t>
                  </m:r>
                </m:e>
                <m:sub>
                  <m:r>
                    <m:t>j</m:t>
                  </m:r>
                  <m:r>
                    <m:t>α</m:t>
                  </m:r>
                </m:sub>
              </m:sSub>
            </m:e>
          </m:nary>
          <m:sSub>
            <m:e>
              <m:r>
                <m:t>ϕ</m:t>
              </m:r>
            </m:e>
            <m:sub>
              <m:r>
                <m:t>j</m:t>
              </m:r>
            </m:sub>
          </m:sSub>
          <m:r>
            <m:rPr>
              <m:sty m:val="p"/>
            </m:rPr>
            <m:t>=</m:t>
          </m:r>
          <m:r>
            <m:t>0</m:t>
          </m:r>
          <m:r>
            <m:rPr>
              <m:sty m:val="p"/>
            </m:rPr>
            <m:t>.</m:t>
          </m:r>
        </m:oMath>
      </m:oMathPara>
    </w:p>
    <w:p>
      <w:pPr>
        <w:pStyle w:val="FirstParagraph"/>
      </w:pPr>
      <w:r>
        <w:t xml:space="preserve">Sesquilinearity then proves</w:t>
      </w:r>
      <w:r>
        <w:t xml:space="preserve"> </w:t>
      </w:r>
      <m:oMath>
        <m:sSub>
          <m:e>
            <m:r>
              <m:t>G</m:t>
            </m:r>
          </m:e>
          <m:sub>
            <m:r>
              <m:t>N</m:t>
            </m:r>
          </m:sub>
        </m:sSub>
        <m:r>
          <m:t>Z</m:t>
        </m:r>
        <m:r>
          <m:rPr>
            <m:sty m:val="p"/>
          </m:rPr>
          <m:t>=</m:t>
        </m:r>
        <m:r>
          <m:t>0</m:t>
        </m:r>
      </m:oMath>
      <w:r>
        <w:t xml:space="preserve"> </w:t>
      </w:r>
      <w:r>
        <w:t xml:space="preserve">and</w:t>
      </w:r>
      <w:r>
        <w:t xml:space="preserve"> </w:t>
      </w:r>
      <m:oMath>
        <m:sSup>
          <m:e>
            <m:r>
              <m:t>Z</m:t>
            </m:r>
          </m:e>
          <m:sup>
            <m:r>
              <m:rPr>
                <m:sty m:val="p"/>
              </m:rPr>
              <m:t>*</m:t>
            </m:r>
          </m:sup>
        </m:sSup>
        <m:sSub>
          <m:e>
            <m:r>
              <m:t>b</m:t>
            </m:r>
          </m:e>
          <m:sub>
            <m:r>
              <m:t>N</m:t>
            </m:r>
          </m:sub>
        </m:sSub>
        <m:r>
          <m:rPr>
            <m:sty m:val="p"/>
          </m:rPr>
          <m:t>=</m:t>
        </m:r>
        <m:r>
          <m:t>0</m:t>
        </m:r>
      </m:oMath>
      <w:r>
        <w:t xml:space="preserve">. A rational complement</w:t>
      </w:r>
      <w:r>
        <w:t xml:space="preserve"> </w:t>
      </w:r>
      <m:oMath>
        <m:r>
          <m:t>U</m:t>
        </m:r>
      </m:oMath>
      <w:r>
        <w:t xml:space="preserve">, invertibility of</w:t>
      </w:r>
      <w:r>
        <w:t xml:space="preserve"> </w:t>
      </w:r>
      <m:oMath>
        <m:d>
          <m:dPr>
            <m:begChr m:val="["/>
            <m:endChr m:val="]"/>
            <m:sepChr m:val=""/>
            <m:grow/>
          </m:dPr>
          <m:e>
            <m:r>
              <m:t>U</m:t>
            </m:r>
            <m:r>
              <m:t> </m:t>
            </m:r>
            <m:r>
              <m:t>Z</m:t>
            </m:r>
          </m:e>
        </m:d>
      </m:oMath>
      <w:r>
        <w:t xml:space="preserve">, and positivity of</w:t>
      </w:r>
      <w:r>
        <w:t xml:space="preserve"> </w:t>
      </w:r>
      <m:oMath>
        <m:sSup>
          <m:e>
            <m:r>
              <m:t>U</m:t>
            </m:r>
          </m:e>
          <m:sup>
            <m:r>
              <m:rPr>
                <m:sty m:val="p"/>
              </m:rPr>
              <m:t>*</m:t>
            </m:r>
          </m:sup>
        </m:sSup>
        <m:sSub>
          <m:e>
            <m:r>
              <m:t>G</m:t>
            </m:r>
          </m:e>
          <m:sub>
            <m:r>
              <m:t>N</m:t>
            </m:r>
          </m:sub>
        </m:sSub>
        <m:r>
          <m:t>U</m:t>
        </m:r>
      </m:oMath>
      <w:r>
        <w:t xml:space="preserve"> </w:t>
      </w:r>
      <w:r>
        <w:t xml:space="preserve">replace a floating pseudoinverse. Zero tables remain outside the primary arithmetic calculation and belong only to a separate spectral audit.</w:t>
      </w:r>
    </w:p>
    <w:bookmarkEnd w:id="55"/>
    <w:bookmarkStart w:id="56" w:name="phase-3-infinite-dimensional-fold"/>
    <w:p>
      <w:pPr>
        <w:pStyle w:val="Heading2"/>
      </w:pPr>
      <w:r>
        <w:t xml:space="preserve">6.3 Phase 3 — Infinite-dimensional fold</w:t>
      </w:r>
    </w:p>
    <w:p>
      <w:pPr>
        <w:pStyle w:val="FirstParagraph"/>
      </w:pPr>
      <w:r>
        <w:t xml:space="preserve">An admissible operator proposal must provide:</w:t>
      </w:r>
    </w:p>
    <w:p>
      <w:pPr>
        <w:numPr>
          <w:ilvl w:val="0"/>
          <w:numId w:val="1005"/>
        </w:numPr>
        <w:pStyle w:val="Compact"/>
      </w:pPr>
      <w:r>
        <w:t xml:space="preserve">a separable Hilbert space and explicitly typed local prime objects;</w:t>
      </w:r>
    </w:p>
    <w:p>
      <w:pPr>
        <w:numPr>
          <w:ilvl w:val="0"/>
          <w:numId w:val="1005"/>
        </w:numPr>
        <w:pStyle w:val="Compact"/>
      </w:pPr>
      <w:r>
        <w:t xml:space="preserve">self-adjointness or a certified self-adjoint realization;</w:t>
      </w:r>
    </w:p>
    <w:p>
      <w:pPr>
        <w:numPr>
          <w:ilvl w:val="0"/>
          <w:numId w:val="1005"/>
        </w:numPr>
        <w:pStyle w:val="Compact"/>
      </w:pPr>
      <w:r>
        <w:t xml:space="preserve">intertwiners between finite-place stages;</w:t>
      </w:r>
    </w:p>
    <w:p>
      <w:pPr>
        <w:numPr>
          <w:ilvl w:val="0"/>
          <w:numId w:val="1005"/>
        </w:numPr>
        <w:pStyle w:val="Compact"/>
      </w:pPr>
      <w:r>
        <w:t xml:space="preserve">relative resolvent differences in the trace class;</w:t>
      </w:r>
    </w:p>
    <w:p>
      <w:pPr>
        <w:numPr>
          <w:ilvl w:val="0"/>
          <w:numId w:val="1005"/>
        </w:numPr>
        <w:pStyle w:val="Compact"/>
      </w:pPr>
      <w:r>
        <w:t xml:space="preserve">exact distributional prime increments, not only finite-battery agreement;</w:t>
      </w:r>
    </w:p>
    <w:p>
      <w:pPr>
        <w:numPr>
          <w:ilvl w:val="0"/>
          <w:numId w:val="1005"/>
        </w:numPr>
        <w:pStyle w:val="Compact"/>
      </w:pPr>
      <w:r>
        <w:t xml:space="preserve">origin-jet or controlled absolutely continuous counterterms;</w:t>
      </w:r>
    </w:p>
    <w:p>
      <w:pPr>
        <w:numPr>
          <w:ilvl w:val="0"/>
          <w:numId w:val="1005"/>
        </w:numPr>
        <w:pStyle w:val="Compact"/>
      </w:pPr>
      <w:r>
        <w:t xml:space="preserve">prime-order holonomy control;</w:t>
      </w:r>
    </w:p>
    <w:p>
      <w:pPr>
        <w:numPr>
          <w:ilvl w:val="0"/>
          <w:numId w:val="1005"/>
        </w:numPr>
        <w:pStyle w:val="Compact"/>
      </w:pPr>
      <w:r>
        <w:t xml:space="preserve">atomic-rigidity moduli for counterterm nets;</w:t>
      </w:r>
    </w:p>
    <w:p>
      <w:pPr>
        <w:numPr>
          <w:ilvl w:val="0"/>
          <w:numId w:val="1005"/>
        </w:numPr>
        <w:pStyle w:val="Compact"/>
      </w:pPr>
      <w:r>
        <w:t xml:space="preserve">a joint Cauchy modulus for place and cutoff limits;</w:t>
      </w:r>
    </w:p>
    <w:p>
      <w:pPr>
        <w:numPr>
          <w:ilvl w:val="0"/>
          <w:numId w:val="1005"/>
        </w:numPr>
        <w:pStyle w:val="Compact"/>
      </w:pPr>
      <w:r>
        <w:t xml:space="preserve">a determinant normalization compatible with the limiting trace identity.</w:t>
      </w:r>
    </w:p>
    <w:p>
      <w:pPr>
        <w:pStyle w:val="FirstParagraph"/>
      </w:pPr>
      <w:r>
        <w:t xml:space="preserve">Passing a finite battery can refute a distributional identity but cannot prove equality on</w:t>
      </w:r>
      <w:r>
        <w:t xml:space="preserve"> </w:t>
      </w:r>
      <m:oMath>
        <m:sSubSup>
          <m:e>
            <m:r>
              <m:t>C</m:t>
            </m:r>
          </m:e>
          <m:sub>
            <m:r>
              <m:t>c</m:t>
            </m:r>
          </m:sub>
          <m:sup>
            <m:r>
              <m:rPr>
                <m:sty m:val="p"/>
              </m:rPr>
              <m:t>∞</m:t>
            </m:r>
          </m:sup>
        </m:sSubSup>
        <m:d>
          <m:dPr>
            <m:begChr m:val="("/>
            <m:endChr m:val=")"/>
            <m:sepChr m:val=""/>
            <m:grow/>
          </m:dPr>
          <m:e>
            <m:r>
              <m:rPr>
                <m:sty m:val="p"/>
                <m:scr m:val="double-struck"/>
              </m:rPr>
              <m:t>R</m:t>
            </m:r>
          </m:e>
        </m:d>
      </m:oMath>
      <w:r>
        <w:t xml:space="preserve">. It receives the state</w:t>
      </w:r>
      <w:r>
        <w:t xml:space="preserve"> </w:t>
      </w:r>
      <w:r>
        <w:rPr>
          <w:bCs/>
          <w:b/>
        </w:rPr>
        <w:t xml:space="preserve">strongly supported</w:t>
      </w:r>
      <w:r>
        <w:t xml:space="preserve">, never</w:t>
      </w:r>
      <w:r>
        <w:t xml:space="preserve"> </w:t>
      </w:r>
      <w:r>
        <w:rPr>
          <w:bCs/>
          <w:b/>
        </w:rPr>
        <w:t xml:space="preserve">proven</w:t>
      </w:r>
      <w:r>
        <w:t xml:space="preserve">.</w:t>
      </w:r>
    </w:p>
    <w:p>
      <w:pPr>
        <w:pStyle w:val="BodyText"/>
      </w:pPr>
      <w:r>
        <w:t xml:space="preserve">Recent spectral constructions based on scaling operators, rank-one perturbations, and truncated Weil forms are important neighboring programs. Their reported numerical precision does not settle the convergence required here; the relevant preprints explicitly leave that convergence open. The audit court therefore treats them as hypothesis-generating benchmarks, not operator certificates.</w:t>
      </w:r>
    </w:p>
    <w:bookmarkEnd w:id="56"/>
    <w:bookmarkEnd w:id="57"/>
    <w:bookmarkStart w:id="65" w:name="catalogue-wide-mathematical-corrections"/>
    <w:p>
      <w:pPr>
        <w:pStyle w:val="Heading1"/>
        <w:pBdr>
          <w:bottom w:val="single" w:sz="6" w:space="4" w:color="E8EEF5"/>
        </w:pBdr>
      </w:pPr>
      <w:r>
        <w:t xml:space="preserve">7. Catalogue-wide mathematical corrections</w:t>
      </w:r>
    </w:p>
    <w:p>
      <w:pPr>
        <w:pStyle w:val="FirstParagraph"/>
      </w:pPr>
      <w:r>
        <w:t xml:space="preserve">The following repairs preserve the strongest parts of the framework while removing category leakage.</w:t>
      </w:r>
    </w:p>
    <w:bookmarkStart w:id="58" w:name="cohomology-requires-coefficients"/>
    <w:p>
      <w:pPr>
        <w:pStyle w:val="Heading2"/>
      </w:pPr>
      <w:r>
        <w:t xml:space="preserve">7.1 Cohomology requires coefficients</w:t>
      </w:r>
    </w:p>
    <w:p>
      <w:pPr>
        <w:pStyle w:val="FirstParagraph"/>
      </w:pPr>
      <w:r>
        <w:t xml:space="preserve">A distance-valued triangle defect is not by itself cohomology. A legitimate cohomology claim must specify a coefficient group or sheaf, cochains, a coboundary, and the equivalence relation on cocycles. If the data are genuinely nonabelian, an alleged second Čech cohomology class needs a typed crossed module, central extension, gerbe, or higher-categorical replacement. Otherwise the honest object is a defect two-category with explicit path witnesses.</w:t>
      </w:r>
    </w:p>
    <w:bookmarkEnd w:id="58"/>
    <w:bookmarkStart w:id="59" w:name="Xb9e1d57f4adc464e8e6727bcb5522d5888bbfba"/>
    <w:p>
      <w:pPr>
        <w:pStyle w:val="Heading2"/>
      </w:pPr>
      <w:r>
        <w:t xml:space="preserve">7.2 Trace bounds require the correct direction</w:t>
      </w:r>
    </w:p>
    <w:p>
      <w:pPr>
        <w:pStyle w:val="FirstParagraph"/>
      </w:pPr>
      <w:r>
        <w:t xml:space="preserve">Operator norm bounds provide upper estimates:</w:t>
      </w:r>
    </w:p>
    <w:p>
      <w:pPr>
        <w:pStyle w:val="BodyText"/>
      </w:pPr>
      <m:oMathPara>
        <m:oMathParaPr>
          <m:jc m:val="center"/>
        </m:oMathParaPr>
        <m:oMath>
          <m:r>
            <m:rPr>
              <m:sty m:val="p"/>
            </m:rPr>
            <m:t>∥</m:t>
          </m:r>
          <m:r>
            <m:t>T</m:t>
          </m:r>
          <m:r>
            <m:t>x</m:t>
          </m:r>
          <m:r>
            <m:rPr>
              <m:sty m:val="p"/>
            </m:rPr>
            <m:t>∥</m:t>
          </m:r>
          <m:r>
            <m:rPr>
              <m:sty m:val="p"/>
            </m:rPr>
            <m:t>≤</m:t>
          </m:r>
          <m:r>
            <m:rPr>
              <m:sty m:val="p"/>
            </m:rPr>
            <m:t>∥</m:t>
          </m:r>
          <m:r>
            <m:t>T</m:t>
          </m:r>
          <m:r>
            <m:rPr>
              <m:sty m:val="p"/>
            </m:rPr>
            <m:t>∥</m:t>
          </m:r>
          <m:r>
            <m:t> </m:t>
          </m:r>
          <m:r>
            <m:rPr>
              <m:sty m:val="p"/>
            </m:rPr>
            <m:t>∥</m:t>
          </m:r>
          <m:r>
            <m:t>x</m:t>
          </m:r>
          <m:r>
            <m:rPr>
              <m:sty m:val="p"/>
            </m:rPr>
            <m:t>∥</m:t>
          </m:r>
          <m:r>
            <m:rPr>
              <m:sty m:val="p"/>
            </m:rPr>
            <m:t>.</m:t>
          </m:r>
        </m:oMath>
      </m:oMathPara>
    </w:p>
    <w:p>
      <w:pPr>
        <w:pStyle w:val="FirstParagraph"/>
      </w:pPr>
      <w:r>
        <w:t xml:space="preserve">A lower bound requires injectivity and a positive minimum singular value on a declared subspace. Any</w:t>
      </w:r>
      <w:r>
        <w:t xml:space="preserve"> </w:t>
      </w:r>
      <w:r>
        <w:t xml:space="preserve">“</w:t>
      </w:r>
      <w:r>
        <w:t xml:space="preserve">trace extension lower bound</w:t>
      </w:r>
      <w:r>
        <w:t xml:space="preserve">”</w:t>
      </w:r>
      <w:r>
        <w:t xml:space="preserve"> </w:t>
      </w:r>
      <w:r>
        <w:t xml:space="preserve">inferred solely from an operator norm is invalid.</w:t>
      </w:r>
    </w:p>
    <w:bookmarkEnd w:id="59"/>
    <w:bookmarkStart w:id="60" w:name="X30cced4be2f535c3009bffd20d9ec422562e85d"/>
    <w:p>
      <w:pPr>
        <w:pStyle w:val="Heading2"/>
      </w:pPr>
      <w:r>
        <w:t xml:space="preserve">7.3 Local nondegeneracy is not global recovery</w:t>
      </w:r>
    </w:p>
    <w:p>
      <w:pPr>
        <w:pStyle w:val="FirstParagraph"/>
      </w:pPr>
      <w:r>
        <w:t xml:space="preserve">A nonzero Jacobian determinant proves local invertibility under the inverse function theorem. It does not prove global injectivity, properness, or boundary completeness. A global-recovery certificate must separately control fibers and escape to infinity. The audit engine implements this as a dedicated gate.</w:t>
      </w:r>
    </w:p>
    <w:bookmarkEnd w:id="60"/>
    <w:bookmarkStart w:id="61" w:name="boundary-sufficiency-is-vector-valued"/>
    <w:p>
      <w:pPr>
        <w:pStyle w:val="Heading2"/>
      </w:pPr>
      <w:r>
        <w:t xml:space="preserve">7.4 Boundary sufficiency is vector-valued</w:t>
      </w:r>
    </w:p>
    <w:p>
      <w:pPr>
        <w:pStyle w:val="FirstParagraph"/>
      </w:pPr>
      <w:r>
        <w:t xml:space="preserve">A single scalar can hide a large exterior residual. Retain at least the ordered pair</w:t>
      </w:r>
    </w:p>
    <w:p>
      <w:pPr>
        <w:pStyle w:val="BodyText"/>
      </w:pPr>
      <m:oMathPara>
        <m:oMathParaPr>
          <m:jc m:val="center"/>
        </m:oMathParaPr>
        <m:oMath>
          <m:d>
            <m:dPr>
              <m:begChr m:val="("/>
              <m:endChr m:val=")"/>
              <m:sepChr m:val=""/>
              <m:grow/>
            </m:dPr>
            <m:e>
              <m:r>
                <m:t>I</m:t>
              </m:r>
              <m:d>
                <m:dPr>
                  <m:begChr m:val="("/>
                  <m:endChr m:val=")"/>
                  <m:sepChr m:val=""/>
                  <m:grow/>
                </m:dPr>
                <m:e>
                  <m:r>
                    <m:t>Y</m:t>
                  </m:r>
                  <m:r>
                    <m:rPr>
                      <m:sty m:val="p"/>
                    </m:rPr>
                    <m:t>;</m:t>
                  </m:r>
                  <m:sSub>
                    <m:e>
                      <m:r>
                        <m:t>X</m:t>
                      </m:r>
                    </m:e>
                    <m:sub>
                      <m:r>
                        <m:rPr>
                          <m:sty m:val="p"/>
                        </m:rPr>
                        <m:t>∂</m:t>
                      </m:r>
                    </m:sub>
                  </m:sSub>
                  <m:r>
                    <m:rPr>
                      <m:sty m:val="p"/>
                    </m:rPr>
                    <m:t>∣</m:t>
                  </m:r>
                  <m:r>
                    <m:t>B</m:t>
                  </m:r>
                </m:e>
              </m:d>
              <m:r>
                <m:rPr>
                  <m:sty m:val="p"/>
                </m:rPr>
                <m:t>,</m:t>
              </m:r>
              <m:r>
                <m:t>I</m:t>
              </m:r>
              <m:d>
                <m:dPr>
                  <m:begChr m:val="("/>
                  <m:endChr m:val=")"/>
                  <m:sepChr m:val=""/>
                  <m:grow/>
                </m:dPr>
                <m:e>
                  <m:r>
                    <m:t>Y</m:t>
                  </m:r>
                  <m:r>
                    <m:rPr>
                      <m:sty m:val="p"/>
                    </m:rPr>
                    <m:t>;</m:t>
                  </m:r>
                  <m:sSub>
                    <m:e>
                      <m:r>
                        <m:t>X</m:t>
                      </m:r>
                    </m:e>
                    <m:sub>
                      <m:r>
                        <m:rPr>
                          <m:sty m:val="p"/>
                        </m:rPr>
                        <m:t>e</m:t>
                      </m:r>
                      <m:r>
                        <m:rPr>
                          <m:sty m:val="p"/>
                        </m:rPr>
                        <m:t>x</m:t>
                      </m:r>
                      <m:r>
                        <m:rPr>
                          <m:sty m:val="p"/>
                        </m:rPr>
                        <m:t>t</m:t>
                      </m:r>
                    </m:sub>
                  </m:sSub>
                  <m:r>
                    <m:rPr>
                      <m:sty m:val="p"/>
                    </m:rPr>
                    <m:t>∣</m:t>
                  </m:r>
                  <m:sSub>
                    <m:e>
                      <m:r>
                        <m:t>X</m:t>
                      </m:r>
                    </m:e>
                    <m:sub>
                      <m:r>
                        <m:rPr>
                          <m:sty m:val="p"/>
                        </m:rPr>
                        <m:t>∂</m:t>
                      </m:r>
                    </m:sub>
                  </m:sSub>
                  <m:r>
                    <m:rPr>
                      <m:sty m:val="p"/>
                    </m:rPr>
                    <m:t>,</m:t>
                  </m:r>
                  <m:r>
                    <m:t>B</m:t>
                  </m:r>
                </m:e>
              </m:d>
            </m:e>
          </m:d>
          <m:r>
            <m:rPr>
              <m:sty m:val="p"/>
            </m:rPr>
            <m:t>.</m:t>
          </m:r>
        </m:oMath>
      </m:oMathPara>
    </w:p>
    <w:p>
      <w:pPr>
        <w:pStyle w:val="FirstParagraph"/>
      </w:pPr>
      <w:r>
        <w:t xml:space="preserve">The first coordinate measures information captured at the boundary; the second measures information still present outside it after conditioning. Compression to one score requires a preregistered decision rule.</w:t>
      </w:r>
    </w:p>
    <w:bookmarkEnd w:id="61"/>
    <w:bookmarkStart w:id="62" w:name="physical-conservation-ledgers"/>
    <w:p>
      <w:pPr>
        <w:pStyle w:val="Heading2"/>
      </w:pPr>
      <w:r>
        <w:t xml:space="preserve">7.5 Physical conservation ledgers</w:t>
      </w:r>
    </w:p>
    <w:p>
      <w:pPr>
        <w:pStyle w:val="FirstParagraph"/>
      </w:pPr>
      <w:r>
        <w:t xml:space="preserve">Poynting, energy, and flux checks should return an interval enclosure of the complete residual after calibration, windowing, detector response, unmeasured channels, and numerical error. Inconsistent component intervals must not be averaged. Optical analogue-horizon experiments demonstrate measurable frequency conversion and backreaction architecture; they do not imply a prime-local arithmetic operator or a distributional trace theorem.</w:t>
      </w:r>
    </w:p>
    <w:bookmarkEnd w:id="62"/>
    <w:bookmarkStart w:id="63" w:name="causal-and-simulation-claims"/>
    <w:p>
      <w:pPr>
        <w:pStyle w:val="Heading2"/>
      </w:pPr>
      <w:r>
        <w:t xml:space="preserve">7.6 Causal and simulation claims</w:t>
      </w:r>
    </w:p>
    <w:p>
      <w:pPr>
        <w:pStyle w:val="FirstParagraph"/>
      </w:pPr>
      <w:r>
        <w:t xml:space="preserve">Intensity detection can quotient global phase, while nonlinear dynamics can remain phase-sensitive. That distinction is physically useful. It does not identify a hidden computational grid. A simulation-resolution claim needs a registered null family containing dispersion, Kerr corrections, Raman effects, self-steepening, loss, detector leakage, and numerical discretization, plus an identifiable parameter whose confidence set excludes the null. Without this,</w:t>
      </w:r>
      <w:r>
        <w:t xml:space="preserve"> </w:t>
      </w:r>
      <w:r>
        <w:t xml:space="preserve">“</w:t>
      </w:r>
      <w:r>
        <w:t xml:space="preserve">scale torsion</w:t>
      </w:r>
      <w:r>
        <w:t xml:space="preserve">”</w:t>
      </w:r>
      <w:r>
        <w:t xml:space="preserve"> </w:t>
      </w:r>
      <w:r>
        <w:t xml:space="preserve">is an analogy, not a measured invariant.</w:t>
      </w:r>
    </w:p>
    <w:bookmarkEnd w:id="63"/>
    <w:bookmarkStart w:id="64" w:name="scores-require-units"/>
    <w:p>
      <w:pPr>
        <w:pStyle w:val="Heading2"/>
      </w:pPr>
      <w:r>
        <w:t xml:space="preserve">7.7 Scores require units</w:t>
      </w:r>
    </w:p>
    <w:p>
      <w:pPr>
        <w:pStyle w:val="FirstParagraph"/>
      </w:pPr>
      <w:r>
        <w:t xml:space="preserve">Weighted mechanism, rent, complexity, or human-impact scores are not invariant under rescaling their components. Either preregister nondimensionalization and weights before evaluation or retain the Pareto vector. Normative and civic volumes can guide deployment policy, but they are not promoted as mathematical theorems without additional formalization.</w:t>
      </w:r>
    </w:p>
    <w:bookmarkEnd w:id="64"/>
    <w:bookmarkEnd w:id="65"/>
    <w:bookmarkStart w:id="70" w:name="executable-audit-engine"/>
    <w:p>
      <w:pPr>
        <w:pStyle w:val="Heading1"/>
        <w:pBdr>
          <w:bottom w:val="single" w:sz="6" w:space="4" w:color="E8EEF5"/>
        </w:pBdr>
      </w:pPr>
      <w:r>
        <w:t xml:space="preserve">8. Executable audit engine</w:t>
      </w:r>
    </w:p>
    <w:bookmarkStart w:id="66" w:name="architecture"/>
    <w:p>
      <w:pPr>
        <w:pStyle w:val="Heading2"/>
      </w:pPr>
      <w:r>
        <w:t xml:space="preserve">8.1 Architecture</w:t>
      </w:r>
    </w:p>
    <w:p>
      <w:pPr>
        <w:pStyle w:val="FirstParagraph"/>
      </w:pPr>
      <w:r>
        <w:t xml:space="preserve">The repository implements a small trusted kernel rather than a monolithic scientific oracle.</w:t>
      </w:r>
    </w:p>
    <w:tbl>
      <w:tblPr>
        <w:tblStyle w:val="Table"/>
        <w:tblW w:type="dxa" w:w="9360"/>
        <w:jc w:val="center"/>
        <w:tblLayout w:type="fixed"/>
        <w:tblLook w:firstRow="1" w:lastRow="0" w:firstColumn="0" w:lastColumn="0" w:noHBand="0" w:noVBand="0" w:val="0020"/>
        <w:tblInd w:w="120" w:type="dxa"/>
      </w:tblPr>
      <w:tblGrid>
        <w:gridCol w:w="2100"/>
        <w:gridCol w:w="1900"/>
        <w:gridCol w:w="5360"/>
      </w:tblGrid>
      <w:tr>
        <w:trPr>
          <w:tblHeader w:val="true"/>
          <w:cantSplit/>
        </w:trPr>
        <w:tc>
          <w:tcPr>
            <w:tcW w:w="2100" w:type="dxa"/>
            <w:vAlign w:val="center"/>
            <w:tcMar>
              <w:top w:w="80" w:type="dxa"/>
              <w:start w:w="120" w:type="dxa"/>
              <w:bottom w:w="80" w:type="dxa"/>
              <w:end w:w="120" w:type="dxa"/>
            </w:tcMar>
            <w:shd w:fill="17365D"/>
          </w:tcPr>
          <w:p>
            <w:pPr>
              <w:pStyle w:val="Compact"/>
              <w:spacing w:before="0" w:after="40" w:line="259" w:lineRule="auto"/>
              <w:jc w:val="left"/>
            </w:pPr>
            <w:r>
              <w:rPr>
                <w:rFonts w:ascii="Calibri" w:hAnsi="Calibri" w:eastAsia="Calibri"/>
                <w:b/>
                <w:color w:val="FFFFFF"/>
                <w:sz w:val="17"/>
              </w:rPr>
              <w:t xml:space="preserve">Layer</w:t>
            </w:r>
          </w:p>
        </w:tc>
        <w:tc>
          <w:tcPr>
            <w:tcW w:w="1900" w:type="dxa"/>
            <w:vAlign w:val="center"/>
            <w:tcMar>
              <w:top w:w="80" w:type="dxa"/>
              <w:start w:w="120" w:type="dxa"/>
              <w:bottom w:w="80" w:type="dxa"/>
              <w:end w:w="120" w:type="dxa"/>
            </w:tcMar>
            <w:shd w:fill="17365D"/>
          </w:tcPr>
          <w:p>
            <w:pPr>
              <w:pStyle w:val="Compact"/>
              <w:spacing w:before="0" w:after="40" w:line="259" w:lineRule="auto"/>
              <w:jc w:val="left"/>
            </w:pPr>
            <w:r>
              <w:rPr>
                <w:rFonts w:ascii="Calibri" w:hAnsi="Calibri" w:eastAsia="Calibri"/>
                <w:b/>
                <w:color w:val="FFFFFF"/>
                <w:sz w:val="17"/>
              </w:rPr>
              <w:t xml:space="preserve">Current function</w:t>
            </w:r>
          </w:p>
        </w:tc>
        <w:tc>
          <w:tcPr>
            <w:tcW w:w="5360" w:type="dxa"/>
            <w:vAlign w:val="center"/>
            <w:tcMar>
              <w:top w:w="80" w:type="dxa"/>
              <w:start w:w="120" w:type="dxa"/>
              <w:bottom w:w="80" w:type="dxa"/>
              <w:end w:w="120" w:type="dxa"/>
            </w:tcMar>
            <w:shd w:fill="17365D"/>
          </w:tcPr>
          <w:p>
            <w:pPr>
              <w:pStyle w:val="Compact"/>
              <w:spacing w:before="0" w:after="40" w:line="259" w:lineRule="auto"/>
              <w:jc w:val="left"/>
            </w:pPr>
            <w:r>
              <w:rPr>
                <w:rFonts w:ascii="Calibri" w:hAnsi="Calibri" w:eastAsia="Calibri"/>
                <w:b/>
                <w:color w:val="FFFFFF"/>
                <w:sz w:val="17"/>
              </w:rPr>
              <w:t xml:space="preserve">Certificate boundary</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Manifest court</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Types claims, statuses, gates, demotion, and preservation</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Parsing does not infer truth</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Exact algebra</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Rational matrices, rank, complexes, transports</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Floating scalars are rejected</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Descent court</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Interchange defects and path holonomy</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Emits basis-vector residuals</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Observation court</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Relation/query descent</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Emits distinguishing state pairs</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Product gate court</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Conflict preservation and fatal propagation</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No aggregate rescue</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Defect court</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Exact affine bound composition</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Rejects understated path budgets</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Atomic court</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Finite nonconcentration records</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Uniform proof remains external</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Arithmetic plugin</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Finite-comb, zero-fit, counterterm, and trace-limit gates</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Does not build the operator</w:t>
            </w:r>
          </w:p>
        </w:tc>
      </w:tr>
      <w:tr>
        <w:trPr>
          <w:cantSplit/>
        </w:trPr>
        <w:tc>
          <w:tcPr>
            <w:tcW w:w="21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Recovery plugin</w:t>
            </w:r>
          </w:p>
        </w:tc>
        <w:tc>
          <w:tcPr>
            <w:tcW w:w="190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Local/global promotion audit</w:t>
            </w:r>
          </w:p>
        </w:tc>
        <w:tc>
          <w:tcPr>
            <w:tcW w:w="5360" w:type="dxa"/>
            <w:vAlign w:val="center"/>
            <w:tcMar>
              <w:top w:w="80" w:type="dxa"/>
              <w:start w:w="120" w:type="dxa"/>
              <w:bottom w:w="80" w:type="dxa"/>
              <w:end w:w="120" w:type="dxa"/>
            </w:tcMar>
          </w:tcPr>
          <w:p>
            <w:pPr>
              <w:pStyle w:val="Compact"/>
              <w:spacing w:before="0" w:after="40" w:line="259" w:lineRule="auto"/>
              <w:jc w:val="left"/>
            </w:pPr>
            <w:r>
              <w:rPr>
                <w:rFonts w:ascii="Calibri" w:hAnsi="Calibri" w:eastAsia="Calibri"/>
                <w:b w:val="0"/>
                <w:color w:val="20262E"/>
                <w:sz w:val="17"/>
              </w:rPr>
              <w:t xml:space="preserve">Requires fiber and boundary certificates</w:t>
            </w:r>
          </w:p>
        </w:tc>
      </w:tr>
      <w:tr>
        <w:trPr>
          <w:cantSplit/>
        </w:trPr>
        <w:tc>
          <w:tcPr>
            <w:tcW w:w="21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Provenance</w:t>
            </w:r>
          </w:p>
        </w:tc>
        <w:tc>
          <w:tcPr>
            <w:tcW w:w="190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Canonical JSON and SHA-256 identifiers</w:t>
            </w:r>
          </w:p>
        </w:tc>
        <w:tc>
          <w:tcPr>
            <w:tcW w:w="5360" w:type="dxa"/>
            <w:vAlign w:val="center"/>
            <w:tcMar>
              <w:top w:w="80" w:type="dxa"/>
              <w:start w:w="120" w:type="dxa"/>
              <w:bottom w:w="80" w:type="dxa"/>
              <w:end w:w="120" w:type="dxa"/>
            </w:tcMar>
            <w:shd w:fill="F5F7FA"/>
          </w:tcPr>
          <w:p>
            <w:pPr>
              <w:pStyle w:val="Compact"/>
              <w:spacing w:before="0" w:after="40" w:line="259" w:lineRule="auto"/>
              <w:jc w:val="left"/>
            </w:pPr>
            <w:r>
              <w:rPr>
                <w:rFonts w:ascii="Calibri" w:hAnsi="Calibri" w:eastAsia="Calibri"/>
                <w:b w:val="0"/>
                <w:color w:val="20262E"/>
                <w:sz w:val="17"/>
              </w:rPr>
              <w:t xml:space="preserve">Hashes identify bytes, not validity</w:t>
            </w:r>
          </w:p>
        </w:tc>
      </w:tr>
    </w:tbl>
    <w:p>
      <w:pPr>
        <w:pStyle w:val="BodyText"/>
      </w:pPr>
      <w:r>
        <w:t xml:space="preserve">The producer should eventually be allowed to use heavy interval libraries. The independent verifier should remain small, offline, deterministic, and capable of checking emitted rational witnesses, interval inclusions, sieve completeness, hashes, and verdict logic.</w:t>
      </w:r>
    </w:p>
    <w:bookmarkEnd w:id="66"/>
    <w:bookmarkStart w:id="67" w:name="certificate-envelope"/>
    <w:p>
      <w:pPr>
        <w:pStyle w:val="Heading2"/>
      </w:pPr>
      <w:r>
        <w:t xml:space="preserve">8.2 Certificate envelope</w:t>
      </w:r>
    </w:p>
    <w:p>
      <w:pPr>
        <w:pStyle w:val="FirstParagraph"/>
      </w:pPr>
      <w:r>
        <w:t xml:space="preserve">Every artifact should be wrapped in a versioned envelope:</w:t>
      </w:r>
    </w:p>
    <w:p>
      <w:pPr>
        <w:pStyle w:val="SourceCode"/>
        <w:keepLines/>
        <w:shd w:fill="F4F6F9"/>
        <w:spacing w:before="100" w:after="140"/>
        <w:ind w:left="259" w:right="259"/>
      </w:pPr>
      <w:r>
        <w:rPr>
          <w:rStyle w:val="VerbatimChar"/>
        </w:rPr>
        <w:t xml:space="preserve">CertificateEnvelopeV1</w:t>
      </w:r>
      <w:r>
        <w:br/>
      </w:r>
      <w:r>
        <w:rPr>
          <w:rStyle w:val="VerbatimChar"/>
        </w:rPr>
        <w:t xml:space="preserve">  schema_version</w:t>
      </w:r>
      <w:r>
        <w:br/>
      </w:r>
      <w:r>
        <w:rPr>
          <w:rStyle w:val="VerbatimChar"/>
        </w:rPr>
        <w:t xml:space="preserve">  kind</w:t>
      </w:r>
      <w:r>
        <w:br/>
      </w:r>
      <w:r>
        <w:rPr>
          <w:rStyle w:val="VerbatimChar"/>
        </w:rPr>
        <w:t xml:space="preserve">  claim_id</w:t>
      </w:r>
      <w:r>
        <w:br/>
      </w:r>
      <w:r>
        <w:rPr>
          <w:rStyle w:val="VerbatimChar"/>
        </w:rPr>
        <w:t xml:space="preserve">  formula_spec_hash</w:t>
      </w:r>
      <w:r>
        <w:br/>
      </w:r>
      <w:r>
        <w:rPr>
          <w:rStyle w:val="VerbatimChar"/>
        </w:rPr>
        <w:t xml:space="preserve">  assumptions[]</w:t>
      </w:r>
      <w:r>
        <w:br/>
      </w:r>
      <w:r>
        <w:rPr>
          <w:rStyle w:val="VerbatimChar"/>
        </w:rPr>
        <w:t xml:space="preserve">  inputs[]</w:t>
      </w:r>
      <w:r>
        <w:br/>
      </w:r>
      <w:r>
        <w:rPr>
          <w:rStyle w:val="VerbatimChar"/>
        </w:rPr>
        <w:t xml:space="preserve">  payload</w:t>
      </w:r>
      <w:r>
        <w:br/>
      </w:r>
      <w:r>
        <w:rPr>
          <w:rStyle w:val="VerbatimChar"/>
        </w:rPr>
        <w:t xml:space="preserve">  producer_build</w:t>
      </w:r>
      <w:r>
        <w:br/>
      </w:r>
      <w:r>
        <w:rPr>
          <w:rStyle w:val="VerbatimChar"/>
        </w:rPr>
        <w:t xml:space="preserve">  dependency_lock_hash</w:t>
      </w:r>
      <w:r>
        <w:br/>
      </w:r>
      <w:r>
        <w:rPr>
          <w:rStyle w:val="VerbatimChar"/>
        </w:rPr>
        <w:t xml:space="preserve">  rounding_policy</w:t>
      </w:r>
      <w:r>
        <w:br/>
      </w:r>
      <w:r>
        <w:rPr>
          <w:rStyle w:val="VerbatimChar"/>
        </w:rPr>
        <w:t xml:space="preserve">  created_utc</w:t>
      </w:r>
    </w:p>
    <w:p>
      <w:pPr>
        <w:pStyle w:val="FirstParagraph"/>
      </w:pPr>
      <w:r>
        <w:t>The producer does not assign its own theorem verdict. The current verifier emits a mechanical audit decision, structured findings, and an actual-execution ledger. A theorem is mechanically admissible only when a claim-bound, hash-verified proof artifact reports a passing result and every hard gate is derived as passing from the complete bound evidence set. Human research classifications such as proven, refuted, supported, or unresolved remain separate from the engine's finite checks unless a declared verification adapter supplies the corresponding certificate.</w:t>
      </w:r>
    </w:p>
    <w:bookmarkEnd w:id="67"/>
    <w:bookmarkStart w:id="68" w:name="implemented-commands"/>
    <w:p>
      <w:pPr>
        <w:pStyle w:val="Heading2"/>
      </w:pPr>
      <w:r>
        <w:t xml:space="preserve">8.3 Implemented commands</w:t>
      </w:r>
    </w:p>
    <w:p>
      <w:pPr>
        <w:pStyle w:val="SourceCode"/>
        <w:keepLines/>
        <w:shd w:fill="F4F6F9"/>
        <w:spacing w:before="100" w:after="140"/>
        <w:ind w:left="259" w:right="259"/>
      </w:pPr>
      <w:r>
        <w:rPr>
          <w:rStyle w:val="VerbatimChar"/>
        </w:rPr>
        <w:t xml:space="preserve">bsc-audit lint     claim.json</w:t>
      </w:r>
      <w:r>
        <w:br/>
      </w:r>
      <w:r>
        <w:rPr>
          <w:rStyle w:val="VerbatimChar"/>
        </w:rPr>
        <w:t xml:space="preserve">bsc-audit audit    claim.json</w:t>
      </w:r>
      <w:r>
        <w:br/>
      </w:r>
      <w:r>
        <w:rPr>
          <w:rStyle w:val="VerbatimChar"/>
        </w:rPr>
        <w:t xml:space="preserve">bsc-audit complex  transport.json</w:t>
      </w:r>
      <w:r>
        <w:br/>
      </w:r>
      <w:r>
        <w:rPr>
          <w:rStyle w:val="VerbatimChar"/>
        </w:rPr>
        <w:t xml:space="preserve">bsc-audit observe  observation.json</w:t>
      </w:r>
      <w:r>
        <w:br/>
      </w:r>
      <w:r>
        <w:rPr>
          <w:rStyle w:val="VerbatimChar"/>
        </w:rPr>
        <w:t xml:space="preserve">bsc-audit atomic   concentration.json</w:t>
      </w:r>
      <w:r>
        <w:br/>
      </w:r>
      <w:r>
        <w:rPr>
          <w:rStyle w:val="VerbatimChar"/>
        </w:rPr>
        <w:t xml:space="preserve">bsc-audit defect   path_bounds.json</w:t>
      </w:r>
    </w:p>
    <w:p>
      <w:pPr>
        <w:pStyle w:val="FirstParagraph"/>
      </w:pPr>
      <w:r>
        <w:t>Every command emits canonical JSON findings and an actual-execution ledger. Exit code zero means that no blocking finding was produced; exit code one means that a valid input was blocked or demoted; exit code two means malformed input or command usage; and exit code seventy reports an internal verifier failure. Checks skipped after a fail-closed structural error are recorded as not run, never inferred as executed.</w:t>
      </w:r>
    </w:p>
    <w:bookmarkEnd w:id="68"/>
    <w:bookmarkStart w:id="69" w:name="adversarial-benchmark-suite"/>
    <w:p>
      <w:pPr>
        <w:pStyle w:val="Heading2"/>
      </w:pPr>
      <w:r>
        <w:t xml:space="preserve">8.4 Adversarial benchmark suite</w:t>
      </w:r>
    </w:p>
    <w:p>
      <w:pPr>
        <w:pStyle w:val="FirstParagraph"/>
      </w:pPr>
      <w:r>
        <w:t xml:space="preserve">The next build should preserve at least these negative fixtures:</w:t>
      </w:r>
    </w:p>
    <w:p>
      <w:pPr>
        <w:numPr>
          <w:ilvl w:val="0"/>
          <w:numId w:val="1006"/>
        </w:numPr>
        <w:pStyle w:val="Compact"/>
      </w:pPr>
      <w:r>
        <w:t xml:space="preserve">omit one prime power from an otherwise correct ledger;</w:t>
      </w:r>
    </w:p>
    <w:p>
      <w:pPr>
        <w:numPr>
          <w:ilvl w:val="0"/>
          <w:numId w:val="1006"/>
        </w:numPr>
        <w:pStyle w:val="Compact"/>
      </w:pPr>
      <w:r>
        <w:t xml:space="preserve">mark a composite as prime or omit sieve-completeness evidence;</w:t>
      </w:r>
    </w:p>
    <w:p>
      <w:pPr>
        <w:numPr>
          <w:ilvl w:val="0"/>
          <w:numId w:val="1006"/>
        </w:numPr>
        <w:pStyle w:val="Compact"/>
      </w:pPr>
      <w:r>
        <w:t xml:space="preserve">use outer support as if sharp after endpoint cancellation;</w:t>
      </w:r>
    </w:p>
    <w:p>
      <w:pPr>
        <w:numPr>
          <w:ilvl w:val="0"/>
          <w:numId w:val="1006"/>
        </w:numPr>
        <w:pStyle w:val="Compact"/>
      </w:pPr>
      <w:r>
        <w:t xml:space="preserve">average nonoverlapping Hermitian boxes;</w:t>
      </w:r>
    </w:p>
    <w:p>
      <w:pPr>
        <w:numPr>
          <w:ilvl w:val="0"/>
          <w:numId w:val="1006"/>
        </w:numPr>
        <w:pStyle w:val="Compact"/>
      </w:pPr>
      <w:r>
        <w:t xml:space="preserve">project an indefinite matrix onto the positive cone;</w:t>
      </w:r>
    </w:p>
    <w:p>
      <w:pPr>
        <w:numPr>
          <w:ilvl w:val="0"/>
          <w:numId w:val="1006"/>
        </w:numPr>
        <w:pStyle w:val="Compact"/>
      </w:pPr>
      <w:r>
        <w:t xml:space="preserve">cross a singular stage with a floating pseudoinverse;</w:t>
      </w:r>
    </w:p>
    <w:p>
      <w:pPr>
        <w:numPr>
          <w:ilvl w:val="0"/>
          <w:numId w:val="1006"/>
        </w:numPr>
        <w:pStyle w:val="Compact"/>
      </w:pPr>
      <w:r>
        <w:t xml:space="preserve">import a zero table into a primary Gram dependency graph;</w:t>
      </w:r>
    </w:p>
    <w:p>
      <w:pPr>
        <w:numPr>
          <w:ilvl w:val="0"/>
          <w:numId w:val="1006"/>
        </w:numPr>
        <w:pStyle w:val="Compact"/>
      </w:pPr>
      <w:r>
        <w:t xml:space="preserve">fit a counterterm after inspecting spectral output;</w:t>
      </w:r>
    </w:p>
    <w:p>
      <w:pPr>
        <w:numPr>
          <w:ilvl w:val="0"/>
          <w:numId w:val="1006"/>
        </w:numPr>
        <w:pStyle w:val="Compact"/>
      </w:pPr>
      <w:r>
        <w:t xml:space="preserve">hide a delta comb through narrowing smooth bumps;</w:t>
      </w:r>
    </w:p>
    <w:p>
      <w:pPr>
        <w:numPr>
          <w:ilvl w:val="0"/>
          <w:numId w:val="1006"/>
        </w:numPr>
        <w:pStyle w:val="Compact"/>
      </w:pPr>
      <w:r>
        <w:t xml:space="preserve">substitute strong-resolvent convergence for a trace-class estimate;</w:t>
      </w:r>
    </w:p>
    <w:p>
      <w:pPr>
        <w:numPr>
          <w:ilvl w:val="0"/>
          <w:numId w:val="1006"/>
        </w:numPr>
        <w:pStyle w:val="Compact"/>
      </w:pPr>
      <w:r>
        <w:t xml:space="preserve">pass a finite function battery and request a distributional verdict;</w:t>
      </w:r>
    </w:p>
    <w:p>
      <w:pPr>
        <w:numPr>
          <w:ilvl w:val="0"/>
          <w:numId w:val="1006"/>
        </w:numPr>
        <w:pStyle w:val="Compact"/>
      </w:pPr>
      <w:r>
        <w:t xml:space="preserve">produce order-matched spectra without an intertwiner;</w:t>
      </w:r>
    </w:p>
    <w:p>
      <w:pPr>
        <w:numPr>
          <w:ilvl w:val="0"/>
          <w:numId w:val="1006"/>
        </w:numPr>
        <w:pStyle w:val="Compact"/>
      </w:pPr>
      <w:r>
        <w:t xml:space="preserve">let the two cutoff orders yield different determinant limits;</w:t>
      </w:r>
    </w:p>
    <w:p>
      <w:pPr>
        <w:numPr>
          <w:ilvl w:val="0"/>
          <w:numId w:val="1006"/>
        </w:numPr>
        <w:pStyle w:val="Compact"/>
      </w:pPr>
      <w:r>
        <w:t xml:space="preserve">declare an approximate confusability graph to be an equivalence relation;</w:t>
      </w:r>
    </w:p>
    <w:p>
      <w:pPr>
        <w:numPr>
          <w:ilvl w:val="0"/>
          <w:numId w:val="1006"/>
        </w:numPr>
        <w:pStyle w:val="Compact"/>
      </w:pPr>
      <w:r>
        <w:t xml:space="preserve">admit a root claim while one fatal coordinate is unrun, failed, or conflicting;</w:t>
      </w:r>
    </w:p>
    <w:p>
      <w:pPr>
        <w:numPr>
          <w:ilvl w:val="0"/>
          <w:numId w:val="1006"/>
        </w:numPr>
        <w:pStyle w:val="Compact"/>
      </w:pPr>
      <w:r>
        <w:t xml:space="preserve">understate an affine path-defect budget.</w:t>
      </w:r>
    </w:p>
    <w:bookmarkEnd w:id="69"/>
    <w:bookmarkEnd w:id="70"/>
    <w:bookmarkStart w:id="71" w:name="novelty-audit"/>
    <w:p>
      <w:pPr>
        <w:pStyle w:val="Heading1"/>
        <w:pBdr>
          <w:bottom w:val="single" w:sz="6" w:space="4" w:color="E8EEF5"/>
        </w:pBdr>
      </w:pPr>
      <w:r>
        <w:t xml:space="preserve">9. Novelty audit</w:t>
      </w:r>
    </w:p>
    <w:p>
      <w:pPr>
        <w:pStyle w:val="FirstParagraph"/>
      </w:pPr>
      <w:r>
        <w:t xml:space="preserve">The mathematical ingredients have established ancestors:</w:t>
      </w:r>
    </w:p>
    <w:p>
      <w:pPr>
        <w:numPr>
          <w:ilvl w:val="0"/>
          <w:numId w:val="1007"/>
        </w:numPr>
        <w:pStyle w:val="Compact"/>
      </w:pPr>
      <w:r>
        <w:t xml:space="preserve">chain complexes, chain maps, homology, and double complexes are standard;</w:t>
      </w:r>
    </w:p>
    <w:p>
      <w:pPr>
        <w:numPr>
          <w:ilvl w:val="0"/>
          <w:numId w:val="1007"/>
        </w:numPr>
        <w:pStyle w:val="Compact"/>
      </w:pPr>
      <w:r>
        <w:t xml:space="preserve">Galois connections between relations and invariant functions are standard order theory;</w:t>
      </w:r>
    </w:p>
    <w:p>
      <w:pPr>
        <w:numPr>
          <w:ilvl w:val="0"/>
          <w:numId w:val="1007"/>
        </w:numPr>
        <w:pStyle w:val="Compact"/>
      </w:pPr>
      <w:r>
        <w:t xml:space="preserve">Markov categories, comparison of statistical experiments, Wasserstein metrics, and Dobrushin coefficients are established;</w:t>
      </w:r>
    </w:p>
    <w:p>
      <w:pPr>
        <w:numPr>
          <w:ilvl w:val="0"/>
          <w:numId w:val="1007"/>
        </w:numPr>
        <w:pStyle w:val="Compact"/>
      </w:pPr>
      <w:r>
        <w:t xml:space="preserve">uniform integrability and nonconcentration criteria are classical measure theory;</w:t>
      </w:r>
    </w:p>
    <w:p>
      <w:pPr>
        <w:numPr>
          <w:ilvl w:val="0"/>
          <w:numId w:val="1007"/>
        </w:numPr>
        <w:pStyle w:val="Compact"/>
      </w:pPr>
      <w:r>
        <w:t xml:space="preserve">distributional trace formulae and spectral approaches to zeta zeros have a substantial literature.</w:t>
      </w:r>
    </w:p>
    <w:p>
      <w:pPr>
        <w:pStyle w:val="FirstParagraph"/>
      </w:pPr>
      <w:r>
        <w:t xml:space="preserve">The candidate contribution is their</w:t>
      </w:r>
      <w:r>
        <w:t xml:space="preserve"> </w:t>
      </w:r>
      <w:r>
        <w:rPr>
          <w:bCs/>
          <w:b/>
        </w:rPr>
        <w:t xml:space="preserve">typed assembly into an executable audit-descent calculus</w:t>
      </w:r>
      <w:r>
        <w:t xml:space="preserve"> </w:t>
      </w:r>
      <w:r>
        <w:t xml:space="preserve">with four linked invariants:</w:t>
      </w:r>
    </w:p>
    <w:p>
      <w:pPr>
        <w:numPr>
          <w:ilvl w:val="0"/>
          <w:numId w:val="1008"/>
        </w:numPr>
        <w:pStyle w:val="Compact"/>
      </w:pPr>
      <w:r>
        <w:t xml:space="preserve">certificate-interchange defect</w:t>
      </w:r>
      <w:r>
        <w:t xml:space="preserve"> </w:t>
      </w:r>
      <m:oMath>
        <m:r>
          <m:t>Θ</m:t>
        </m:r>
      </m:oMath>
      <w:r>
        <w:t xml:space="preserve">;</w:t>
      </w:r>
    </w:p>
    <w:p>
      <w:pPr>
        <w:numPr>
          <w:ilvl w:val="0"/>
          <w:numId w:val="1008"/>
        </w:numPr>
        <w:pStyle w:val="Compact"/>
      </w:pPr>
      <w:r>
        <w:t xml:space="preserve">context path holonomy</w:t>
      </w:r>
      <w:r>
        <w:t xml:space="preserve"> </w:t>
      </w:r>
      <m:oMath>
        <m:r>
          <m:t>Ω</m:t>
        </m:r>
      </m:oMath>
      <w:r>
        <w:t xml:space="preserve">;</w:t>
      </w:r>
    </w:p>
    <w:p>
      <w:pPr>
        <w:numPr>
          <w:ilvl w:val="0"/>
          <w:numId w:val="1008"/>
        </w:numPr>
        <w:pStyle w:val="Compact"/>
      </w:pPr>
      <w:r>
        <w:t xml:space="preserve">observation descent closure</w:t>
      </w:r>
      <w:r>
        <w:t xml:space="preserve"> </w:t>
      </w:r>
      <m:oMath>
        <m:d>
          <m:dPr>
            <m:begChr m:val="("/>
            <m:endChr m:val=")"/>
            <m:sepChr m:val=""/>
            <m:grow/>
          </m:dPr>
          <m:e>
            <m:r>
              <m:rPr>
                <m:sty m:val="p"/>
              </m:rPr>
              <m:t>Ker</m:t>
            </m:r>
            <m:r>
              <m:rPr>
                <m:sty m:val="p"/>
              </m:rPr>
              <m:t>,</m:t>
            </m:r>
            <m:r>
              <m:rPr>
                <m:sty m:val="p"/>
              </m:rPr>
              <m:t>Desc</m:t>
            </m:r>
          </m:e>
        </m:d>
      </m:oMath>
      <w:r>
        <w:t xml:space="preserve">;</w:t>
      </w:r>
    </w:p>
    <w:p>
      <w:pPr>
        <w:numPr>
          <w:ilvl w:val="0"/>
          <w:numId w:val="1008"/>
        </w:numPr>
        <w:pStyle w:val="Compact"/>
      </w:pPr>
      <w:r>
        <w:t xml:space="preserve">off-origin atomic charge plus concentration defect</w:t>
      </w:r>
      <w:r>
        <w:t xml:space="preserve"> </w:t>
      </w:r>
      <m:oMath>
        <m:sSub>
          <m:e>
            <m:r>
              <m:t>χ</m:t>
            </m:r>
          </m:e>
          <m:sub>
            <m:r>
              <m:t>K</m:t>
            </m:r>
          </m:sub>
        </m:sSub>
      </m:oMath>
      <w:r>
        <w:t xml:space="preserve">.</w:t>
      </w:r>
    </w:p>
    <w:p>
      <w:pPr>
        <w:pStyle w:val="FirstParagraph"/>
      </w:pPr>
      <w:r>
        <w:t xml:space="preserve">The arithmetic application adds a specific new design boundary: stagewise admissible counterterms must carry a uniform atomic-rigidity certificate before a joint limit is accepted. The same prime atomic ledger then constrains both finite arithmetic evaluation and infinite-dimensional trace ablation.</w:t>
      </w:r>
    </w:p>
    <w:p>
      <w:pPr>
        <w:pStyle w:val="BodyText"/>
      </w:pPr>
      <w:r>
        <w:t xml:space="preserve">Historical priority for this exact assembly has not been established. The correct claim state is therefore</w:t>
      </w:r>
      <w:r>
        <w:t xml:space="preserve"> </w:t>
      </w:r>
      <w:r>
        <w:rPr>
          <w:bCs/>
          <w:b/>
        </w:rPr>
        <w:t xml:space="preserve">candidate theorem package with proved internal identities and unresolved novelty priority</w:t>
      </w:r>
      <w:r>
        <w:t xml:space="preserve">.</w:t>
      </w:r>
    </w:p>
    <w:bookmarkEnd w:id="71"/>
    <w:bookmarkStart w:id="72" w:name="failure-modes-and-falsifiers"/>
    <w:p>
      <w:pPr>
        <w:pStyle w:val="Heading1"/>
        <w:pBdr>
          <w:bottom w:val="single" w:sz="6" w:space="4" w:color="E8EEF5"/>
        </w:pBdr>
      </w:pPr>
      <w:r>
        <w:t xml:space="preserve">10. Failure modes and falsifiers</w:t>
      </w:r>
    </w:p>
    <w:p>
      <w:pPr>
        <w:pStyle w:val="FirstParagraph"/>
      </w:pPr>
      <w:r>
        <w:t xml:space="preserve">The proposal should be rejected or narrowed if any of the following occurs.</w:t>
      </w:r>
    </w:p>
    <w:p>
      <w:pPr>
        <w:numPr>
          <w:ilvl w:val="0"/>
          <w:numId w:val="1009"/>
        </w:numPr>
        <w:pStyle w:val="Compact"/>
      </w:pPr>
      <w:r>
        <w:t xml:space="preserve">A claimed context transport lacks typed maps at every certificate degree.</w:t>
      </w:r>
    </w:p>
    <w:p>
      <w:pPr>
        <w:numPr>
          <w:ilvl w:val="0"/>
          <w:numId w:val="1009"/>
        </w:numPr>
        <w:pStyle w:val="Compact"/>
      </w:pPr>
      <w:r>
        <w:t xml:space="preserve">A nonzero</w:t>
      </w:r>
      <w:r>
        <w:t xml:space="preserve"> </w:t>
      </w:r>
      <m:oMath>
        <m:r>
          <m:t>Θ</m:t>
        </m:r>
      </m:oMath>
      <w:r>
        <w:t xml:space="preserve"> </w:t>
      </w:r>
      <w:r>
        <w:t xml:space="preserve">is hidden by checking only the final numerical output.</w:t>
      </w:r>
    </w:p>
    <w:p>
      <w:pPr>
        <w:numPr>
          <w:ilvl w:val="0"/>
          <w:numId w:val="1009"/>
        </w:numPr>
        <w:pStyle w:val="Compact"/>
      </w:pPr>
      <w:r>
        <w:t xml:space="preserve">Path independence is inferred from triangles when the context complex contains unfilled squares.</w:t>
      </w:r>
    </w:p>
    <w:p>
      <w:pPr>
        <w:numPr>
          <w:ilvl w:val="0"/>
          <w:numId w:val="1009"/>
        </w:numPr>
        <w:pStyle w:val="Compact"/>
      </w:pPr>
      <w:r>
        <w:t xml:space="preserve">Approximate transport is reported without a metric, norm, domain, and tolerance.</w:t>
      </w:r>
    </w:p>
    <w:p>
      <w:pPr>
        <w:numPr>
          <w:ilvl w:val="0"/>
          <w:numId w:val="1009"/>
        </w:numPr>
        <w:pStyle w:val="Compact"/>
      </w:pPr>
      <w:r>
        <w:t xml:space="preserve">A quotient query lacks a descent proof or distinguishing-pair search.</w:t>
      </w:r>
    </w:p>
    <w:p>
      <w:pPr>
        <w:numPr>
          <w:ilvl w:val="0"/>
          <w:numId w:val="1009"/>
        </w:numPr>
        <w:pStyle w:val="Compact"/>
      </w:pPr>
      <w:r>
        <w:t xml:space="preserve">A Borel quotient is asserted standard without a smoothness or coding certificate.</w:t>
      </w:r>
    </w:p>
    <w:p>
      <w:pPr>
        <w:numPr>
          <w:ilvl w:val="0"/>
          <w:numId w:val="1009"/>
        </w:numPr>
        <w:pStyle w:val="Compact"/>
      </w:pPr>
      <w:r>
        <w:t xml:space="preserve">A fatal gate is treated as a scalar penalty or an operator ideal.</w:t>
      </w:r>
    </w:p>
    <w:p>
      <w:pPr>
        <w:numPr>
          <w:ilvl w:val="0"/>
          <w:numId w:val="1009"/>
        </w:numPr>
        <w:pStyle w:val="Compact"/>
      </w:pPr>
      <w:r>
        <w:t xml:space="preserve">A counterterm family is checked only stagewise, with no uniform nonconcentration modulus.</w:t>
      </w:r>
    </w:p>
    <w:p>
      <w:pPr>
        <w:numPr>
          <w:ilvl w:val="0"/>
          <w:numId w:val="1009"/>
        </w:numPr>
        <w:pStyle w:val="Compact"/>
      </w:pPr>
      <w:r>
        <w:t xml:space="preserve">Finite samples are presented as proof of a uniform analytic bound.</w:t>
      </w:r>
    </w:p>
    <w:p>
      <w:pPr>
        <w:numPr>
          <w:ilvl w:val="0"/>
          <w:numId w:val="1009"/>
        </w:numPr>
        <w:pStyle w:val="Compact"/>
      </w:pPr>
      <w:r>
        <w:t xml:space="preserve">A finite matrix or zero-fitted boundary condition is claimed to realize the full prime comb.</w:t>
      </w:r>
    </w:p>
    <w:p>
      <w:pPr>
        <w:numPr>
          <w:ilvl w:val="0"/>
          <w:numId w:val="1009"/>
        </w:numPr>
        <w:pStyle w:val="Compact"/>
      </w:pPr>
      <w:r>
        <w:t xml:space="preserve">A spectral fit is promoted despite absent intertwiners, trace-class bounds, or joint convergence.</w:t>
      </w:r>
    </w:p>
    <w:p>
      <w:pPr>
        <w:numPr>
          <w:ilvl w:val="0"/>
          <w:numId w:val="1009"/>
        </w:numPr>
        <w:pStyle w:val="Compact"/>
      </w:pPr>
      <w:r>
        <w:t xml:space="preserve">Independent implementations disagree on an exact witness, hash, or enclosure.</w:t>
      </w:r>
    </w:p>
    <w:bookmarkEnd w:id="72"/>
    <w:bookmarkStart w:id="73" w:name="publication-readiness"/>
    <w:p>
      <w:pPr>
        <w:pStyle w:val="Heading1"/>
        <w:pBdr>
          <w:bottom w:val="single" w:sz="6" w:space="4" w:color="E8EEF5"/>
        </w:pBdr>
      </w:pPr>
      <w:r>
        <w:t xml:space="preserve">11. Publication readiness</w:t>
      </w:r>
    </w:p>
    <w:p>
      <w:pPr>
        <w:pStyle w:val="FirstParagraph"/>
      </w:pPr>
      <w:r>
        <w:t xml:space="preserve">The exact algebraic core is ready for a short foundations preprint after independent proof review and a repository release. The atomic-rigidity section is ready as a theorem note, provided the declared topology of convergence and measure class are retained exactly. The catalogue-wide synthesis is suitable as a research-program paper, not as a completed theory of physics.</w:t>
      </w:r>
    </w:p>
    <w:p>
      <w:pPr>
        <w:pStyle w:val="BodyText"/>
      </w:pPr>
      <w:r>
        <w:t xml:space="preserve">The arithmetic dictionary and Gram engine should be published only after certificate files can be regenerated from a clean environment and checked by a second implementation. The infinite-dimensional operator fold remains a frontier problem. No claim about the Riemann hypothesis should appear in a title, abstract, or conclusion unless the missing self-adjointness, exact increment, and joint trace-class convergence obligations are actually discharged.</w:t>
      </w:r>
    </w:p>
    <w:bookmarkEnd w:id="73"/>
    <w:bookmarkStart w:id="74" w:name="highest-leverage-next-step"/>
    <w:p>
      <w:pPr>
        <w:pStyle w:val="Heading1"/>
        <w:pBdr>
          <w:bottom w:val="single" w:sz="6" w:space="4" w:color="E8EEF5"/>
        </w:pBdr>
      </w:pPr>
      <w:r>
        <w:t xml:space="preserve">12. Highest-leverage next step</w:t>
      </w:r>
    </w:p>
    <w:p>
      <w:pPr>
        <w:pStyle w:val="FirstParagraph"/>
      </w:pPr>
      <w:r>
        <w:t xml:space="preserve">Implement one end-to-end</w:t>
      </w:r>
      <w:r>
        <w:t xml:space="preserve"> </w:t>
      </w:r>
      <w:r>
        <w:rPr>
          <w:bCs/>
          <w:b/>
        </w:rPr>
        <w:t xml:space="preserve">Prime Atom Preservation Packet</w:t>
      </w:r>
      <w:r>
        <w:t xml:space="preserve"> </w:t>
      </w:r>
      <w:r>
        <w:t xml:space="preserve">before enlarging the theory.</w:t>
      </w:r>
    </w:p>
    <w:p>
      <w:pPr>
        <w:pStyle w:val="BodyText"/>
      </w:pPr>
      <w:r>
        <w:t xml:space="preserve">For a small declared support radius and two primes, the packet should contain:</w:t>
      </w:r>
    </w:p>
    <w:p>
      <w:pPr>
        <w:numPr>
          <w:ilvl w:val="0"/>
          <w:numId w:val="1010"/>
        </w:numPr>
        <w:pStyle w:val="Compact"/>
      </w:pPr>
      <w:r>
        <w:t xml:space="preserve">exact dictionary atom records and inset-support certificates;</w:t>
      </w:r>
    </w:p>
    <w:p>
      <w:pPr>
        <w:numPr>
          <w:ilvl w:val="0"/>
          <w:numId w:val="1010"/>
        </w:numPr>
        <w:pStyle w:val="Compact"/>
      </w:pPr>
      <w:r>
        <w:t xml:space="preserve">an exact convolution outer-support record;</w:t>
      </w:r>
    </w:p>
    <w:p>
      <w:pPr>
        <w:numPr>
          <w:ilvl w:val="0"/>
          <w:numId w:val="1010"/>
        </w:numPr>
        <w:pStyle w:val="Compact"/>
      </w:pPr>
      <w:r>
        <w:t xml:space="preserve">a complete prime-power ledger with independent sieve transcript;</w:t>
      </w:r>
    </w:p>
    <w:p>
      <w:pPr>
        <w:numPr>
          <w:ilvl w:val="0"/>
          <w:numId w:val="1010"/>
        </w:numPr>
        <w:pStyle w:val="Compact"/>
      </w:pPr>
      <w:r>
        <w:t xml:space="preserve">one rigorously enclosed Weil Gram entry and its independently computed transpose entry;</w:t>
      </w:r>
    </w:p>
    <w:p>
      <w:pPr>
        <w:numPr>
          <w:ilvl w:val="0"/>
          <w:numId w:val="1010"/>
        </w:numPr>
        <w:pStyle w:val="Compact"/>
      </w:pPr>
      <w:r>
        <w:t xml:space="preserve">an off-origin atomic-charge record for the corresponding raw prime increment;</w:t>
      </w:r>
    </w:p>
    <w:p>
      <w:pPr>
        <w:numPr>
          <w:ilvl w:val="0"/>
          <w:numId w:val="1010"/>
        </w:numPr>
        <w:pStyle w:val="Compact"/>
      </w:pPr>
      <w:r>
        <w:t xml:space="preserve">a counterterm family certificate on</w:t>
      </w:r>
      <w:r>
        <w:t xml:space="preserve"> </w:t>
      </w:r>
      <m:oMath>
        <m:sSub>
          <m:e>
            <m:r>
              <m:t>K</m:t>
            </m:r>
          </m:e>
          <m:sub>
            <m:r>
              <m:t>1</m:t>
            </m:r>
          </m:sub>
        </m:sSub>
        <m:r>
          <m:rPr>
            <m:sty m:val="p"/>
          </m:rPr>
          <m:t>,</m:t>
        </m:r>
        <m:sSub>
          <m:e>
            <m:r>
              <m:t>K</m:t>
            </m:r>
          </m:e>
          <m:sub>
            <m:r>
              <m:t>2</m:t>
            </m:r>
          </m:sub>
        </m:sSub>
        <m:r>
          <m:rPr>
            <m:sty m:val="p"/>
          </m:rPr>
          <m:t>,</m:t>
        </m:r>
        <m:sSub>
          <m:e>
            <m:r>
              <m:t>K</m:t>
            </m:r>
          </m:e>
          <m:sub>
            <m:r>
              <m:t>3</m:t>
            </m:r>
          </m:sub>
        </m:sSub>
      </m:oMath>
      <w:r>
        <w:t xml:space="preserve"> </w:t>
      </w:r>
      <w:r>
        <w:t xml:space="preserve">with explicit</w:t>
      </w:r>
      <w:r>
        <w:t xml:space="preserve"> </w:t>
      </w:r>
      <m:oMath>
        <m:sSup>
          <m:e>
            <m:r>
              <m:t>W</m:t>
            </m:r>
          </m:e>
          <m:sup>
            <m:r>
              <m:t>1</m:t>
            </m:r>
            <m:r>
              <m:rPr>
                <m:sty m:val="p"/>
              </m:rPr>
              <m:t>,</m:t>
            </m:r>
            <m:r>
              <m:t>1</m:t>
            </m:r>
          </m:sup>
        </m:sSup>
      </m:oMath>
      <w:r>
        <w:t xml:space="preserve"> </w:t>
      </w:r>
      <w:r>
        <w:t xml:space="preserve">bounds;</w:t>
      </w:r>
    </w:p>
    <w:p>
      <w:pPr>
        <w:numPr>
          <w:ilvl w:val="0"/>
          <w:numId w:val="1010"/>
        </w:numPr>
        <w:pStyle w:val="Compact"/>
      </w:pPr>
      <w:r>
        <w:t xml:space="preserve">both prime-adjunction orders and an exact or bounded holonomy certificate;</w:t>
      </w:r>
    </w:p>
    <w:p>
      <w:pPr>
        <w:numPr>
          <w:ilvl w:val="0"/>
          <w:numId w:val="1010"/>
        </w:numPr>
        <w:pStyle w:val="Compact"/>
      </w:pPr>
      <w:r>
        <w:t xml:space="preserve">a content-addressed preservation manifest;</w:t>
      </w:r>
    </w:p>
    <w:p>
      <w:pPr>
        <w:numPr>
          <w:ilvl w:val="0"/>
          <w:numId w:val="1010"/>
        </w:numPr>
        <w:pStyle w:val="Compact"/>
      </w:pPr>
      <w:r>
        <w:t xml:space="preserve">positive and intentionally corrupted fixtures;</w:t>
      </w:r>
    </w:p>
    <w:p>
      <w:pPr>
        <w:numPr>
          <w:ilvl w:val="0"/>
          <w:numId w:val="1010"/>
        </w:numPr>
        <w:pStyle w:val="Compact"/>
      </w:pPr>
      <w:r>
        <w:t xml:space="preserve">verification by the small offline checker.</w:t>
      </w:r>
    </w:p>
    <w:p>
      <w:pPr>
        <w:pStyle w:val="FirstParagraph"/>
      </w:pPr>
      <w:r>
        <w:t xml:space="preserve">This packet joins the finite arithmetic ledger to the infinite trace boundary without pretending that the operator already exists. If it succeeds, it becomes the minimal executable theorem object from which Phase 1, Phase 2, and Phase 3 can grow coherently.</w:t>
      </w:r>
    </w:p>
    <w:bookmarkEnd w:id="74"/>
    <w:bookmarkStart w:id="75" w:name="open-problems"/>
    <w:p>
      <w:pPr>
        <w:pStyle w:val="Heading1"/>
        <w:pBdr>
          <w:bottom w:val="single" w:sz="6" w:space="4" w:color="E8EEF5"/>
        </w:pBdr>
      </w:pPr>
      <w:r>
        <w:t xml:space="preserve">13. Open problems</w:t>
      </w:r>
    </w:p>
    <w:p>
      <w:pPr>
        <w:numPr>
          <w:ilvl w:val="0"/>
          <w:numId w:val="1011"/>
        </w:numPr>
        <w:pStyle w:val="Compact"/>
      </w:pPr>
      <w:r>
        <w:t xml:space="preserve">Construct a canonical certificate complex for LF test-function approximation whose homology has a useful analytic interpretation.</w:t>
      </w:r>
    </w:p>
    <w:p>
      <w:pPr>
        <w:numPr>
          <w:ilvl w:val="0"/>
          <w:numId w:val="1011"/>
        </w:numPr>
        <w:pStyle w:val="Compact"/>
      </w:pPr>
      <w:r>
        <w:t xml:space="preserve">Determine minimal generating two-cells for the scale/instrument/quotient context category.</w:t>
      </w:r>
    </w:p>
    <w:p>
      <w:pPr>
        <w:numPr>
          <w:ilvl w:val="0"/>
          <w:numId w:val="1011"/>
        </w:numPr>
        <w:pStyle w:val="Compact"/>
      </w:pPr>
      <w:r>
        <w:t xml:space="preserve">Develop interval-valued chain complexes in which enclosures compose without losing decisive witnesses.</w:t>
      </w:r>
    </w:p>
    <w:p>
      <w:pPr>
        <w:numPr>
          <w:ilvl w:val="0"/>
          <w:numId w:val="1011"/>
        </w:numPr>
        <w:pStyle w:val="Compact"/>
      </w:pPr>
      <w:r>
        <w:t xml:space="preserve">Characterize when observation-descent closure preserves standard Borel realizability.</w:t>
      </w:r>
    </w:p>
    <w:p>
      <w:pPr>
        <w:numPr>
          <w:ilvl w:val="0"/>
          <w:numId w:val="1011"/>
        </w:numPr>
        <w:pStyle w:val="Compact"/>
      </w:pPr>
      <w:r>
        <w:t xml:space="preserve">Replace union-bound probability composition by sharper certificates when dependence information is itself certified.</w:t>
      </w:r>
    </w:p>
    <w:p>
      <w:pPr>
        <w:numPr>
          <w:ilvl w:val="0"/>
          <w:numId w:val="1011"/>
        </w:numPr>
        <w:pStyle w:val="Compact"/>
      </w:pPr>
      <w:r>
        <w:t xml:space="preserve">Find the weakest effective condition that excludes off-origin atomic concentration for distribution-valued counterterms beyond measures.</w:t>
      </w:r>
    </w:p>
    <w:p>
      <w:pPr>
        <w:numPr>
          <w:ilvl w:val="0"/>
          <w:numId w:val="1011"/>
        </w:numPr>
        <w:pStyle w:val="Compact"/>
      </w:pPr>
      <w:r>
        <w:t xml:space="preserve">Determine whether atomic charge extends naturally to a quotient of tempered distributions suitable for the full explicit formula.</w:t>
      </w:r>
    </w:p>
    <w:p>
      <w:pPr>
        <w:numPr>
          <w:ilvl w:val="0"/>
          <w:numId w:val="1011"/>
        </w:numPr>
        <w:pStyle w:val="Compact"/>
      </w:pPr>
      <w:r>
        <w:t xml:space="preserve">Construct prime-local Hilbert stages whose raw trace increments carry the prescribed atomic charge before counterterms.</w:t>
      </w:r>
    </w:p>
    <w:p>
      <w:pPr>
        <w:numPr>
          <w:ilvl w:val="0"/>
          <w:numId w:val="1011"/>
        </w:numPr>
        <w:pStyle w:val="Compact"/>
      </w:pPr>
      <w:r>
        <w:t xml:space="preserve">Prove a joint place/cutoff interchange theorem in trace norm, or compute a rigorous naturality-defect modulus.</w:t>
      </w:r>
    </w:p>
    <w:p>
      <w:pPr>
        <w:numPr>
          <w:ilvl w:val="0"/>
          <w:numId w:val="1011"/>
        </w:numPr>
        <w:pStyle w:val="Compact"/>
      </w:pPr>
      <w:r>
        <w:t xml:space="preserve">Formalize the finite-comb no-go theorem, support calculus, Schur gate, and atomic-rigidity theorem in a proof assistant.</w:t>
      </w:r>
    </w:p>
    <w:p>
      <w:pPr>
        <w:numPr>
          <w:ilvl w:val="0"/>
          <w:numId w:val="1011"/>
        </w:numPr>
        <w:pStyle w:val="Compact"/>
      </w:pPr>
      <w:r>
        <w:t xml:space="preserve">Establish historical priority and precise relation to categorical proof theory, institution theory, and formalized scientific workflows.</w:t>
      </w:r>
    </w:p>
    <w:p>
      <w:pPr>
        <w:numPr>
          <w:ilvl w:val="0"/>
          <w:numId w:val="1011"/>
        </w:numPr>
        <w:pStyle w:val="Compact"/>
      </w:pPr>
      <w:r>
        <w:t xml:space="preserve">Test whether the audit-descent calculus compresses real multi-instrument scientific disagreements better than ordinary provenance graphs.</w:t>
      </w:r>
    </w:p>
    <w:bookmarkEnd w:id="75"/>
    <w:bookmarkStart w:id="76" w:name="references"/>
    <w:p>
      <w:pPr>
        <w:pStyle w:val="Heading1"/>
        <w:pBdr>
          <w:bottom w:val="single" w:sz="6" w:space="4" w:color="E8EEF5"/>
        </w:pBdr>
      </w:pPr>
      <w:r>
        <w:t xml:space="preserve">References</w:t>
      </w:r>
    </w:p>
    <w:p>
      <w:pPr>
        <w:numPr>
          <w:ilvl w:val="0"/>
          <w:numId w:val="1012"/>
        </w:numPr>
        <w:pStyle w:val="Compact"/>
      </w:pPr>
      <w:r>
        <w:t xml:space="preserve">A. Connes and C. Consani,</w:t>
      </w:r>
      <w:r>
        <w:t xml:space="preserve"> </w:t>
      </w:r>
      <w:r>
        <w:t xml:space="preserve">“</w:t>
      </w:r>
      <w:r>
        <w:t xml:space="preserve">Weil positivity and trace formula, the archimedean place,</w:t>
      </w:r>
      <w:r>
        <w:t xml:space="preserve">”</w:t>
      </w:r>
      <w:r>
        <w:t xml:space="preserve"> </w:t>
      </w:r>
      <w:r>
        <w:rPr>
          <w:iCs/>
          <w:i/>
        </w:rPr>
        <w:t xml:space="preserve">Selecta Mathematica</w:t>
      </w:r>
      <w:r>
        <w:t xml:space="preserve"> </w:t>
      </w:r>
      <w:r>
        <w:t xml:space="preserve">27 (2021); arXiv:2006.13771.</w:t>
      </w:r>
    </w:p>
    <w:p>
      <w:pPr>
        <w:numPr>
          <w:ilvl w:val="0"/>
          <w:numId w:val="1012"/>
        </w:numPr>
        <w:pStyle w:val="Compact"/>
      </w:pPr>
      <w:r>
        <w:t xml:space="preserve">A. Connes, C. Consani, and H. Moscovici,</w:t>
      </w:r>
      <w:r>
        <w:t xml:space="preserve"> </w:t>
      </w:r>
      <w:r>
        <w:t xml:space="preserve">“</w:t>
      </w:r>
      <w:r>
        <w:t xml:space="preserve">Zeta spectral triples,</w:t>
      </w:r>
      <w:r>
        <w:t xml:space="preserve">”</w:t>
      </w:r>
      <w:r>
        <w:t xml:space="preserve"> </w:t>
      </w:r>
      <w:r>
        <w:t xml:space="preserve">arXiv:2511.22755 (2025). Numerical convergence is reported; a rigorous convergence proof is identified there as open.</w:t>
      </w:r>
    </w:p>
    <w:p>
      <w:pPr>
        <w:numPr>
          <w:ilvl w:val="0"/>
          <w:numId w:val="1012"/>
        </w:numPr>
        <w:pStyle w:val="Compact"/>
      </w:pPr>
      <w:r>
        <w:t xml:space="preserve">T. Fritz,</w:t>
      </w:r>
      <w:r>
        <w:t xml:space="preserve"> </w:t>
      </w:r>
      <w:r>
        <w:t xml:space="preserve">“</w:t>
      </w:r>
      <w:r>
        <w:t xml:space="preserve">A synthetic approach to Markov kernels, conditional independence and theorems on sufficient statistics,</w:t>
      </w:r>
      <w:r>
        <w:t xml:space="preserve">”</w:t>
      </w:r>
      <w:r>
        <w:t xml:space="preserve"> </w:t>
      </w:r>
      <w:r>
        <w:rPr>
          <w:iCs/>
          <w:i/>
        </w:rPr>
        <w:t xml:space="preserve">Advances in Mathematics</w:t>
      </w:r>
      <w:r>
        <w:t xml:space="preserve"> </w:t>
      </w:r>
      <w:r>
        <w:t xml:space="preserve">370 (2020), 107239; arXiv:1908.07021.</w:t>
      </w:r>
    </w:p>
    <w:p>
      <w:pPr>
        <w:numPr>
          <w:ilvl w:val="0"/>
          <w:numId w:val="1012"/>
        </w:numPr>
        <w:pStyle w:val="Compact"/>
      </w:pPr>
      <w:r>
        <w:t xml:space="preserve">T. Fritz, T. Gonda, P. Perrone, and E. F. Rischel,</w:t>
      </w:r>
      <w:r>
        <w:t xml:space="preserve"> </w:t>
      </w:r>
      <w:r>
        <w:t xml:space="preserve">“</w:t>
      </w:r>
      <w:r>
        <w:t xml:space="preserve">Representable Markov categories and comparison of statistical experiments in categorical probability,</w:t>
      </w:r>
      <w:r>
        <w:t xml:space="preserve">”</w:t>
      </w:r>
      <w:r>
        <w:t xml:space="preserve"> </w:t>
      </w:r>
      <w:r>
        <w:rPr>
          <w:iCs/>
          <w:i/>
        </w:rPr>
        <w:t xml:space="preserve">Theoretical Computer Science</w:t>
      </w:r>
      <w:r>
        <w:t xml:space="preserve"> </w:t>
      </w:r>
      <w:r>
        <w:t xml:space="preserve">961 (2023), 113896; arXiv:2010.07416.</w:t>
      </w:r>
    </w:p>
    <w:p>
      <w:pPr>
        <w:numPr>
          <w:ilvl w:val="0"/>
          <w:numId w:val="1012"/>
        </w:numPr>
        <w:pStyle w:val="Compact"/>
      </w:pPr>
      <w:r>
        <w:t xml:space="preserve">A. Groskin,</w:t>
      </w:r>
      <w:r>
        <w:t xml:space="preserve"> </w:t>
      </w:r>
      <w:r>
        <w:t xml:space="preserve">“</w:t>
      </w:r>
      <w:r>
        <w:t xml:space="preserve">High-precision approximation of Riemann zeros via the truncated Weil form,</w:t>
      </w:r>
      <w:r>
        <w:t xml:space="preserve">”</w:t>
      </w:r>
      <w:r>
        <w:t xml:space="preserve"> </w:t>
      </w:r>
      <w:r>
        <w:t xml:space="preserve">arXiv:2605.20224 (2026). The paper explicitly makes no proof claim.</w:t>
      </w:r>
    </w:p>
    <w:p>
      <w:pPr>
        <w:numPr>
          <w:ilvl w:val="0"/>
          <w:numId w:val="1012"/>
        </w:numPr>
        <w:pStyle w:val="Compact"/>
      </w:pPr>
      <w:r>
        <w:t xml:space="preserve">D. A. Rojas,</w:t>
      </w:r>
      <w:r>
        <w:t xml:space="preserve"> </w:t>
      </w:r>
      <w:r>
        <w:t xml:space="preserve">“</w:t>
      </w:r>
      <w:r>
        <w:t xml:space="preserve">Effective weak and vague convergence of measures on the real line,</w:t>
      </w:r>
      <w:r>
        <w:t xml:space="preserve">”</w:t>
      </w:r>
      <w:r>
        <w:t xml:space="preserve"> </w:t>
      </w:r>
      <w:r>
        <w:t xml:space="preserve">arXiv:2111.02939 (2021).</w:t>
      </w:r>
    </w:p>
    <w:p>
      <w:pPr>
        <w:numPr>
          <w:ilvl w:val="0"/>
          <w:numId w:val="1012"/>
        </w:numPr>
        <w:pStyle w:val="Compact"/>
      </w:pPr>
      <w:r>
        <w:t xml:space="preserve">D. A. Rojas,</w:t>
      </w:r>
      <w:r>
        <w:t xml:space="preserve"> </w:t>
      </w:r>
      <w:r>
        <w:t xml:space="preserve">“</w:t>
      </w:r>
      <w:r>
        <w:t xml:space="preserve">Effective weak convergence and tightness of measures in computable Polish spaces,</w:t>
      </w:r>
      <w:r>
        <w:t xml:space="preserve">”</w:t>
      </w:r>
      <w:r>
        <w:t xml:space="preserve"> </w:t>
      </w:r>
      <w:r>
        <w:t xml:space="preserve">arXiv:2410.21609 (2024).</w:t>
      </w:r>
    </w:p>
    <w:p>
      <w:pPr>
        <w:numPr>
          <w:ilvl w:val="0"/>
          <w:numId w:val="1012"/>
        </w:numPr>
        <w:pStyle w:val="Compact"/>
      </w:pPr>
      <w:r>
        <w:t xml:space="preserve">C. Villani,</w:t>
      </w:r>
      <w:r>
        <w:t xml:space="preserve"> </w:t>
      </w:r>
      <w:r>
        <w:rPr>
          <w:iCs/>
          <w:i/>
        </w:rPr>
        <w:t xml:space="preserve">Optimal Transport: Old and New</w:t>
      </w:r>
      <w:r>
        <w:t xml:space="preserve">, Springer, 2009.</w:t>
      </w:r>
    </w:p>
    <w:p>
      <w:pPr>
        <w:numPr>
          <w:ilvl w:val="0"/>
          <w:numId w:val="1012"/>
        </w:numPr>
        <w:pStyle w:val="Compact"/>
      </w:pPr>
      <w:r>
        <w:t xml:space="preserve">C. A. Weibel,</w:t>
      </w:r>
      <w:r>
        <w:t xml:space="preserve"> </w:t>
      </w:r>
      <w:r>
        <w:rPr>
          <w:iCs/>
          <w:i/>
        </w:rPr>
        <w:t xml:space="preserve">An Introduction to Homological Algebra</w:t>
      </w:r>
      <w:r>
        <w:t xml:space="preserve">, Cambridge University Press, 1994.</w:t>
      </w:r>
    </w:p>
    <w:p>
      <w:pPr>
        <w:numPr>
          <w:ilvl w:val="0"/>
          <w:numId w:val="1012"/>
        </w:numPr>
        <w:pStyle w:val="Compact"/>
      </w:pPr>
      <w:r>
        <w:t xml:space="preserve">V. I. Bogachev,</w:t>
      </w:r>
      <w:r>
        <w:t xml:space="preserve"> </w:t>
      </w:r>
      <w:r>
        <w:rPr>
          <w:iCs/>
          <w:i/>
        </w:rPr>
        <w:t xml:space="preserve">Measure Theory</w:t>
      </w:r>
      <w:r>
        <w:t xml:space="preserve">, Springer, 2007.</w:t>
      </w:r>
    </w:p>
    <w:p>
      <w:pPr>
        <w:numPr>
          <w:ilvl w:val="0"/>
          <w:numId w:val="1012"/>
        </w:numPr>
        <w:pStyle w:val="Compact"/>
      </w:pPr>
      <w:r>
        <w:t xml:space="preserve">J. Tree,</w:t>
      </w:r>
      <w:r>
        <w:t xml:space="preserve"> </w:t>
      </w:r>
      <w:r>
        <w:rPr>
          <w:iCs/>
          <w:i/>
        </w:rPr>
        <w:t xml:space="preserve">Boundary-State Field Calculus</w:t>
      </w:r>
      <w:r>
        <w:t xml:space="preserve">, Volumes I-VII, compiled research catalogue, 2026-2027.</w:t>
      </w:r>
    </w:p>
    <w:p>
      <w:pPr>
        <w:numPr>
          <w:ilvl w:val="0"/>
          <w:numId w:val="1012"/>
        </w:numPr>
        <w:pStyle w:val="Compact"/>
      </w:pPr>
      <w:r>
        <w:t xml:space="preserve">J. Tree,</w:t>
      </w:r>
      <w:r>
        <w:t xml:space="preserve"> </w:t>
      </w:r>
      <w:r>
        <w:rPr>
          <w:iCs/>
          <w:i/>
        </w:rPr>
        <w:t xml:space="preserve">Arithmetic Recursive Folds: The J-Tree Program</w:t>
      </w:r>
      <w:r>
        <w:t xml:space="preserve">, 2026.</w:t>
      </w:r>
    </w:p>
    <w:p>
      <w:pPr>
        <w:numPr>
          <w:ilvl w:val="0"/>
          <w:numId w:val="1012"/>
        </w:numPr>
        <w:pStyle w:val="Compact"/>
      </w:pPr>
      <w:r>
        <w:t xml:space="preserve">J. Tree,</w:t>
      </w:r>
      <w:r>
        <w:t xml:space="preserve"> </w:t>
      </w:r>
      <w:r>
        <w:rPr>
          <w:iCs/>
          <w:i/>
        </w:rPr>
        <w:t xml:space="preserve">Certified Arithmetic Trace Reconstruction</w:t>
      </w:r>
      <w:r>
        <w:t xml:space="preserve">, 2026.</w:t>
      </w:r>
    </w:p>
    <w:bookmarkEnd w:id="76"/>
    <w:bookmarkStart w:id="77" w:name="appendix-a.-minimal-manifest-fragment"/>
    <w:p>
      <w:pPr>
        <w:pStyle w:val="Heading1"/>
        <w:pBdr>
          <w:bottom w:val="single" w:sz="6" w:space="4" w:color="E8EEF5"/>
        </w:pBdr>
      </w:pPr>
      <w:r>
        <w:t xml:space="preserve">Appendix A. Minimal manifest fragment</w:t>
      </w:r>
    </w:p>
    <w:p>
      <w:pPr>
        <w:pStyle w:val="SourceCode"/>
        <w:keepLines/>
        <w:shd w:fill="F4F6F9"/>
        <w:spacing w:before="100" w:after="140"/>
        <w:ind w:left="259" w:right="259"/>
      </w:pPr>
      <w:r>
        <w:t>{</w:t>
        <w:br/>
        <w:t xml:space="preserve">  "manifest_version": "0.3.0",</w:t>
        <w:br/>
        <w:t xml:space="preserve">  "draft": true,</w:t>
        <w:br/>
        <w:t xml:space="preserve">  "claim": {</w:t>
        <w:br/>
        <w:t xml:space="preserve">    "id": "example:claim",</w:t>
        <w:br/>
        <w:t xml:space="preserve">    "title": "Example research claim",</w:t>
        <w:br/>
        <w:t xml:space="preserve">    "type": "conjecture",</w:t>
        <w:br/>
        <w:t xml:space="preserve">    "evidence_maturity": "declared",</w:t>
        <w:br/>
        <w:t xml:space="preserve">    "deployment_status": "research_only",</w:t>
        <w:br/>
        <w:t xml:space="preserve">    "statement": "A precisely scoped example claim remains unresolved.",</w:t>
        <w:br/>
        <w:t xml:space="preserve">    "scope": "illustrative manifest only"</w:t>
        <w:br/>
        <w:t xml:space="preserve">  },</w:t>
        <w:br/>
        <w:t xml:space="preserve">  "system": {"domain": "declared system", "state_type": "typed states"},</w:t>
        <w:br/>
        <w:t xml:space="preserve">  "observation": {"kernel_or_instrument": "declared instrument", "legal_filtration": {}},</w:t>
        <w:br/>
        <w:t xml:space="preserve">  "representation": {"kind": "identity"},</w:t>
        <w:br/>
        <w:t xml:space="preserve">  "target": {"outcome": "declared outcome", "horizon": "declared horizon", "loss_or_score": "declared score"},</w:t>
        <w:br/>
        <w:t xml:space="preserve">  "experiment": {"baseline_model": "ordinary baseline", "search_budget": "not started"},</w:t>
        <w:br/>
        <w:t xml:space="preserve">  "admission": {</w:t>
        <w:br/>
        <w:t xml:space="preserve">    "hard_gates": ["naturality"],</w:t>
        <w:br/>
        <w:t xml:space="preserve">    "gate_results": [{"id": "naturality", "state": "unrun", "fatal": true, "evidence": []}]</w:t>
        <w:br/>
        <w:t xml:space="preserve">  },</w:t>
        <w:br/>
        <w:t xml:space="preserve">  "demotion": {</w:t>
        <w:br/>
        <w:t xml:space="preserve">    "owner": "maintainer",</w:t>
        <w:br/>
        <w:t xml:space="preserve">    "rules": [{"if": "counterexample", "then": "retire"}],</w:t>
        <w:br/>
        <w:t xml:space="preserve">    "negative_result_destination": "negative-results/"</w:t>
        <w:br/>
        <w:t xml:space="preserve">  },</w:t>
        <w:br/>
        <w:t xml:space="preserve">  "preservation": {"known_failures": ["No proof or experiment has been supplied."]},</w:t>
        <w:br/>
        <w:t xml:space="preserve">  "evidence": []</w:t>
        <w:br/>
        <w:t>}</w:t>
      </w:r>
    </w:p>
    <w:bookmarkEnd w:id="77"/>
    <w:bookmarkStart w:id="78" w:name="appendix-b.-engine-verification-record"/>
    <w:p>
      <w:pPr>
        <w:pStyle w:val="Heading1"/>
        <w:pBdr>
          <w:bottom w:val="single" w:sz="6" w:space="4" w:color="E8EEF5"/>
        </w:pBdr>
      </w:pPr>
      <w:r>
        <w:t xml:space="preserve">Appendix B. Engine verification record</w:t>
      </w:r>
    </w:p>
    <w:p>
      <w:pPr>
        <w:pStyle w:val="FirstParagraph"/>
      </w:pPr>
      <w:r>
        <w:t>The version 0.3.0a2 engine is tested under pinned Python 3.12.13 and setuptools 82.0.1. Its 62 deterministic unit tests cover exact arithmetic, schema/runtime parity, evidence-derived gate states, conflict and omission detection, failed-proof rejection, fail-closed arithmetic configuration, fatal propagation, and certificate calculations. A dedicated Null-Discrimination suite preserves the four known false-pass cases as regression fixtures.</w:t>
      </w:r>
    </w:p>
    <w:p>
      <w:pPr>
        <w:pStyle w:val="BodyText"/>
      </w:pPr>
      <w:r>
        <w:t>Continuous integration is a build fact, not independent replication; the latter requires an independently operated verifier and claim-bound passing evidence.</w:t>
      </w:r>
    </w:p>
    <w:bookmarkEnd w:id="78"/>
    <w:sectPr>
      <w:headerReference w:type="default" r:id="rId9"/>
      <w:footerReference w:type="default" r:id="rId10"/>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8"/>
        <w:sz w:val="16"/>
      </w:rPr>
      <w:t xml:space="preserve">J. TREE  ·  20 JULY 2026   ·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2E74B5"/>
      </w:pBdr>
    </w:pPr>
    <w:r>
      <w:rPr>
        <w:rFonts w:ascii="Calibri" w:hAnsi="Calibri" w:eastAsia="Calibri"/>
        <w:b/>
        <w:color w:val="5F6B78"/>
        <w:sz w:val="16"/>
      </w:rPr>
      <w:t>AUDIT DESCENT CALCULUS  ·  FOUNDATIONAL RESEARCH NOTE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540" w:hanging="270"/>
        <w:tabs>
          <w:tab w:val="num" w:pos="270"/>
        </w:tabs>
        <w:spacing w:after="80" w:line="300" w:lineRule="auto"/>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540" w:hanging="270"/>
        <w:tabs>
          <w:tab w:val="num" w:pos="270"/>
        </w:tabs>
        <w:spacing w:after="80" w:line="300" w:lineRule="auto"/>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540" w:hanging="270"/>
        <w:tabs>
          <w:tab w:val="num" w:pos="270"/>
        </w:tabs>
        <w:spacing w:after="80" w:line="300" w:lineRule="auto"/>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eastAsia="Calibri"/>
      <w:color w:val="20262E"/>
      <w:sz w:val="22"/>
    </w:rPr>
  </w:style>
  <w:style w:styleId="BodyText" w:type="paragraph">
    <w:name w:val="Body Text"/>
    <w:basedOn w:val="Normal"/>
    <w:link w:val="BodyTextChar"/>
    <w:pPr>
      <w:spacing w:after="120" w:before="0" w:line="300" w:lineRule="auto"/>
    </w:pPr>
    <w:qFormat/>
    <w:rPr>
      <w:rFonts w:ascii="Calibri" w:hAnsi="Calibri" w:eastAsia="Calibri"/>
      <w:color w:val="20262E"/>
      <w:sz w:val="22"/>
    </w:rPr>
  </w:style>
  <w:style w:customStyle="1" w:styleId="FirstParagraph" w:type="paragraph">
    <w:name w:val="First Paragraph"/>
    <w:basedOn w:val="BodyText"/>
    <w:next w:val="BodyText"/>
    <w:qFormat/>
    <w:pPr>
      <w:spacing w:before="0" w:after="120" w:line="300" w:lineRule="auto"/>
    </w:pPr>
    <w:rPr>
      <w:rFonts w:ascii="Calibri" w:hAnsi="Calibri" w:eastAsia="Calibri"/>
      <w:color w:val="20262E"/>
      <w:sz w:val="22"/>
    </w:rPr>
  </w:style>
  <w:style w:customStyle="1" w:styleId="Compact" w:type="paragraph">
    <w:name w:val="Compact"/>
    <w:basedOn w:val="BodyText"/>
    <w:qFormat/>
    <w:pPr>
      <w:spacing w:after="80" w:before="36" w:line="300" w:lineRule="auto"/>
      <w:ind w:left="540" w:hanging="271"/>
    </w:pPr>
    <w:rPr>
      <w:rFonts w:ascii="Calibri" w:hAnsi="Calibri" w:eastAsia="Calibri"/>
      <w:color w:val="20262E"/>
      <w:sz w:val="22"/>
    </w:rPr>
  </w:style>
  <w:style w:styleId="Title" w:type="paragraph">
    <w:name w:val="Title"/>
    <w:basedOn w:val="Normal"/>
    <w:next w:val="BodyText"/>
    <w:qFormat/>
    <w:pPr>
      <w:keepNext/>
      <w:keepLines/>
      <w:spacing w:after="240" w:before="1760"/>
      <w:jc w:val="center"/>
    </w:pPr>
    <w:rPr>
      <w:rFonts w:asciiTheme="majorHAnsi" w:cstheme="majorBidi" w:eastAsiaTheme="majorEastAsia" w:hAnsiTheme="majorHAnsi" w:ascii="Calibri" w:hAnsi="Calibri" w:eastAsia="Calibri"/>
      <w:b/>
      <w:bCs/>
      <w:color w:val="17365D"/>
      <w:sz w:val="60"/>
      <w:szCs w:val="36"/>
    </w:rPr>
  </w:style>
  <w:style w:styleId="Subtitle" w:type="paragraph">
    <w:name w:val="Subtitle"/>
    <w:basedOn w:val="Title"/>
    <w:next w:val="BodyText"/>
    <w:qFormat/>
    <w:pPr>
      <w:keepNext/>
      <w:keepLines/>
      <w:spacing w:after="560" w:before="240"/>
      <w:jc w:val="center"/>
    </w:pPr>
    <w:rPr>
      <w:rFonts w:ascii="Calibri" w:hAnsi="Calibri" w:eastAsia="Calibri"/>
      <w:color w:val="2E74B5"/>
      <w:sz w:val="30"/>
      <w:szCs w:val="30"/>
    </w:rPr>
  </w:style>
  <w:style w:customStyle="1" w:styleId="Author" w:type="paragraph">
    <w:name w:val="Author"/>
    <w:next w:val="BodyText"/>
    <w:qFormat/>
    <w:pPr>
      <w:keepNext/>
      <w:keepLines/>
      <w:spacing w:after="80"/>
      <w:jc w:val="center"/>
    </w:pPr>
    <w:rPr>
      <w:rFonts w:ascii="Calibri" w:hAnsi="Calibri" w:eastAsia="Calibri"/>
      <w:b/>
      <w:color w:val="5F6B78"/>
      <w:sz w:val="20"/>
    </w:rPr>
  </w:style>
  <w:style w:styleId="Date" w:type="paragraph">
    <w:name w:val="Date"/>
    <w:next w:val="BodyText"/>
    <w:qFormat/>
    <w:pPr>
      <w:keepNext/>
      <w:keepLines/>
      <w:spacing w:after="80"/>
      <w:jc w:val="center"/>
    </w:pPr>
    <w:rPr>
      <w:rFonts w:ascii="Calibri" w:hAnsi="Calibri" w:eastAsia="Calibri"/>
      <w:b w:val="0"/>
      <w:color w:val="5F6B78"/>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outlineLvl w:val="0"/>
    </w:pPr>
    <w:rPr>
      <w:rFonts w:asciiTheme="majorHAnsi" w:cstheme="majorBidi" w:eastAsiaTheme="majorEastAsia" w:hAnsiTheme="majorHAnsi" w:ascii="Calibri" w:hAnsi="Calibri" w:eastAsia="Calibri"/>
      <w:b/>
      <w:bCs/>
      <w:color w:val="2E74B5"/>
      <w:sz w:val="32"/>
      <w:szCs w:val="32"/>
    </w:rPr>
  </w:style>
  <w:style w:styleId="Heading2" w:type="paragraph">
    <w:name w:val="Heading 2"/>
    <w:basedOn w:val="Normal"/>
    <w:next w:val="BodyText"/>
    <w:uiPriority w:val="9"/>
    <w:unhideWhenUsed/>
    <w:qFormat/>
    <w:pPr>
      <w:keepNext/>
      <w:keepLines/>
      <w:spacing w:after="140" w:before="280"/>
      <w:outlineLvl w:val="1"/>
    </w:pPr>
    <w:rPr>
      <w:rFonts w:asciiTheme="majorHAnsi" w:cstheme="majorBidi" w:eastAsiaTheme="majorEastAsia" w:hAnsiTheme="majorHAnsi" w:ascii="Calibri" w:hAnsi="Calibri" w:eastAsia="Calibri"/>
      <w:b/>
      <w:bCs/>
      <w:color w:val="2E74B5"/>
      <w:sz w:val="26"/>
      <w:szCs w:val="28"/>
    </w:rPr>
  </w:style>
  <w:style w:styleId="Heading3" w:type="paragraph">
    <w:name w:val="Heading 3"/>
    <w:basedOn w:val="Normal"/>
    <w:next w:val="BodyText"/>
    <w:uiPriority w:val="9"/>
    <w:unhideWhenUsed/>
    <w:qFormat/>
    <w:pPr>
      <w:keepNext/>
      <w:keepLines/>
      <w:spacing w:after="100" w:before="200"/>
      <w:outlineLvl w:val="2"/>
    </w:pPr>
    <w:rPr>
      <w:rFonts w:asciiTheme="majorHAnsi" w:cstheme="majorBidi" w:eastAsiaTheme="majorEastAsia" w:hAnsiTheme="majorHAnsi" w:ascii="Calibri" w:hAnsi="Calibri" w:eastAsia="Calibri"/>
      <w:b/>
      <w:bCs/>
      <w:color w:val="17365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olor w:val="20262E"/>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color w:val="20262E"/>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Descent Calculus</dc:title>
  <dc:creator>J. Tree</dc:creator>
  <dc:language>en-US</dc:language>
  <cp:keywords>certificate transport, chain complex, audit, observation quotient, atomic rigidity, arithmetic trace</cp:keywords>
  <dcterms:created xsi:type="dcterms:W3CDTF">2026-07-21T02:02:09Z</dcterms:created>
  <dcterms:modified xsi:type="dcterms:W3CDTF">2026-07-21T02:02:09Z</dcterms:modified>
  <dc:subject>Certificate naturality, observation descent, atomic rigidity, and executable scientific audit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July 2026</vt:lpwstr>
  </property>
  <property fmtid="{D5CDD505-2E9C-101B-9397-08002B2CF9AE}" pid="3" name="subtitle">
    <vt:lpwstr>Certificate Naturality, Observation Galois Lattices, Atomic Rigidity, and an Executable Scientific Court</vt:lpwstr>
  </property>
</Properties>
</file>