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0B2545"/>
          <w:sz w:val="42"/>
        </w:rPr>
        <w:t>Chapter 12 — Emotion, Stress &amp; Coping</w:t>
      </w:r>
    </w:p>
    <w:p>
      <w:pPr>
        <w:spacing w:after="200"/>
      </w:pPr>
      <w:r>
        <w:rPr>
          <w:rFonts w:ascii="Calibri" w:hAnsi="Calibri"/>
          <w:b w:val="0"/>
          <w:i w:val="0"/>
          <w:color w:val="555555"/>
          <w:sz w:val="26"/>
        </w:rPr>
        <w:t>Spine seeds — all nine decisions settled</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E8EEF4"/>
          </w:tcPr>
          <w:p>
            <w:pPr>
              <w:spacing w:after="60"/>
            </w:pPr>
            <w:r>
              <w:rPr>
                <w:rFonts w:ascii="Calibri" w:hAnsi="Calibri"/>
                <w:b/>
                <w:i w:val="0"/>
                <w:color w:val="0B2545"/>
                <w:sz w:val="21"/>
              </w:rPr>
              <w:t>What this is</w:t>
            </w:r>
          </w:p>
          <w:p>
            <w:pPr>
              <w:spacing w:after="60"/>
            </w:pPr>
            <w:r>
              <w:rPr>
                <w:rFonts w:ascii="Calibri" w:hAnsi="Calibri"/>
                <w:b w:val="0"/>
                <w:i w:val="0"/>
                <w:color w:val="111111"/>
                <w:sz w:val="20"/>
              </w:rPr>
              <w:t>A record, not a review packet. All nine decisions were settled in conversation on 2026-07-26, so nothing here has an answer field. The diffable version is pipeline/ch12-spine-seeds.md, which also holds the reasoning for everything cut.</w:t>
            </w:r>
          </w:p>
          <w:p>
            <w:pPr>
              <w:spacing w:after="60"/>
            </w:pPr>
            <w:r>
              <w:rPr>
                <w:rFonts w:ascii="Calibri" w:hAnsi="Calibri"/>
                <w:b/>
                <w:i w:val="0"/>
                <w:color w:val="111111"/>
                <w:sz w:val="20"/>
              </w:rPr>
              <w:t xml:space="preserve">Why the filename changed. </w:t>
            </w:r>
            <w:r>
              <w:rPr>
                <w:rFonts w:ascii="Calibri" w:hAnsi="Calibri"/>
                <w:b w:val="0"/>
                <w:i w:val="0"/>
                <w:color w:val="111111"/>
                <w:sz w:val="20"/>
              </w:rPr>
              <w:t>The first review packet was overwritten in place by a rebuild after you had entered answers, and those answers were lost. Any revision to a packet that has been sent now goes to a new file — the convention the Chapter 11 marked copy already followed.</w:t>
            </w:r>
          </w:p>
          <w:p>
            <w:pPr>
              <w:spacing w:after="60"/>
            </w:pPr>
            <w:r>
              <w:rPr>
                <w:rFonts w:ascii="Calibri" w:hAnsi="Calibri"/>
                <w:b/>
                <w:i w:val="0"/>
                <w:color w:val="111111"/>
                <w:sz w:val="20"/>
              </w:rPr>
              <w:t xml:space="preserve">Before running git: delete C:\GitHub\psych101\.git\index.lock. </w:t>
            </w:r>
            <w:r>
              <w:rPr>
                <w:rFonts w:ascii="Calibri" w:hAnsi="Calibri"/>
                <w:b w:val="0"/>
                <w:i w:val="0"/>
                <w:color w:val="111111"/>
                <w:sz w:val="20"/>
              </w:rPr>
              <w:t>A git status call stranded it; the sandbox mount cannot unlink files under .git.</w:t>
            </w:r>
          </w:p>
        </w:tc>
      </w:tr>
    </w:tbl>
    <w:p>
      <w:pPr>
        <w:spacing w:after="40"/>
      </w:pPr>
    </w:p>
    <w:p>
      <w:pPr>
        <w:pStyle w:val="Heading1"/>
        <w:spacing w:before="260" w:after="80"/>
      </w:pPr>
      <w:r>
        <w:rPr>
          <w:rFonts w:ascii="Calibri" w:hAnsi="Calibri"/>
          <w:color w:val="0B2545"/>
          <w:sz w:val="32"/>
        </w:rPr>
        <w:t>The nine decisions</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503"/>
        <w:gridCol w:w="2160"/>
        <w:gridCol w:w="6696"/>
      </w:tblGrid>
      <w:tr>
        <w:trPr>
          <w:tblHeader/>
        </w:trPr>
        <w:tc>
          <w:tcPr>
            <w:tcW w:type="dxa" w:w="504"/>
            <w:shd w:val="clear" w:color="auto" w:fill="E4E9EF"/>
          </w:tcPr>
          <w:p>
            <w:pPr>
              <w:spacing w:after="40"/>
            </w:pPr>
            <w:r>
              <w:rPr>
                <w:rFonts w:ascii="Calibri" w:hAnsi="Calibri"/>
                <w:b/>
                <w:i w:val="0"/>
                <w:color w:val="0B2545"/>
                <w:sz w:val="19"/>
              </w:rPr>
              <w:t>#</w:t>
            </w:r>
          </w:p>
        </w:tc>
        <w:tc>
          <w:tcPr>
            <w:tcW w:type="dxa" w:w="2160"/>
            <w:shd w:val="clear" w:color="auto" w:fill="E4E9EF"/>
          </w:tcPr>
          <w:p>
            <w:pPr>
              <w:spacing w:after="40"/>
            </w:pPr>
            <w:r>
              <w:rPr>
                <w:rFonts w:ascii="Calibri" w:hAnsi="Calibri"/>
                <w:b/>
                <w:i w:val="0"/>
                <w:color w:val="0B2545"/>
                <w:sz w:val="19"/>
              </w:rPr>
              <w:t>Decision</w:t>
            </w:r>
          </w:p>
        </w:tc>
        <w:tc>
          <w:tcPr>
            <w:tcW w:type="dxa" w:w="6696"/>
            <w:shd w:val="clear" w:color="auto" w:fill="E4E9EF"/>
          </w:tcPr>
          <w:p>
            <w:pPr>
              <w:spacing w:after="40"/>
            </w:pPr>
            <w:r>
              <w:rPr>
                <w:rFonts w:ascii="Calibri" w:hAnsi="Calibri"/>
                <w:b/>
                <w:i w:val="0"/>
                <w:color w:val="0B2545"/>
                <w:sz w:val="19"/>
              </w:rPr>
              <w:t>Outcome</w:t>
            </w:r>
          </w:p>
        </w:tc>
      </w:tr>
      <w:tr>
        <w:tc>
          <w:tcPr>
            <w:tcW w:type="dxa" w:w="504"/>
          </w:tcPr>
          <w:p>
            <w:pPr>
              <w:spacing w:after="40"/>
            </w:pPr>
            <w:r>
              <w:rPr>
                <w:rFonts w:ascii="Calibri" w:hAnsi="Calibri"/>
                <w:b w:val="0"/>
                <w:i w:val="0"/>
                <w:color w:val="111111"/>
                <w:sz w:val="19"/>
              </w:rPr>
              <w:t>1</w:t>
            </w:r>
          </w:p>
        </w:tc>
        <w:tc>
          <w:tcPr>
            <w:tcW w:type="dxa" w:w="2160"/>
          </w:tcPr>
          <w:p>
            <w:pPr>
              <w:spacing w:after="40"/>
            </w:pPr>
            <w:r>
              <w:rPr>
                <w:rFonts w:ascii="Calibri" w:hAnsi="Calibri"/>
                <w:b w:val="0"/>
                <w:i w:val="0"/>
                <w:color w:val="111111"/>
                <w:sz w:val="19"/>
              </w:rPr>
              <w:t>Spine question</w:t>
            </w:r>
          </w:p>
        </w:tc>
        <w:tc>
          <w:tcPr>
            <w:tcW w:type="dxa" w:w="6696"/>
          </w:tcPr>
          <w:p>
            <w:pPr>
              <w:spacing w:after="40"/>
            </w:pPr>
            <w:r>
              <w:rPr>
                <w:rFonts w:ascii="Calibri" w:hAnsi="Calibri"/>
                <w:b w:val="0"/>
                <w:i w:val="0"/>
                <w:color w:val="111111"/>
                <w:sz w:val="19"/>
              </w:rPr>
              <w:t>Spine's wording plus a second clause. Replaces the table-of-contents sentence at the end of the opener.</w:t>
            </w:r>
          </w:p>
        </w:tc>
      </w:tr>
      <w:tr>
        <w:tc>
          <w:tcPr>
            <w:tcW w:type="dxa" w:w="504"/>
          </w:tcPr>
          <w:p>
            <w:pPr>
              <w:spacing w:after="40"/>
            </w:pPr>
            <w:r>
              <w:rPr>
                <w:rFonts w:ascii="Calibri" w:hAnsi="Calibri"/>
                <w:b w:val="0"/>
                <w:i w:val="0"/>
                <w:color w:val="111111"/>
                <w:sz w:val="19"/>
              </w:rPr>
              <w:t>2</w:t>
            </w:r>
          </w:p>
        </w:tc>
        <w:tc>
          <w:tcPr>
            <w:tcW w:type="dxa" w:w="2160"/>
          </w:tcPr>
          <w:p>
            <w:pPr>
              <w:spacing w:after="40"/>
            </w:pPr>
            <w:r>
              <w:rPr>
                <w:rFonts w:ascii="Calibri" w:hAnsi="Calibri"/>
                <w:b w:val="0"/>
                <w:i w:val="0"/>
                <w:color w:val="111111"/>
                <w:sz w:val="19"/>
              </w:rPr>
              <w:t>Chapter engine</w:t>
            </w:r>
          </w:p>
        </w:tc>
        <w:tc>
          <w:tcPr>
            <w:tcW w:type="dxa" w:w="6696"/>
          </w:tcPr>
          <w:p>
            <w:pPr>
              <w:spacing w:after="40"/>
            </w:pPr>
            <w:r>
              <w:rPr>
                <w:rFonts w:ascii="Calibri" w:hAnsi="Calibri"/>
                <w:b w:val="0"/>
                <w:i w:val="0"/>
                <w:color w:val="111111"/>
                <w:sz w:val="19"/>
              </w:rPr>
              <w:t>Accepted as drafted. Drafting test, not chapter text.</w:t>
            </w:r>
          </w:p>
        </w:tc>
      </w:tr>
      <w:tr>
        <w:tc>
          <w:tcPr>
            <w:tcW w:type="dxa" w:w="504"/>
          </w:tcPr>
          <w:p>
            <w:pPr>
              <w:spacing w:after="40"/>
            </w:pPr>
            <w:r>
              <w:rPr>
                <w:rFonts w:ascii="Calibri" w:hAnsi="Calibri"/>
                <w:b w:val="0"/>
                <w:i w:val="0"/>
                <w:color w:val="111111"/>
                <w:sz w:val="19"/>
              </w:rPr>
              <w:t>3</w:t>
            </w:r>
          </w:p>
        </w:tc>
        <w:tc>
          <w:tcPr>
            <w:tcW w:type="dxa" w:w="2160"/>
          </w:tcPr>
          <w:p>
            <w:pPr>
              <w:spacing w:after="40"/>
            </w:pPr>
            <w:r>
              <w:rPr>
                <w:rFonts w:ascii="Calibri" w:hAnsi="Calibri"/>
                <w:b w:val="0"/>
                <w:i w:val="0"/>
                <w:color w:val="111111"/>
                <w:sz w:val="19"/>
              </w:rPr>
              <w:t>Social buffering</w:t>
            </w:r>
          </w:p>
        </w:tc>
        <w:tc>
          <w:tcPr>
            <w:tcW w:type="dxa" w:w="6696"/>
          </w:tcPr>
          <w:p>
            <w:pPr>
              <w:spacing w:after="40"/>
            </w:pPr>
            <w:r>
              <w:rPr>
                <w:rFonts w:ascii="Calibri" w:hAnsi="Calibri"/>
                <w:b/>
                <w:i w:val="0"/>
                <w:color w:val="111111"/>
                <w:sz w:val="19"/>
              </w:rPr>
              <w:t>Installed. Hostinar, Sullivan &amp; Gunnar (2014), not the 2006 fMRI study.</w:t>
            </w:r>
          </w:p>
        </w:tc>
      </w:tr>
      <w:tr>
        <w:tc>
          <w:tcPr>
            <w:tcW w:type="dxa" w:w="504"/>
          </w:tcPr>
          <w:p>
            <w:pPr>
              <w:spacing w:after="40"/>
            </w:pPr>
            <w:r>
              <w:rPr>
                <w:rFonts w:ascii="Calibri" w:hAnsi="Calibri"/>
                <w:b w:val="0"/>
                <w:i w:val="0"/>
                <w:color w:val="111111"/>
                <w:sz w:val="19"/>
              </w:rPr>
              <w:t>4</w:t>
            </w:r>
          </w:p>
        </w:tc>
        <w:tc>
          <w:tcPr>
            <w:tcW w:type="dxa" w:w="2160"/>
          </w:tcPr>
          <w:p>
            <w:pPr>
              <w:spacing w:after="40"/>
            </w:pPr>
            <w:r>
              <w:rPr>
                <w:rFonts w:ascii="Calibri" w:hAnsi="Calibri"/>
                <w:b w:val="0"/>
                <w:i w:val="0"/>
                <w:color w:val="111111"/>
                <w:sz w:val="19"/>
              </w:rPr>
              <w:t>Compression</w:t>
            </w:r>
          </w:p>
        </w:tc>
        <w:tc>
          <w:tcPr>
            <w:tcW w:type="dxa" w:w="6696"/>
          </w:tcPr>
          <w:p>
            <w:pPr>
              <w:spacing w:after="40"/>
            </w:pPr>
            <w:r>
              <w:rPr>
                <w:rFonts w:ascii="Calibri" w:hAnsi="Calibri"/>
                <w:b/>
                <w:i w:val="0"/>
                <w:color w:val="111111"/>
                <w:sz w:val="19"/>
              </w:rPr>
              <w:t>Thread declined; sentence kept. Framework gesture cut.</w:t>
            </w:r>
          </w:p>
        </w:tc>
      </w:tr>
      <w:tr>
        <w:tc>
          <w:tcPr>
            <w:tcW w:type="dxa" w:w="504"/>
          </w:tcPr>
          <w:p>
            <w:pPr>
              <w:spacing w:after="40"/>
            </w:pPr>
            <w:r>
              <w:rPr>
                <w:rFonts w:ascii="Calibri" w:hAnsi="Calibri"/>
                <w:b w:val="0"/>
                <w:i w:val="0"/>
                <w:color w:val="111111"/>
                <w:sz w:val="19"/>
              </w:rPr>
              <w:t>5</w:t>
            </w:r>
          </w:p>
        </w:tc>
        <w:tc>
          <w:tcPr>
            <w:tcW w:type="dxa" w:w="2160"/>
          </w:tcPr>
          <w:p>
            <w:pPr>
              <w:spacing w:after="40"/>
            </w:pPr>
            <w:r>
              <w:rPr>
                <w:rFonts w:ascii="Calibri" w:hAnsi="Calibri"/>
                <w:b w:val="0"/>
                <w:i w:val="0"/>
                <w:color w:val="111111"/>
                <w:sz w:val="19"/>
              </w:rPr>
              <w:t>Action-readiness</w:t>
            </w:r>
          </w:p>
        </w:tc>
        <w:tc>
          <w:tcPr>
            <w:tcW w:type="dxa" w:w="6696"/>
          </w:tcPr>
          <w:p>
            <w:pPr>
              <w:spacing w:after="40"/>
            </w:pPr>
            <w:r>
              <w:rPr>
                <w:rFonts w:ascii="Calibri" w:hAnsi="Calibri"/>
                <w:b w:val="0"/>
                <w:i w:val="0"/>
                <w:color w:val="111111"/>
                <w:sz w:val="19"/>
              </w:rPr>
              <w:t>Payoff line only; term not named.</w:t>
            </w:r>
          </w:p>
        </w:tc>
      </w:tr>
      <w:tr>
        <w:tc>
          <w:tcPr>
            <w:tcW w:type="dxa" w:w="504"/>
          </w:tcPr>
          <w:p>
            <w:pPr>
              <w:spacing w:after="40"/>
            </w:pPr>
            <w:r>
              <w:rPr>
                <w:rFonts w:ascii="Calibri" w:hAnsi="Calibri"/>
                <w:b w:val="0"/>
                <w:i w:val="0"/>
                <w:color w:val="111111"/>
                <w:sz w:val="19"/>
              </w:rPr>
              <w:t>6</w:t>
            </w:r>
          </w:p>
        </w:tc>
        <w:tc>
          <w:tcPr>
            <w:tcW w:type="dxa" w:w="2160"/>
          </w:tcPr>
          <w:p>
            <w:pPr>
              <w:spacing w:after="40"/>
            </w:pPr>
            <w:r>
              <w:rPr>
                <w:rFonts w:ascii="Calibri" w:hAnsi="Calibri"/>
                <w:b w:val="0"/>
                <w:i w:val="0"/>
                <w:color w:val="111111"/>
                <w:sz w:val="19"/>
              </w:rPr>
              <w:t>Patient S.M.</w:t>
            </w:r>
          </w:p>
        </w:tc>
        <w:tc>
          <w:tcPr>
            <w:tcW w:type="dxa" w:w="6696"/>
          </w:tcPr>
          <w:p>
            <w:pPr>
              <w:spacing w:after="40"/>
            </w:pPr>
            <w:r>
              <w:rPr>
                <w:rFonts w:ascii="Calibri" w:hAnsi="Calibri"/>
                <w:b w:val="0"/>
                <w:i w:val="0"/>
                <w:color w:val="111111"/>
                <w:sz w:val="19"/>
              </w:rPr>
              <w:t>Installed, first version. Residual risk accepted.</w:t>
            </w:r>
          </w:p>
        </w:tc>
      </w:tr>
      <w:tr>
        <w:tc>
          <w:tcPr>
            <w:tcW w:type="dxa" w:w="504"/>
          </w:tcPr>
          <w:p>
            <w:pPr>
              <w:spacing w:after="40"/>
            </w:pPr>
            <w:r>
              <w:rPr>
                <w:rFonts w:ascii="Calibri" w:hAnsi="Calibri"/>
                <w:b w:val="0"/>
                <w:i w:val="0"/>
                <w:color w:val="111111"/>
                <w:sz w:val="19"/>
              </w:rPr>
              <w:t>7</w:t>
            </w:r>
          </w:p>
        </w:tc>
        <w:tc>
          <w:tcPr>
            <w:tcW w:type="dxa" w:w="2160"/>
          </w:tcPr>
          <w:p>
            <w:pPr>
              <w:spacing w:after="40"/>
            </w:pPr>
            <w:r>
              <w:rPr>
                <w:rFonts w:ascii="Calibri" w:hAnsi="Calibri"/>
                <w:b w:val="0"/>
                <w:i w:val="0"/>
                <w:color w:val="111111"/>
                <w:sz w:val="19"/>
              </w:rPr>
              <w:t>The prunes</w:t>
            </w:r>
          </w:p>
        </w:tc>
        <w:tc>
          <w:tcPr>
            <w:tcW w:type="dxa" w:w="6696"/>
          </w:tcPr>
          <w:p>
            <w:pPr>
              <w:spacing w:after="40"/>
            </w:pPr>
            <w:r>
              <w:rPr>
                <w:rFonts w:ascii="Calibri" w:hAnsi="Calibri"/>
                <w:b/>
                <w:i w:val="0"/>
                <w:color w:val="111111"/>
                <w:sz w:val="19"/>
              </w:rPr>
              <w:t>Settled — three of seven revised against my own recommendation.</w:t>
            </w:r>
          </w:p>
        </w:tc>
      </w:tr>
      <w:tr>
        <w:tc>
          <w:tcPr>
            <w:tcW w:type="dxa" w:w="504"/>
          </w:tcPr>
          <w:p>
            <w:pPr>
              <w:spacing w:after="40"/>
            </w:pPr>
            <w:r>
              <w:rPr>
                <w:rFonts w:ascii="Calibri" w:hAnsi="Calibri"/>
                <w:b w:val="0"/>
                <w:i w:val="0"/>
                <w:color w:val="111111"/>
                <w:sz w:val="19"/>
              </w:rPr>
              <w:t>8</w:t>
            </w:r>
          </w:p>
        </w:tc>
        <w:tc>
          <w:tcPr>
            <w:tcW w:type="dxa" w:w="2160"/>
          </w:tcPr>
          <w:p>
            <w:pPr>
              <w:spacing w:after="40"/>
            </w:pPr>
            <w:r>
              <w:rPr>
                <w:rFonts w:ascii="Calibri" w:hAnsi="Calibri"/>
                <w:b w:val="0"/>
                <w:i w:val="0"/>
                <w:color w:val="111111"/>
                <w:sz w:val="19"/>
              </w:rPr>
              <w:t>Light cone label</w:t>
            </w:r>
          </w:p>
        </w:tc>
        <w:tc>
          <w:tcPr>
            <w:tcW w:type="dxa" w:w="6696"/>
          </w:tcPr>
          <w:p>
            <w:pPr>
              <w:spacing w:after="40"/>
            </w:pPr>
            <w:r>
              <w:rPr>
                <w:rFonts w:ascii="Calibri" w:hAnsi="Calibri"/>
                <w:b w:val="0"/>
                <w:i w:val="0"/>
                <w:color w:val="111111"/>
                <w:sz w:val="19"/>
              </w:rPr>
              <w:t>Levin supersedes the audit. Spine section 3 amended.</w:t>
            </w:r>
          </w:p>
        </w:tc>
      </w:tr>
      <w:tr>
        <w:tc>
          <w:tcPr>
            <w:tcW w:type="dxa" w:w="504"/>
          </w:tcPr>
          <w:p>
            <w:pPr>
              <w:spacing w:after="40"/>
            </w:pPr>
            <w:r>
              <w:rPr>
                <w:rFonts w:ascii="Calibri" w:hAnsi="Calibri"/>
                <w:b w:val="0"/>
                <w:i w:val="0"/>
                <w:color w:val="111111"/>
                <w:sz w:val="19"/>
              </w:rPr>
              <w:t>9</w:t>
            </w:r>
          </w:p>
        </w:tc>
        <w:tc>
          <w:tcPr>
            <w:tcW w:type="dxa" w:w="2160"/>
          </w:tcPr>
          <w:p>
            <w:pPr>
              <w:spacing w:after="40"/>
            </w:pPr>
            <w:r>
              <w:rPr>
                <w:rFonts w:ascii="Calibri" w:hAnsi="Calibri"/>
                <w:b w:val="0"/>
                <w:i w:val="0"/>
                <w:color w:val="111111"/>
                <w:sz w:val="19"/>
              </w:rPr>
              <w:t>Net words</w:t>
            </w:r>
          </w:p>
        </w:tc>
        <w:tc>
          <w:tcPr>
            <w:tcW w:type="dxa" w:w="6696"/>
          </w:tcPr>
          <w:p>
            <w:pPr>
              <w:spacing w:after="40"/>
            </w:pPr>
            <w:r>
              <w:rPr>
                <w:rFonts w:ascii="Calibri" w:hAnsi="Calibri"/>
                <w:b w:val="0"/>
                <w:i w:val="0"/>
                <w:color w:val="111111"/>
                <w:sz w:val="19"/>
              </w:rPr>
              <w:t>Moot. Net is +117 on a chapter at the low end of target.</w:t>
            </w:r>
          </w:p>
        </w:tc>
      </w:tr>
    </w:tbl>
    <w:p>
      <w:pPr>
        <w:spacing w:after="80"/>
      </w:pPr>
    </w:p>
    <w:p>
      <w:pPr>
        <w:pStyle w:val="Heading1"/>
        <w:spacing w:before="260" w:after="80"/>
      </w:pPr>
      <w:r>
        <w:rPr>
          <w:rFonts w:ascii="Calibri" w:hAnsi="Calibri"/>
          <w:color w:val="0B2545"/>
          <w:sz w:val="32"/>
        </w:rPr>
        <w:t>The four that changed during discussion</w:t>
      </w:r>
    </w:p>
    <w:p>
      <w:pPr>
        <w:spacing w:after="120" w:before="0"/>
      </w:pPr>
      <w:r>
        <w:rPr>
          <w:rFonts w:ascii="Calibri" w:hAnsi="Calibri"/>
          <w:b w:val="0"/>
          <w:i w:val="0"/>
          <w:color w:val="555555"/>
          <w:sz w:val="20"/>
        </w:rPr>
        <w:t>These are the ones where the packet's recommendation did not survive scrutiny. Recorded because the next pass should not re-propose them.</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FF3D6"/>
          </w:tcPr>
          <w:p>
            <w:pPr>
              <w:spacing w:after="60"/>
            </w:pPr>
            <w:r>
              <w:rPr>
                <w:rFonts w:ascii="Calibri" w:hAnsi="Calibri"/>
                <w:b/>
                <w:i w:val="0"/>
                <w:color w:val="0B2545"/>
                <w:sz w:val="21"/>
              </w:rPr>
              <w:t>Decision 4 — compression thread declined</w:t>
            </w:r>
          </w:p>
          <w:p>
            <w:pPr>
              <w:spacing w:after="60"/>
            </w:pPr>
            <w:r>
              <w:rPr>
                <w:rFonts w:ascii="Calibri" w:hAnsi="Calibri"/>
                <w:b w:val="0"/>
                <w:i w:val="0"/>
                <w:color w:val="111111"/>
                <w:sz w:val="20"/>
              </w:rPr>
              <w:t xml:space="preserve">Your question — </w:t>
            </w:r>
            <w:r>
              <w:rPr>
                <w:rFonts w:ascii="Calibri" w:hAnsi="Calibri"/>
                <w:b w:val="0"/>
                <w:i/>
                <w:color w:val="111111"/>
                <w:sz w:val="20"/>
              </w:rPr>
              <w:t>“4 only to get compression in?”</w:t>
            </w:r>
            <w:r>
              <w:rPr>
                <w:rFonts w:ascii="Calibri" w:hAnsi="Calibri"/>
                <w:b w:val="0"/>
                <w:i w:val="0"/>
                <w:color w:val="111111"/>
                <w:sz w:val="20"/>
              </w:rPr>
              <w:t xml:space="preserve"> — was correct, and the answer was yes. That is the same reason just-world and attachment were cut from Chapter 11: the payoff was framework coherence, not student comprehension.</w:t>
            </w:r>
          </w:p>
          <w:p>
            <w:pPr>
              <w:spacing w:after="60"/>
            </w:pPr>
            <w:r>
              <w:rPr>
                <w:rFonts w:ascii="Calibri" w:hAnsi="Calibri"/>
                <w:b/>
                <w:i w:val="0"/>
                <w:color w:val="111111"/>
                <w:sz w:val="20"/>
              </w:rPr>
              <w:t xml:space="preserve">Kept, on student payoff alone: </w:t>
            </w:r>
            <w:r>
              <w:rPr>
                <w:rFonts w:ascii="Calibri" w:hAnsi="Calibri"/>
                <w:b w:val="0"/>
                <w:i/>
                <w:color w:val="111111"/>
                <w:sz w:val="20"/>
              </w:rPr>
              <w:t>Two numbers — pleasant or not, wound up or not — standing in for everything happening in a body. It is why you can be certain you feel terrible and have no idea why.</w:t>
            </w:r>
          </w:p>
          <w:p>
            <w:pPr>
              <w:spacing w:after="60"/>
            </w:pPr>
            <w:r>
              <w:rPr>
                <w:rFonts w:ascii="Calibri" w:hAnsi="Calibri"/>
                <w:b/>
                <w:i w:val="0"/>
                <w:color w:val="111111"/>
                <w:sz w:val="20"/>
              </w:rPr>
              <w:t xml:space="preserve">Cut as framework tidiness: </w:t>
            </w:r>
            <w:r>
              <w:rPr>
                <w:rFonts w:ascii="Calibri" w:hAnsi="Calibri"/>
                <w:b w:val="0"/>
                <w:i/>
                <w:color w:val="111111"/>
                <w:sz w:val="20"/>
              </w:rPr>
              <w:t>That is a summary, and summaries leave things out.</w:t>
            </w:r>
            <w:r>
              <w:rPr>
                <w:rFonts w:ascii="Calibri" w:hAnsi="Calibri"/>
                <w:b w:val="0"/>
                <w:i w:val="0"/>
                <w:color w:val="111111"/>
                <w:sz w:val="20"/>
              </w:rPr>
              <w:t xml:space="preserve"> Meta-commentary — the same species as the throat-clearing being removed elsewhere.</w:t>
            </w:r>
          </w:p>
          <w:p>
            <w:pPr>
              <w:spacing w:after="60"/>
            </w:pPr>
            <w:r>
              <w:rPr>
                <w:rFonts w:ascii="Calibri" w:hAnsi="Calibri"/>
                <w:b w:val="0"/>
                <w:i w:val="0"/>
                <w:color w:val="111111"/>
                <w:sz w:val="20"/>
              </w:rPr>
              <w:t>A second reason, missed on the first pass: the spine's own drafting rules forbid collapsing prediction error, emotion, and stress into one mechanism. Calling core affect compression implies emotion construction is the same operation as episodic-to-semantic memory compression, and it is not.</w:t>
            </w:r>
          </w:p>
          <w:p>
            <w:pPr>
              <w:spacing w:after="60"/>
            </w:pPr>
            <w:r>
              <w:rPr>
                <w:rFonts w:ascii="Calibri" w:hAnsi="Calibri"/>
                <w:b/>
                <w:i w:val="0"/>
                <w:color w:val="111111"/>
                <w:sz w:val="20"/>
              </w:rPr>
              <w:t xml:space="preserve">What is lost: </w:t>
            </w:r>
            <w:r>
              <w:rPr>
                <w:rFonts w:ascii="Calibri" w:hAnsi="Calibri"/>
                <w:b w:val="0"/>
                <w:i w:val="0"/>
                <w:color w:val="111111"/>
                <w:sz w:val="20"/>
              </w:rPr>
              <w:t>Chapter 12 stays the only chapter with no compression thread. Assessed as correct rather than as a gap. Flagged as a spine-maintenance question — the instruction to use the lens in every chapter may be overreaching.</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FF3D6"/>
          </w:tcPr>
          <w:p>
            <w:pPr>
              <w:spacing w:after="60"/>
            </w:pPr>
            <w:r>
              <w:rPr>
                <w:rFonts w:ascii="Calibri" w:hAnsi="Calibri"/>
                <w:b/>
                <w:i w:val="0"/>
                <w:color w:val="0B2545"/>
                <w:sz w:val="21"/>
              </w:rPr>
              <w:t>Decision 7 — three prunes revised, two deferred then unblocked</w:t>
            </w:r>
          </w:p>
          <w:p>
            <w:pPr>
              <w:spacing w:after="60"/>
            </w:pPr>
            <w:r>
              <w:rPr>
                <w:rFonts w:ascii="Calibri" w:hAnsi="Calibri"/>
                <w:b/>
                <w:i w:val="0"/>
                <w:color w:val="111111"/>
                <w:sz w:val="20"/>
              </w:rPr>
              <w:t xml:space="preserve">P2 </w:t>
            </w:r>
            <w:r>
              <w:rPr>
                <w:rFonts w:ascii="Calibri" w:hAnsi="Calibri"/>
                <w:b w:val="0"/>
                <w:i w:val="0"/>
                <w:color w:val="111111"/>
                <w:sz w:val="20"/>
              </w:rPr>
              <w:t>— the packet proposed cutting the two interchangeability examples. Reversed: the paragraph states its bound four times and those examples are the only concrete instance of “not one currency” in the chapter. The closing sentence goes instead. Same saving.</w:t>
            </w:r>
          </w:p>
          <w:p>
            <w:pPr>
              <w:spacing w:after="60"/>
            </w:pPr>
            <w:r>
              <w:rPr>
                <w:rFonts w:ascii="Calibri" w:hAnsi="Calibri"/>
                <w:b/>
                <w:i w:val="0"/>
                <w:color w:val="111111"/>
                <w:sz w:val="20"/>
              </w:rPr>
              <w:t xml:space="preserve">P1 </w:t>
            </w:r>
            <w:r>
              <w:rPr>
                <w:rFonts w:ascii="Calibri" w:hAnsi="Calibri"/>
                <w:b w:val="0"/>
                <w:i w:val="0"/>
                <w:color w:val="111111"/>
                <w:sz w:val="20"/>
              </w:rPr>
              <w:t>— the packet proposed folding the constructionism boundary into the theory table. Rejected: that buries the chapter's central epistemic commitment in a table cell students skim. Instead the paragraph is cut to that one sentence, in prose, at the head of Section 2.</w:t>
            </w:r>
          </w:p>
          <w:p>
            <w:pPr>
              <w:spacing w:after="60"/>
            </w:pPr>
            <w:r>
              <w:rPr>
                <w:rFonts w:ascii="Calibri" w:hAnsi="Calibri"/>
                <w:b/>
                <w:i w:val="0"/>
                <w:color w:val="111111"/>
                <w:sz w:val="20"/>
              </w:rPr>
              <w:t xml:space="preserve">P3 </w:t>
            </w:r>
            <w:r>
              <w:rPr>
                <w:rFonts w:ascii="Calibri" w:hAnsi="Calibri"/>
                <w:b w:val="0"/>
                <w:i w:val="0"/>
                <w:color w:val="111111"/>
                <w:sz w:val="20"/>
              </w:rPr>
              <w:t>— the anti-diagnosis clause is relocated to the existing Think About It prompt, not deleted. Same protection, out of the payoff position. Net saving is the 8-word opening hedge only.</w:t>
            </w:r>
          </w:p>
          <w:p>
            <w:pPr>
              <w:spacing w:after="60"/>
            </w:pPr>
            <w:r>
              <w:rPr>
                <w:rFonts w:ascii="Calibri" w:hAnsi="Calibri"/>
                <w:b/>
                <w:i w:val="0"/>
                <w:color w:val="111111"/>
                <w:sz w:val="20"/>
              </w:rPr>
              <w:t xml:space="preserve">P4 and P5 </w:t>
            </w:r>
            <w:r>
              <w:rPr>
                <w:rFonts w:ascii="Calibri" w:hAnsi="Calibri"/>
                <w:b w:val="0"/>
                <w:i w:val="0"/>
                <w:color w:val="111111"/>
                <w:sz w:val="20"/>
              </w:rPr>
              <w:t>were listed as independent prunes. They are the second half of Decision 3 — cutting P5 without installing social buffering would leave Heinrichs as an unbounded general claim, which is worse than the current disclaimer. Both unblocked now that Decision 3 is in.</w:t>
            </w:r>
          </w:p>
          <w:p>
            <w:pPr>
              <w:spacing w:after="60"/>
            </w:pPr>
            <w:r>
              <w:rPr>
                <w:rFonts w:ascii="Calibri" w:hAnsi="Calibri"/>
                <w:b/>
                <w:i w:val="0"/>
                <w:color w:val="111111"/>
                <w:sz w:val="20"/>
              </w:rPr>
              <w:t xml:space="preserve">P6 </w:t>
            </w:r>
            <w:r>
              <w:rPr>
                <w:rFonts w:ascii="Calibri" w:hAnsi="Calibri"/>
                <w:b w:val="0"/>
                <w:i w:val="0"/>
                <w:color w:val="111111"/>
                <w:sz w:val="20"/>
              </w:rPr>
              <w:t>depended on the zebra. With the zebra leading Section 3, the three goal scales are no longer the paragraph's structure, so the anti-hierarchy warning is no longer protecting against a live misreading.</w:t>
            </w:r>
          </w:p>
          <w:p>
            <w:pPr>
              <w:spacing w:after="60"/>
            </w:pPr>
            <w:r>
              <w:rPr>
                <w:rFonts w:ascii="Calibri" w:hAnsi="Calibri"/>
                <w:b/>
                <w:i w:val="0"/>
                <w:color w:val="111111"/>
                <w:sz w:val="20"/>
              </w:rPr>
              <w:t>Settled total is 149 words, not the 184 the packet claimed</w:t>
            </w:r>
            <w:r>
              <w:rPr>
                <w:rFonts w:ascii="Calibri" w:hAnsi="Calibri"/>
                <w:b w:val="0"/>
                <w:i w:val="0"/>
                <w:color w:val="111111"/>
                <w:sz w:val="20"/>
              </w:rPr>
              <w:t xml:space="preserve"> — that figure assumed the maximalist P1 and P2.</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FF3D6"/>
          </w:tcPr>
          <w:p>
            <w:pPr>
              <w:spacing w:after="60"/>
            </w:pPr>
            <w:r>
              <w:rPr>
                <w:rFonts w:ascii="Calibri" w:hAnsi="Calibri"/>
                <w:b/>
                <w:i w:val="0"/>
                <w:color w:val="0B2545"/>
                <w:sz w:val="21"/>
              </w:rPr>
              <w:t>Decision 5 — cheaper than budgeted</w:t>
            </w:r>
          </w:p>
          <w:p>
            <w:pPr>
              <w:spacing w:after="60"/>
            </w:pPr>
            <w:r>
              <w:rPr>
                <w:rFonts w:ascii="Calibri" w:hAnsi="Calibri"/>
                <w:b w:val="0"/>
                <w:i w:val="0"/>
                <w:color w:val="111111"/>
                <w:sz w:val="20"/>
              </w:rPr>
              <w:t>The granularity bullets already are action tendencies, and “That precision can suggest different actions” is already the payoff, flat and hedged. So this is a replacement, not an addition: about 31 words for 6, net +25 rather than the +30 budgeted. The optional naming sentence was not taken — the chapter map wants action-readiness taught, not the term recited.</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FF3D6"/>
          </w:tcPr>
          <w:p>
            <w:pPr>
              <w:spacing w:after="60"/>
            </w:pPr>
            <w:r>
              <w:rPr>
                <w:rFonts w:ascii="Calibri" w:hAnsi="Calibri"/>
                <w:b/>
                <w:i w:val="0"/>
                <w:color w:val="0B2545"/>
                <w:sz w:val="21"/>
              </w:rPr>
              <w:t>Decision 8 — an audit requirement retired, and the spine corrected</w:t>
            </w:r>
          </w:p>
          <w:p>
            <w:pPr>
              <w:spacing w:after="60"/>
            </w:pPr>
            <w:r>
              <w:rPr>
                <w:rFonts w:ascii="Calibri" w:hAnsi="Calibri"/>
                <w:b w:val="0"/>
                <w:i w:val="0"/>
                <w:color w:val="111111"/>
                <w:sz w:val="20"/>
              </w:rPr>
              <w:t>The audit required the cognitive light cone keep its course-specific label. Levin (2019) defines the term — the outer boundary in space and time of the largest goal a system can work toward — so the chapter's attribution is more accurate than the document protecting it.</w:t>
            </w:r>
          </w:p>
          <w:p>
            <w:pPr>
              <w:spacing w:after="60"/>
            </w:pPr>
            <w:r>
              <w:rPr>
                <w:rFonts w:ascii="Calibri" w:hAnsi="Calibri"/>
                <w:b/>
                <w:i w:val="0"/>
                <w:color w:val="111111"/>
                <w:sz w:val="20"/>
              </w:rPr>
              <w:t xml:space="preserve">theoretical-spine.md section 3 amended at your direction. </w:t>
            </w:r>
            <w:r>
              <w:rPr>
                <w:rFonts w:ascii="Calibri" w:hAnsi="Calibri"/>
                <w:b w:val="0"/>
                <w:i w:val="0"/>
                <w:color w:val="111111"/>
                <w:sz w:val="20"/>
              </w:rPr>
              <w:t>It had called the phrase a course-specific metaphor and not a standard research term. It now attributes it to Levin, states the correction, keeps Suddendorf, Schacter, Gilbert &amp; Wilson and Sapolsky as grounding for the application, and records that Levin derives the expanding boundary from a homeostatic drive to reduce stress — which links the light cone back to Section 1's allostasis material instead of leaving it stranded in Section 3.</w:t>
            </w:r>
          </w:p>
          <w:p>
            <w:pPr>
              <w:spacing w:after="60"/>
            </w:pPr>
            <w:r>
              <w:rPr>
                <w:rFonts w:ascii="Calibri" w:hAnsi="Calibri"/>
                <w:b w:val="0"/>
                <w:i w:val="0"/>
                <w:color w:val="111111"/>
                <w:sz w:val="20"/>
              </w:rPr>
              <w:t>Grupe &amp; Nitschke closed in the same edit: the citation verifies, but it is about pathological anxiety, so it imports a diagnostic frame the audit bars. Declined for Chapter 12, rerouted as a Chapter 13 candidate.</w:t>
            </w:r>
          </w:p>
        </w:tc>
      </w:tr>
    </w:tbl>
    <w:p>
      <w:pPr>
        <w:spacing w:after="40"/>
      </w:pPr>
    </w:p>
    <w:p>
      <w:pPr>
        <w:pStyle w:val="Heading1"/>
        <w:spacing w:before="260" w:after="80"/>
      </w:pPr>
      <w:r>
        <w:rPr>
          <w:rFonts w:ascii="Calibri" w:hAnsi="Calibri"/>
          <w:color w:val="0B2545"/>
          <w:sz w:val="32"/>
        </w:rPr>
        <w:t>What goes into the chapter</w:t>
      </w:r>
    </w:p>
    <w:p>
      <w:pPr>
        <w:spacing w:after="120" w:before="0"/>
      </w:pPr>
      <w:r>
        <w:rPr>
          <w:rFonts w:ascii="Calibri" w:hAnsi="Calibri"/>
          <w:b w:val="0"/>
          <w:i w:val="0"/>
          <w:color w:val="555555"/>
          <w:sz w:val="20"/>
        </w:rPr>
        <w:t>Sequenced as the protocol requires: prunes, then lead-and-definition inversions, then reclaims, then seams, then payoff lines, then apparatus last.</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7F7F5"/>
          </w:tcPr>
          <w:p>
            <w:pPr>
              <w:spacing w:after="60"/>
            </w:pPr>
            <w:r>
              <w:rPr>
                <w:rFonts w:ascii="Calibri" w:hAnsi="Calibri"/>
                <w:b/>
                <w:i w:val="0"/>
                <w:color w:val="0B2545"/>
                <w:sz w:val="21"/>
              </w:rPr>
              <w:t>Spine question — end of the opener</w:t>
            </w:r>
          </w:p>
          <w:p>
            <w:pPr>
              <w:spacing w:after="60"/>
            </w:pPr>
            <w:r>
              <w:rPr>
                <w:rFonts w:ascii="Calibri" w:hAnsi="Calibri"/>
                <w:b w:val="0"/>
                <w:i/>
                <w:color w:val="111111"/>
                <w:sz w:val="20"/>
              </w:rPr>
              <w:t>So how does your body decide what matters — and why won't it always stand down?</w:t>
            </w:r>
          </w:p>
          <w:p>
            <w:pPr>
              <w:spacing w:after="60"/>
            </w:pPr>
            <w:r>
              <w:rPr>
                <w:rFonts w:ascii="Calibri" w:hAnsi="Calibri"/>
                <w:b w:val="0"/>
                <w:i w:val="0"/>
                <w:color w:val="111111"/>
                <w:sz w:val="20"/>
              </w:rPr>
              <w:t>The preceding sentence already contains “what matters,” so the question picks up a word the paragraph just used. Replaces “This chapter follows that sequence from regulation to emotion to stress to action.”</w:t>
            </w:r>
          </w:p>
          <w:p>
            <w:pPr>
              <w:spacing w:after="60"/>
            </w:pPr>
            <w:r>
              <w:rPr>
                <w:rFonts w:ascii="Calibri" w:hAnsi="Calibri"/>
                <w:b w:val="0"/>
                <w:i w:val="0"/>
                <w:color w:val="111111"/>
                <w:sz w:val="20"/>
              </w:rPr>
              <w:t>This makes Chapter 12 the fifth of thirteen chapters to carry its spine question in the text. The other eight are a backlog item, not a Chapter 12 one.</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7F7F5"/>
          </w:tcPr>
          <w:p>
            <w:pPr>
              <w:spacing w:after="60"/>
            </w:pPr>
            <w:r>
              <w:rPr>
                <w:rFonts w:ascii="Calibri" w:hAnsi="Calibri"/>
                <w:b/>
                <w:i w:val="0"/>
                <w:color w:val="0B2545"/>
                <w:sz w:val="21"/>
              </w:rPr>
              <w:t>Opener — payoff line</w:t>
            </w:r>
          </w:p>
          <w:p>
            <w:pPr>
              <w:spacing w:after="60"/>
            </w:pPr>
            <w:r>
              <w:rPr>
                <w:rFonts w:ascii="Calibri" w:hAnsi="Calibri"/>
                <w:b w:val="0"/>
                <w:i/>
                <w:color w:val="111111"/>
                <w:sz w:val="20"/>
              </w:rPr>
              <w:t>The alarm in your kitchen reacts to smoke. You react to what smoke might mean — and nobody arrives at that with the same history.</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7F7F5"/>
          </w:tcPr>
          <w:p>
            <w:pPr>
              <w:spacing w:after="60"/>
            </w:pPr>
            <w:r>
              <w:rPr>
                <w:rFonts w:ascii="Calibri" w:hAnsi="Calibri"/>
                <w:b/>
                <w:i w:val="0"/>
                <w:color w:val="0B2545"/>
                <w:sz w:val="21"/>
              </w:rPr>
              <w:t>Section 1 — lead, payoff, and two reclaims</w:t>
            </w:r>
          </w:p>
          <w:p>
            <w:pPr>
              <w:spacing w:after="60"/>
            </w:pPr>
            <w:r>
              <w:rPr>
                <w:rFonts w:ascii="Calibri" w:hAnsi="Calibri"/>
                <w:b w:val="0"/>
                <w:i w:val="0"/>
                <w:color w:val="111111"/>
                <w:sz w:val="20"/>
              </w:rPr>
              <w:t>Lead with the thermostat, verbs restored: kicks on when the house gets cold, and learns your schedule and preheats the house before you wake up. Learns is also more accurate than knows, because allostasis is acquired.</w:t>
            </w:r>
          </w:p>
          <w:p>
            <w:pPr>
              <w:spacing w:after="60"/>
            </w:pPr>
            <w:r>
              <w:rPr>
                <w:rFonts w:ascii="Calibri" w:hAnsi="Calibri"/>
                <w:b w:val="0"/>
                <w:i/>
                <w:color w:val="111111"/>
                <w:sz w:val="20"/>
              </w:rPr>
              <w:t>By the time you feel anything, your body has already moved. Feeling is not the report on what happened — it is part of getting ready for what might.</w:t>
            </w:r>
          </w:p>
          <w:p>
            <w:pPr>
              <w:spacing w:after="60"/>
            </w:pPr>
            <w:r>
              <w:rPr>
                <w:rFonts w:ascii="Calibri" w:hAnsi="Calibri"/>
                <w:b w:val="0"/>
                <w:i/>
                <w:color w:val="111111"/>
                <w:sz w:val="20"/>
              </w:rPr>
              <w:t>Right now, reading this, you are somewhere on that map — perhaps mildly pleasant and moderately aroused; perhaps slightly unpleasant and low-arousal.</w:t>
            </w:r>
          </w:p>
          <w:p>
            <w:pPr>
              <w:spacing w:after="60"/>
            </w:pPr>
            <w:r>
              <w:rPr>
                <w:rFonts w:ascii="Calibri" w:hAnsi="Calibri"/>
                <w:b w:val="0"/>
                <w:i/>
                <w:color w:val="111111"/>
                <w:sz w:val="20"/>
              </w:rPr>
              <w:t>Two numbers — pleasant or not, wound up or not — standing in for everything happening in a body. It is why you can be certain you feel terrible and have no idea why.</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7F7F5"/>
          </w:tcPr>
          <w:p>
            <w:pPr>
              <w:spacing w:after="60"/>
            </w:pPr>
            <w:r>
              <w:rPr>
                <w:rFonts w:ascii="Calibri" w:hAnsi="Calibri"/>
                <w:b/>
                <w:i w:val="0"/>
                <w:color w:val="0B2545"/>
                <w:sz w:val="21"/>
              </w:rPr>
              <w:t>Section 2 — lead and payoff</w:t>
            </w:r>
          </w:p>
          <w:p>
            <w:pPr>
              <w:spacing w:after="60"/>
            </w:pPr>
            <w:r>
              <w:rPr>
                <w:rFonts w:ascii="Calibri" w:hAnsi="Calibri"/>
                <w:b w:val="0"/>
                <w:i w:val="0"/>
                <w:color w:val="111111"/>
                <w:sz w:val="20"/>
              </w:rPr>
              <w:t>Move the granularity examples from the end of the section to its opening. They are the concrete hook and they currently arrive after the theory table and S.M.</w:t>
            </w:r>
          </w:p>
          <w:p>
            <w:pPr>
              <w:spacing w:after="60"/>
            </w:pPr>
            <w:r>
              <w:rPr>
                <w:rFonts w:ascii="Calibri" w:hAnsi="Calibri"/>
                <w:b w:val="0"/>
                <w:i/>
                <w:color w:val="111111"/>
                <w:sz w:val="20"/>
              </w:rPr>
              <w:t>“I feel bad” tells you nothing about what to do next. “I'm disappointed” tells you to revise an expectation. “I'm frustrated” tells you to change the approach. Same discomfort, different instructions.</w:t>
            </w:r>
          </w:p>
          <w:p>
            <w:pPr>
              <w:spacing w:after="60"/>
            </w:pPr>
            <w:r>
              <w:rPr>
                <w:rFonts w:ascii="Calibri" w:hAnsi="Calibri"/>
                <w:b w:val="0"/>
                <w:i w:val="0"/>
                <w:color w:val="111111"/>
                <w:sz w:val="20"/>
              </w:rPr>
              <w:t>Section 2 keeps one sentence of its opening paragraph, in prose, at the head: constructionism is the lens used here, but it is not the only serious contemporary account.</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7F7F5"/>
          </w:tcPr>
          <w:p>
            <w:pPr>
              <w:spacing w:after="60"/>
            </w:pPr>
            <w:r>
              <w:rPr>
                <w:rFonts w:ascii="Calibri" w:hAnsi="Calibri"/>
                <w:b/>
                <w:i w:val="0"/>
                <w:color w:val="0B2545"/>
                <w:sz w:val="21"/>
              </w:rPr>
              <w:t>Patient S.M. — lead and payoff</w:t>
            </w:r>
          </w:p>
          <w:p>
            <w:pPr>
              <w:spacing w:after="60"/>
            </w:pPr>
            <w:r>
              <w:rPr>
                <w:rFonts w:ascii="Calibri" w:hAnsi="Calibri"/>
                <w:b w:val="0"/>
                <w:i w:val="0"/>
                <w:color w:val="111111"/>
                <w:sz w:val="20"/>
              </w:rPr>
              <w:t>Move the snakes ahead of the lesion description.</w:t>
            </w:r>
          </w:p>
          <w:p>
            <w:pPr>
              <w:spacing w:after="60"/>
            </w:pPr>
            <w:r>
              <w:rPr>
                <w:rFonts w:ascii="Calibri" w:hAnsi="Calibri"/>
                <w:b w:val="0"/>
                <w:i/>
                <w:color w:val="111111"/>
                <w:sz w:val="20"/>
              </w:rPr>
              <w:t>She can tell you the snake is dangerous. She just doesn't mind. Knowing and minding turn out to be two different jobs — and the CO2 result shows the amygdala is not the only way into the second one. The amygdala contributes importantly to some externally triggered threats; it is not necessary for every experience of fear or panic.</w:t>
            </w:r>
          </w:p>
          <w:p>
            <w:pPr>
              <w:spacing w:after="60"/>
            </w:pPr>
            <w:r>
              <w:rPr>
                <w:rFonts w:ascii="Calibri" w:hAnsi="Calibri"/>
                <w:b/>
                <w:i w:val="0"/>
                <w:color w:val="111111"/>
                <w:sz w:val="20"/>
              </w:rPr>
              <w:t xml:space="preserve">Residual risk, accepted knowingly. </w:t>
            </w:r>
            <w:r>
              <w:rPr>
                <w:rFonts w:ascii="Calibri" w:hAnsi="Calibri"/>
                <w:b w:val="0"/>
                <w:i w:val="0"/>
                <w:color w:val="111111"/>
                <w:sz w:val="20"/>
              </w:rPr>
              <w:t>“She just doesn't mind” is true of the snakes, films and haunted house, and would be false as a general statement about her — she panicked on CO2. The following sentence has to carry that limit. If it reads as a general claim at line-edit, the conservative alternative is in the markdown record.</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7F7F5"/>
          </w:tcPr>
          <w:p>
            <w:pPr>
              <w:spacing w:after="60"/>
            </w:pPr>
            <w:r>
              <w:rPr>
                <w:rFonts w:ascii="Calibri" w:hAnsi="Calibri"/>
                <w:b/>
                <w:i w:val="0"/>
                <w:color w:val="0B2545"/>
                <w:sz w:val="21"/>
              </w:rPr>
              <w:t>Section 3 — reorder to zebra, exam, definitions, light cone</w:t>
            </w:r>
          </w:p>
          <w:p>
            <w:pPr>
              <w:spacing w:after="60"/>
            </w:pPr>
            <w:r>
              <w:rPr>
                <w:rFonts w:ascii="Calibri" w:hAnsi="Calibri"/>
                <w:b w:val="0"/>
                <w:i w:val="0"/>
                <w:color w:val="111111"/>
                <w:sz w:val="20"/>
              </w:rPr>
              <w:t>The section currently opens on four bolded terms in four sentences, with the exam image second. The definitions should arrive to name what the student is already looking at.</w:t>
            </w:r>
          </w:p>
          <w:p>
            <w:pPr>
              <w:spacing w:after="60"/>
            </w:pPr>
            <w:r>
              <w:rPr>
                <w:rFonts w:ascii="Calibri" w:hAnsi="Calibri"/>
                <w:b w:val="0"/>
                <w:i/>
                <w:color w:val="111111"/>
                <w:sz w:val="20"/>
              </w:rPr>
              <w:t>The zebra's stress response mobilizes fully for the minute it takes to escape a lion, then shuts off completely once the threat is gone or the zebra is dead (Sapolsky, 2004). Yours doesn't. Your threats are next Tuesday — and they will still be next Tuesday tomorrow.</w:t>
            </w:r>
          </w:p>
          <w:p>
            <w:pPr>
              <w:spacing w:after="60"/>
            </w:pPr>
            <w:r>
              <w:rPr>
                <w:rFonts w:ascii="Calibri" w:hAnsi="Calibri"/>
                <w:b/>
                <w:i w:val="0"/>
                <w:color w:val="111111"/>
                <w:sz w:val="20"/>
              </w:rPr>
              <w:t xml:space="preserve">One word changed from the pre-repair version. </w:t>
            </w:r>
            <w:r>
              <w:rPr>
                <w:rFonts w:ascii="Calibri" w:hAnsi="Calibri"/>
                <w:b w:val="0"/>
                <w:i w:val="0"/>
                <w:color w:val="111111"/>
                <w:sz w:val="20"/>
              </w:rPr>
              <w:t>It said humans run the same ancient mobilization machinery. The audit bars identical-pathway language and that is the same claim. It becomes overlapping, which the chapter already says correctly elsewhere.</w:t>
            </w:r>
          </w:p>
          <w:p>
            <w:pPr>
              <w:spacing w:after="60"/>
            </w:pPr>
            <w:r>
              <w:rPr>
                <w:rFonts w:ascii="Calibri" w:hAnsi="Calibri"/>
                <w:b w:val="0"/>
                <w:i w:val="0"/>
                <w:color w:val="111111"/>
                <w:sz w:val="20"/>
              </w:rPr>
              <w:t>The spine already prescribed Sapolsky's zebra contrast as grounding for this material. The repair pass removed the only place the chapter used it, so this restores something the framework had asked for.</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7F7F5"/>
          </w:tcPr>
          <w:p>
            <w:pPr>
              <w:spacing w:after="60"/>
            </w:pPr>
            <w:r>
              <w:rPr>
                <w:rFonts w:ascii="Calibri" w:hAnsi="Calibri"/>
                <w:b/>
                <w:i w:val="0"/>
                <w:color w:val="0B2545"/>
                <w:sz w:val="21"/>
              </w:rPr>
              <w:t>Section 4 — payoff and the social buffering seam</w:t>
            </w:r>
          </w:p>
          <w:p>
            <w:pPr>
              <w:spacing w:after="60"/>
            </w:pPr>
            <w:r>
              <w:rPr>
                <w:rFonts w:ascii="Calibri" w:hAnsi="Calibri"/>
                <w:b w:val="0"/>
                <w:i/>
                <w:color w:val="111111"/>
                <w:sz w:val="20"/>
              </w:rPr>
              <w:t>There is no best coping strategy, the way there is no best tool. There is only what the situation will let you change — and whether you are currently in a state to change it.</w:t>
            </w:r>
          </w:p>
          <w:p>
            <w:pPr>
              <w:spacing w:after="60"/>
            </w:pPr>
            <w:r>
              <w:rPr>
                <w:rFonts w:ascii="Calibri" w:hAnsi="Calibri"/>
                <w:b w:val="0"/>
                <w:i/>
                <w:color w:val="111111"/>
                <w:sz w:val="20"/>
              </w:rPr>
              <w:t>Chapter 10 said it already: for a while, the caregiver's regulated body is the infant's regulation system, borrowed from the outside. You never entirely stop borrowing. Reliable people do not only make a hard thing feel better — they change what the hard thing costs you to handle (Hostinar, Sullivan, &amp; Gunnar, 2014).</w:t>
            </w:r>
          </w:p>
          <w:p>
            <w:pPr>
              <w:spacing w:after="60"/>
            </w:pPr>
            <w:r>
              <w:rPr>
                <w:rFonts w:ascii="Calibri" w:hAnsi="Calibri"/>
                <w:b w:val="0"/>
                <w:i w:val="0"/>
                <w:color w:val="111111"/>
                <w:sz w:val="20"/>
              </w:rPr>
              <w:t>The Chapter 10 clause is quoted verbatim from that chapter's own sentence. It replaces “Those are several pathways, not one deposit into a literal account,” keeping Cohen &amp; Wills and the emotion- and problem-focused closer either side of it.</w:t>
            </w:r>
          </w:p>
          <w:p>
            <w:pPr>
              <w:spacing w:after="60"/>
            </w:pPr>
            <w:r>
              <w:rPr>
                <w:rFonts w:ascii="Calibri" w:hAnsi="Calibri"/>
                <w:b/>
                <w:i w:val="0"/>
                <w:color w:val="111111"/>
                <w:sz w:val="20"/>
              </w:rPr>
              <w:t xml:space="preserve">Watch: </w:t>
            </w:r>
            <w:r>
              <w:rPr>
                <w:rFonts w:ascii="Calibri" w:hAnsi="Calibri"/>
                <w:b w:val="0"/>
                <w:i w:val="0"/>
                <w:color w:val="111111"/>
                <w:sz w:val="20"/>
              </w:rPr>
              <w:t>“changes what the hard thing costs” must stay a claim about regulatory demand, never about a measurable balance. Hostinar is a review — do not upgrade it to a single demonstrated mechanism.</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F7F7F5"/>
          </w:tcPr>
          <w:p>
            <w:pPr>
              <w:spacing w:after="60"/>
            </w:pPr>
            <w:r>
              <w:rPr>
                <w:rFonts w:ascii="Calibri" w:hAnsi="Calibri"/>
                <w:b/>
                <w:i w:val="0"/>
                <w:color w:val="0B2545"/>
                <w:sz w:val="21"/>
              </w:rPr>
              <w:t>AI Connection and the closing cadence</w:t>
            </w:r>
          </w:p>
          <w:p>
            <w:pPr>
              <w:spacing w:after="60"/>
            </w:pPr>
            <w:r>
              <w:rPr>
                <w:rFonts w:ascii="Calibri" w:hAnsi="Calibri"/>
                <w:b w:val="0"/>
                <w:i/>
                <w:color w:val="111111"/>
                <w:sz w:val="20"/>
              </w:rPr>
              <w:t>It can say “overwhelmed” perfectly. It has nothing to be overwhelmed about.</w:t>
            </w:r>
            <w:r>
              <w:rPr>
                <w:rFonts w:ascii="Calibri" w:hAnsi="Calibri"/>
                <w:b w:val="0"/>
                <w:i w:val="0"/>
                <w:color w:val="111111"/>
                <w:sz w:val="20"/>
              </w:rPr>
              <w:t xml:space="preserve">  Then the existing close, unchanged: </w:t>
            </w:r>
            <w:r>
              <w:rPr>
                <w:rFonts w:ascii="Calibri" w:hAnsi="Calibri"/>
                <w:b w:val="0"/>
                <w:i/>
                <w:color w:val="111111"/>
                <w:sz w:val="20"/>
              </w:rPr>
              <w:t>Useful as a mirror; not proof of a felt state.</w:t>
            </w:r>
          </w:p>
          <w:p>
            <w:pPr>
              <w:spacing w:after="60"/>
            </w:pPr>
            <w:r>
              <w:rPr>
                <w:rFonts w:ascii="Calibri" w:hAnsi="Calibri"/>
                <w:b w:val="0"/>
                <w:i w:val="0"/>
                <w:color w:val="111111"/>
                <w:sz w:val="20"/>
              </w:rPr>
              <w:t>Closing cadence: an old, mostly effective system returns to an old, mostly excellent system. Dropping “prediction” was correct per the audit; “excellent” was collateral.</w:t>
            </w:r>
          </w:p>
        </w:tc>
      </w:tr>
    </w:tbl>
    <w:p>
      <w:pPr>
        <w:spacing w:after="40"/>
      </w:pPr>
    </w:p>
    <w:p>
      <w:pPr>
        <w:pStyle w:val="Heading1"/>
        <w:spacing w:before="260" w:after="80"/>
      </w:pPr>
      <w:r>
        <w:rPr>
          <w:rFonts w:ascii="Calibri" w:hAnsi="Calibri"/>
          <w:color w:val="0B2545"/>
          <w:sz w:val="32"/>
        </w:rPr>
        <w:t>The trade, measured</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4896"/>
        <w:gridCol w:w="1224"/>
        <w:gridCol w:w="1440"/>
        <w:gridCol w:w="1800"/>
      </w:tblGrid>
      <w:tr>
        <w:trPr>
          <w:tblHeader/>
        </w:trPr>
        <w:tc>
          <w:tcPr>
            <w:tcW w:type="dxa" w:w="4896"/>
            <w:shd w:val="clear" w:color="auto" w:fill="E4E9EF"/>
          </w:tcPr>
          <w:p>
            <w:pPr>
              <w:spacing w:after="40"/>
            </w:pPr>
            <w:r>
              <w:rPr>
                <w:rFonts w:ascii="Calibri" w:hAnsi="Calibri"/>
                <w:b/>
                <w:i w:val="0"/>
                <w:color w:val="0B2545"/>
                <w:sz w:val="19"/>
              </w:rPr>
              <w:t>Insertion</w:t>
            </w:r>
          </w:p>
        </w:tc>
        <w:tc>
          <w:tcPr>
            <w:tcW w:type="dxa" w:w="1224"/>
            <w:shd w:val="clear" w:color="auto" w:fill="E4E9EF"/>
          </w:tcPr>
          <w:p>
            <w:pPr>
              <w:spacing w:after="40"/>
            </w:pPr>
            <w:r>
              <w:rPr>
                <w:rFonts w:ascii="Calibri" w:hAnsi="Calibri"/>
                <w:b/>
                <w:i w:val="0"/>
                <w:color w:val="0B2545"/>
                <w:sz w:val="19"/>
              </w:rPr>
              <w:t>Gross</w:t>
            </w:r>
          </w:p>
        </w:tc>
        <w:tc>
          <w:tcPr>
            <w:tcW w:type="dxa" w:w="1440"/>
            <w:shd w:val="clear" w:color="auto" w:fill="E4E9EF"/>
          </w:tcPr>
          <w:p>
            <w:pPr>
              <w:spacing w:after="40"/>
            </w:pPr>
            <w:r>
              <w:rPr>
                <w:rFonts w:ascii="Calibri" w:hAnsi="Calibri"/>
                <w:b/>
                <w:i w:val="0"/>
                <w:color w:val="0B2545"/>
                <w:sz w:val="19"/>
              </w:rPr>
              <w:t>Replaces</w:t>
            </w:r>
          </w:p>
        </w:tc>
        <w:tc>
          <w:tcPr>
            <w:tcW w:type="dxa" w:w="1800"/>
            <w:shd w:val="clear" w:color="auto" w:fill="E4E9EF"/>
          </w:tcPr>
          <w:p>
            <w:pPr>
              <w:spacing w:after="40"/>
            </w:pPr>
            <w:r>
              <w:rPr>
                <w:rFonts w:ascii="Calibri" w:hAnsi="Calibri"/>
                <w:b/>
                <w:i w:val="0"/>
                <w:color w:val="0B2545"/>
                <w:sz w:val="19"/>
              </w:rPr>
              <w:t>Net</w:t>
            </w:r>
          </w:p>
        </w:tc>
      </w:tr>
      <w:tr>
        <w:tc>
          <w:tcPr>
            <w:tcW w:type="dxa" w:w="4896"/>
          </w:tcPr>
          <w:p>
            <w:pPr>
              <w:spacing w:after="40"/>
            </w:pPr>
            <w:r>
              <w:rPr>
                <w:rFonts w:ascii="Calibri" w:hAnsi="Calibri"/>
                <w:b w:val="0"/>
                <w:i w:val="0"/>
                <w:color w:val="111111"/>
                <w:sz w:val="19"/>
              </w:rPr>
              <w:t>Spine question</w:t>
            </w:r>
          </w:p>
        </w:tc>
        <w:tc>
          <w:tcPr>
            <w:tcW w:type="dxa" w:w="1224"/>
          </w:tcPr>
          <w:p>
            <w:pPr>
              <w:spacing w:after="40"/>
            </w:pPr>
            <w:r>
              <w:rPr>
                <w:rFonts w:ascii="Calibri" w:hAnsi="Calibri"/>
                <w:b w:val="0"/>
                <w:i w:val="0"/>
                <w:color w:val="111111"/>
                <w:sz w:val="19"/>
              </w:rPr>
              <w:t>16</w:t>
            </w:r>
          </w:p>
        </w:tc>
        <w:tc>
          <w:tcPr>
            <w:tcW w:type="dxa" w:w="1440"/>
          </w:tcPr>
          <w:p>
            <w:pPr>
              <w:spacing w:after="40"/>
            </w:pPr>
            <w:r>
              <w:rPr>
                <w:rFonts w:ascii="Calibri" w:hAnsi="Calibri"/>
                <w:b w:val="0"/>
                <w:i w:val="0"/>
                <w:color w:val="111111"/>
                <w:sz w:val="19"/>
              </w:rPr>
              <w:t>14</w:t>
            </w:r>
          </w:p>
        </w:tc>
        <w:tc>
          <w:tcPr>
            <w:tcW w:type="dxa" w:w="1800"/>
          </w:tcPr>
          <w:p>
            <w:pPr>
              <w:spacing w:after="40"/>
            </w:pPr>
            <w:r>
              <w:rPr>
                <w:rFonts w:ascii="Calibri" w:hAnsi="Calibri"/>
                <w:b w:val="0"/>
                <w:i w:val="0"/>
                <w:color w:val="111111"/>
                <w:sz w:val="19"/>
              </w:rPr>
              <w:t>+2</w:t>
            </w:r>
          </w:p>
        </w:tc>
      </w:tr>
      <w:tr>
        <w:tc>
          <w:tcPr>
            <w:tcW w:type="dxa" w:w="4896"/>
          </w:tcPr>
          <w:p>
            <w:pPr>
              <w:spacing w:after="40"/>
            </w:pPr>
            <w:r>
              <w:rPr>
                <w:rFonts w:ascii="Calibri" w:hAnsi="Calibri"/>
                <w:b w:val="0"/>
                <w:i w:val="0"/>
                <w:color w:val="111111"/>
                <w:sz w:val="19"/>
              </w:rPr>
              <w:t>Opener payoff line</w:t>
            </w:r>
          </w:p>
        </w:tc>
        <w:tc>
          <w:tcPr>
            <w:tcW w:type="dxa" w:w="1224"/>
          </w:tcPr>
          <w:p>
            <w:pPr>
              <w:spacing w:after="40"/>
            </w:pPr>
            <w:r>
              <w:rPr>
                <w:rFonts w:ascii="Calibri" w:hAnsi="Calibri"/>
                <w:b w:val="0"/>
                <w:i w:val="0"/>
                <w:color w:val="111111"/>
                <w:sz w:val="19"/>
              </w:rPr>
              <w:t>25</w:t>
            </w:r>
          </w:p>
        </w:tc>
        <w:tc>
          <w:tcPr>
            <w:tcW w:type="dxa" w:w="1440"/>
          </w:tcPr>
          <w:p>
            <w:pPr>
              <w:spacing w:after="40"/>
            </w:pPr>
            <w:r>
              <w:rPr>
                <w:rFonts w:ascii="Calibri" w:hAnsi="Calibri"/>
                <w:b w:val="0"/>
                <w:i w:val="0"/>
                <w:color w:val="111111"/>
                <w:sz w:val="19"/>
              </w:rPr>
              <w:t>—</w:t>
            </w:r>
          </w:p>
        </w:tc>
        <w:tc>
          <w:tcPr>
            <w:tcW w:type="dxa" w:w="1800"/>
          </w:tcPr>
          <w:p>
            <w:pPr>
              <w:spacing w:after="40"/>
            </w:pPr>
            <w:r>
              <w:rPr>
                <w:rFonts w:ascii="Calibri" w:hAnsi="Calibri"/>
                <w:b w:val="0"/>
                <w:i w:val="0"/>
                <w:color w:val="111111"/>
                <w:sz w:val="19"/>
              </w:rPr>
              <w:t>+25</w:t>
            </w:r>
          </w:p>
        </w:tc>
      </w:tr>
      <w:tr>
        <w:tc>
          <w:tcPr>
            <w:tcW w:type="dxa" w:w="4896"/>
          </w:tcPr>
          <w:p>
            <w:pPr>
              <w:spacing w:after="40"/>
            </w:pPr>
            <w:r>
              <w:rPr>
                <w:rFonts w:ascii="Calibri" w:hAnsi="Calibri"/>
                <w:b w:val="0"/>
                <w:i w:val="0"/>
                <w:color w:val="111111"/>
                <w:sz w:val="19"/>
              </w:rPr>
              <w:t>Section 1 payoff line</w:t>
            </w:r>
          </w:p>
        </w:tc>
        <w:tc>
          <w:tcPr>
            <w:tcW w:type="dxa" w:w="1224"/>
          </w:tcPr>
          <w:p>
            <w:pPr>
              <w:spacing w:after="40"/>
            </w:pPr>
            <w:r>
              <w:rPr>
                <w:rFonts w:ascii="Calibri" w:hAnsi="Calibri"/>
                <w:b w:val="0"/>
                <w:i w:val="0"/>
                <w:color w:val="111111"/>
                <w:sz w:val="19"/>
              </w:rPr>
              <w:t>29</w:t>
            </w:r>
          </w:p>
        </w:tc>
        <w:tc>
          <w:tcPr>
            <w:tcW w:type="dxa" w:w="1440"/>
          </w:tcPr>
          <w:p>
            <w:pPr>
              <w:spacing w:after="40"/>
            </w:pPr>
            <w:r>
              <w:rPr>
                <w:rFonts w:ascii="Calibri" w:hAnsi="Calibri"/>
                <w:b w:val="0"/>
                <w:i w:val="0"/>
                <w:color w:val="111111"/>
                <w:sz w:val="19"/>
              </w:rPr>
              <w:t>—</w:t>
            </w:r>
          </w:p>
        </w:tc>
        <w:tc>
          <w:tcPr>
            <w:tcW w:type="dxa" w:w="1800"/>
          </w:tcPr>
          <w:p>
            <w:pPr>
              <w:spacing w:after="40"/>
            </w:pPr>
            <w:r>
              <w:rPr>
                <w:rFonts w:ascii="Calibri" w:hAnsi="Calibri"/>
                <w:b w:val="0"/>
                <w:i w:val="0"/>
                <w:color w:val="111111"/>
                <w:sz w:val="19"/>
              </w:rPr>
              <w:t>+29</w:t>
            </w:r>
          </w:p>
        </w:tc>
      </w:tr>
      <w:tr>
        <w:tc>
          <w:tcPr>
            <w:tcW w:type="dxa" w:w="4896"/>
          </w:tcPr>
          <w:p>
            <w:pPr>
              <w:spacing w:after="40"/>
            </w:pPr>
            <w:r>
              <w:rPr>
                <w:rFonts w:ascii="Calibri" w:hAnsi="Calibri"/>
                <w:b w:val="0"/>
                <w:i w:val="0"/>
                <w:color w:val="111111"/>
                <w:sz w:val="19"/>
              </w:rPr>
              <w:t>Reclaim — core-affect second person</w:t>
            </w:r>
          </w:p>
        </w:tc>
        <w:tc>
          <w:tcPr>
            <w:tcW w:type="dxa" w:w="1224"/>
          </w:tcPr>
          <w:p>
            <w:pPr>
              <w:spacing w:after="40"/>
            </w:pPr>
            <w:r>
              <w:rPr>
                <w:rFonts w:ascii="Calibri" w:hAnsi="Calibri"/>
                <w:b w:val="0"/>
                <w:i w:val="0"/>
                <w:color w:val="111111"/>
                <w:sz w:val="19"/>
              </w:rPr>
              <w:t>22</w:t>
            </w:r>
          </w:p>
        </w:tc>
        <w:tc>
          <w:tcPr>
            <w:tcW w:type="dxa" w:w="1440"/>
          </w:tcPr>
          <w:p>
            <w:pPr>
              <w:spacing w:after="40"/>
            </w:pPr>
            <w:r>
              <w:rPr>
                <w:rFonts w:ascii="Calibri" w:hAnsi="Calibri"/>
                <w:b w:val="0"/>
                <w:i w:val="0"/>
                <w:color w:val="111111"/>
                <w:sz w:val="19"/>
              </w:rPr>
              <w:t>—</w:t>
            </w:r>
          </w:p>
        </w:tc>
        <w:tc>
          <w:tcPr>
            <w:tcW w:type="dxa" w:w="1800"/>
          </w:tcPr>
          <w:p>
            <w:pPr>
              <w:spacing w:after="40"/>
            </w:pPr>
            <w:r>
              <w:rPr>
                <w:rFonts w:ascii="Calibri" w:hAnsi="Calibri"/>
                <w:b w:val="0"/>
                <w:i w:val="0"/>
                <w:color w:val="111111"/>
                <w:sz w:val="19"/>
              </w:rPr>
              <w:t>+22</w:t>
            </w:r>
          </w:p>
        </w:tc>
      </w:tr>
      <w:tr>
        <w:tc>
          <w:tcPr>
            <w:tcW w:type="dxa" w:w="4896"/>
          </w:tcPr>
          <w:p>
            <w:pPr>
              <w:spacing w:after="40"/>
            </w:pPr>
            <w:r>
              <w:rPr>
                <w:rFonts w:ascii="Calibri" w:hAnsi="Calibri"/>
                <w:b w:val="0"/>
                <w:i w:val="0"/>
                <w:color w:val="111111"/>
                <w:sz w:val="19"/>
              </w:rPr>
              <w:t>Decision 4 — kept sentence</w:t>
            </w:r>
          </w:p>
        </w:tc>
        <w:tc>
          <w:tcPr>
            <w:tcW w:type="dxa" w:w="1224"/>
          </w:tcPr>
          <w:p>
            <w:pPr>
              <w:spacing w:after="40"/>
            </w:pPr>
            <w:r>
              <w:rPr>
                <w:rFonts w:ascii="Calibri" w:hAnsi="Calibri"/>
                <w:b w:val="0"/>
                <w:i w:val="0"/>
                <w:color w:val="111111"/>
                <w:sz w:val="19"/>
              </w:rPr>
              <w:t>34</w:t>
            </w:r>
          </w:p>
        </w:tc>
        <w:tc>
          <w:tcPr>
            <w:tcW w:type="dxa" w:w="1440"/>
          </w:tcPr>
          <w:p>
            <w:pPr>
              <w:spacing w:after="40"/>
            </w:pPr>
            <w:r>
              <w:rPr>
                <w:rFonts w:ascii="Calibri" w:hAnsi="Calibri"/>
                <w:b w:val="0"/>
                <w:i w:val="0"/>
                <w:color w:val="111111"/>
                <w:sz w:val="19"/>
              </w:rPr>
              <w:t>—</w:t>
            </w:r>
          </w:p>
        </w:tc>
        <w:tc>
          <w:tcPr>
            <w:tcW w:type="dxa" w:w="1800"/>
          </w:tcPr>
          <w:p>
            <w:pPr>
              <w:spacing w:after="40"/>
            </w:pPr>
            <w:r>
              <w:rPr>
                <w:rFonts w:ascii="Calibri" w:hAnsi="Calibri"/>
                <w:b w:val="0"/>
                <w:i w:val="0"/>
                <w:color w:val="111111"/>
                <w:sz w:val="19"/>
              </w:rPr>
              <w:t>+34</w:t>
            </w:r>
          </w:p>
        </w:tc>
      </w:tr>
      <w:tr>
        <w:tc>
          <w:tcPr>
            <w:tcW w:type="dxa" w:w="4896"/>
          </w:tcPr>
          <w:p>
            <w:pPr>
              <w:spacing w:after="40"/>
            </w:pPr>
            <w:r>
              <w:rPr>
                <w:rFonts w:ascii="Calibri" w:hAnsi="Calibri"/>
                <w:b w:val="0"/>
                <w:i w:val="0"/>
                <w:color w:val="111111"/>
                <w:sz w:val="19"/>
              </w:rPr>
              <w:t>Section 2 payoff / Decision 5</w:t>
            </w:r>
          </w:p>
        </w:tc>
        <w:tc>
          <w:tcPr>
            <w:tcW w:type="dxa" w:w="1224"/>
          </w:tcPr>
          <w:p>
            <w:pPr>
              <w:spacing w:after="40"/>
            </w:pPr>
            <w:r>
              <w:rPr>
                <w:rFonts w:ascii="Calibri" w:hAnsi="Calibri"/>
                <w:b w:val="0"/>
                <w:i w:val="0"/>
                <w:color w:val="111111"/>
                <w:sz w:val="19"/>
              </w:rPr>
              <w:t>31</w:t>
            </w:r>
          </w:p>
        </w:tc>
        <w:tc>
          <w:tcPr>
            <w:tcW w:type="dxa" w:w="1440"/>
          </w:tcPr>
          <w:p>
            <w:pPr>
              <w:spacing w:after="40"/>
            </w:pPr>
            <w:r>
              <w:rPr>
                <w:rFonts w:ascii="Calibri" w:hAnsi="Calibri"/>
                <w:b w:val="0"/>
                <w:i w:val="0"/>
                <w:color w:val="111111"/>
                <w:sz w:val="19"/>
              </w:rPr>
              <w:t>6</w:t>
            </w:r>
          </w:p>
        </w:tc>
        <w:tc>
          <w:tcPr>
            <w:tcW w:type="dxa" w:w="1800"/>
          </w:tcPr>
          <w:p>
            <w:pPr>
              <w:spacing w:after="40"/>
            </w:pPr>
            <w:r>
              <w:rPr>
                <w:rFonts w:ascii="Calibri" w:hAnsi="Calibri"/>
                <w:b w:val="0"/>
                <w:i w:val="0"/>
                <w:color w:val="111111"/>
                <w:sz w:val="19"/>
              </w:rPr>
              <w:t>+25</w:t>
            </w:r>
          </w:p>
        </w:tc>
      </w:tr>
      <w:tr>
        <w:tc>
          <w:tcPr>
            <w:tcW w:type="dxa" w:w="4896"/>
          </w:tcPr>
          <w:p>
            <w:pPr>
              <w:spacing w:after="40"/>
            </w:pPr>
            <w:r>
              <w:rPr>
                <w:rFonts w:ascii="Calibri" w:hAnsi="Calibri"/>
                <w:b w:val="0"/>
                <w:i w:val="0"/>
                <w:color w:val="111111"/>
                <w:sz w:val="19"/>
              </w:rPr>
              <w:t>Decision 6 — S.M. block</w:t>
            </w:r>
          </w:p>
        </w:tc>
        <w:tc>
          <w:tcPr>
            <w:tcW w:type="dxa" w:w="1224"/>
          </w:tcPr>
          <w:p>
            <w:pPr>
              <w:spacing w:after="40"/>
            </w:pPr>
            <w:r>
              <w:rPr>
                <w:rFonts w:ascii="Calibri" w:hAnsi="Calibri"/>
                <w:b w:val="0"/>
                <w:i w:val="0"/>
                <w:color w:val="111111"/>
                <w:sz w:val="19"/>
              </w:rPr>
              <w:t>59</w:t>
            </w:r>
          </w:p>
        </w:tc>
        <w:tc>
          <w:tcPr>
            <w:tcW w:type="dxa" w:w="1440"/>
          </w:tcPr>
          <w:p>
            <w:pPr>
              <w:spacing w:after="40"/>
            </w:pPr>
            <w:r>
              <w:rPr>
                <w:rFonts w:ascii="Calibri" w:hAnsi="Calibri"/>
                <w:b w:val="0"/>
                <w:i w:val="0"/>
                <w:color w:val="111111"/>
                <w:sz w:val="19"/>
              </w:rPr>
              <w:t>62</w:t>
            </w:r>
          </w:p>
        </w:tc>
        <w:tc>
          <w:tcPr>
            <w:tcW w:type="dxa" w:w="1800"/>
          </w:tcPr>
          <w:p>
            <w:pPr>
              <w:spacing w:after="40"/>
            </w:pPr>
            <w:r>
              <w:rPr>
                <w:rFonts w:ascii="Calibri" w:hAnsi="Calibri"/>
                <w:b w:val="0"/>
                <w:i w:val="0"/>
                <w:color w:val="111111"/>
                <w:sz w:val="19"/>
              </w:rPr>
              <w:t>−3</w:t>
            </w:r>
          </w:p>
        </w:tc>
      </w:tr>
      <w:tr>
        <w:tc>
          <w:tcPr>
            <w:tcW w:type="dxa" w:w="4896"/>
          </w:tcPr>
          <w:p>
            <w:pPr>
              <w:spacing w:after="40"/>
            </w:pPr>
            <w:r>
              <w:rPr>
                <w:rFonts w:ascii="Calibri" w:hAnsi="Calibri"/>
                <w:b w:val="0"/>
                <w:i w:val="0"/>
                <w:color w:val="111111"/>
                <w:sz w:val="19"/>
              </w:rPr>
              <w:t>Reclaim — zebra lead</w:t>
            </w:r>
          </w:p>
        </w:tc>
        <w:tc>
          <w:tcPr>
            <w:tcW w:type="dxa" w:w="1224"/>
          </w:tcPr>
          <w:p>
            <w:pPr>
              <w:spacing w:after="40"/>
            </w:pPr>
            <w:r>
              <w:rPr>
                <w:rFonts w:ascii="Calibri" w:hAnsi="Calibri"/>
                <w:b w:val="0"/>
                <w:i w:val="0"/>
                <w:color w:val="111111"/>
                <w:sz w:val="19"/>
              </w:rPr>
              <w:t>47</w:t>
            </w:r>
          </w:p>
        </w:tc>
        <w:tc>
          <w:tcPr>
            <w:tcW w:type="dxa" w:w="1440"/>
          </w:tcPr>
          <w:p>
            <w:pPr>
              <w:spacing w:after="40"/>
            </w:pPr>
            <w:r>
              <w:rPr>
                <w:rFonts w:ascii="Calibri" w:hAnsi="Calibri"/>
                <w:b w:val="0"/>
                <w:i w:val="0"/>
                <w:color w:val="111111"/>
                <w:sz w:val="19"/>
              </w:rPr>
              <w:t>—</w:t>
            </w:r>
          </w:p>
        </w:tc>
        <w:tc>
          <w:tcPr>
            <w:tcW w:type="dxa" w:w="1800"/>
          </w:tcPr>
          <w:p>
            <w:pPr>
              <w:spacing w:after="40"/>
            </w:pPr>
            <w:r>
              <w:rPr>
                <w:rFonts w:ascii="Calibri" w:hAnsi="Calibri"/>
                <w:b w:val="0"/>
                <w:i w:val="0"/>
                <w:color w:val="111111"/>
                <w:sz w:val="19"/>
              </w:rPr>
              <w:t>+47</w:t>
            </w:r>
          </w:p>
        </w:tc>
      </w:tr>
      <w:tr>
        <w:tc>
          <w:tcPr>
            <w:tcW w:type="dxa" w:w="4896"/>
          </w:tcPr>
          <w:p>
            <w:pPr>
              <w:spacing w:after="40"/>
            </w:pPr>
            <w:r>
              <w:rPr>
                <w:rFonts w:ascii="Calibri" w:hAnsi="Calibri"/>
                <w:b w:val="0"/>
                <w:i w:val="0"/>
                <w:color w:val="111111"/>
                <w:sz w:val="19"/>
              </w:rPr>
              <w:t>Section 4 payoff line</w:t>
            </w:r>
          </w:p>
        </w:tc>
        <w:tc>
          <w:tcPr>
            <w:tcW w:type="dxa" w:w="1224"/>
          </w:tcPr>
          <w:p>
            <w:pPr>
              <w:spacing w:after="40"/>
            </w:pPr>
            <w:r>
              <w:rPr>
                <w:rFonts w:ascii="Calibri" w:hAnsi="Calibri"/>
                <w:b w:val="0"/>
                <w:i w:val="0"/>
                <w:color w:val="111111"/>
                <w:sz w:val="19"/>
              </w:rPr>
              <w:t>35</w:t>
            </w:r>
          </w:p>
        </w:tc>
        <w:tc>
          <w:tcPr>
            <w:tcW w:type="dxa" w:w="1440"/>
          </w:tcPr>
          <w:p>
            <w:pPr>
              <w:spacing w:after="40"/>
            </w:pPr>
            <w:r>
              <w:rPr>
                <w:rFonts w:ascii="Calibri" w:hAnsi="Calibri"/>
                <w:b w:val="0"/>
                <w:i w:val="0"/>
                <w:color w:val="111111"/>
                <w:sz w:val="19"/>
              </w:rPr>
              <w:t>—</w:t>
            </w:r>
          </w:p>
        </w:tc>
        <w:tc>
          <w:tcPr>
            <w:tcW w:type="dxa" w:w="1800"/>
          </w:tcPr>
          <w:p>
            <w:pPr>
              <w:spacing w:after="40"/>
            </w:pPr>
            <w:r>
              <w:rPr>
                <w:rFonts w:ascii="Calibri" w:hAnsi="Calibri"/>
                <w:b w:val="0"/>
                <w:i w:val="0"/>
                <w:color w:val="111111"/>
                <w:sz w:val="19"/>
              </w:rPr>
              <w:t>+35</w:t>
            </w:r>
          </w:p>
        </w:tc>
      </w:tr>
      <w:tr>
        <w:tc>
          <w:tcPr>
            <w:tcW w:type="dxa" w:w="4896"/>
          </w:tcPr>
          <w:p>
            <w:pPr>
              <w:spacing w:after="40"/>
            </w:pPr>
            <w:r>
              <w:rPr>
                <w:rFonts w:ascii="Calibri" w:hAnsi="Calibri"/>
                <w:b w:val="0"/>
                <w:i w:val="0"/>
                <w:color w:val="111111"/>
                <w:sz w:val="19"/>
              </w:rPr>
              <w:t>Decision 3 — social buffering</w:t>
            </w:r>
          </w:p>
        </w:tc>
        <w:tc>
          <w:tcPr>
            <w:tcW w:type="dxa" w:w="1224"/>
          </w:tcPr>
          <w:p>
            <w:pPr>
              <w:spacing w:after="40"/>
            </w:pPr>
            <w:r>
              <w:rPr>
                <w:rFonts w:ascii="Calibri" w:hAnsi="Calibri"/>
                <w:b w:val="0"/>
                <w:i w:val="0"/>
                <w:color w:val="111111"/>
                <w:sz w:val="19"/>
              </w:rPr>
              <w:t>53</w:t>
            </w:r>
          </w:p>
        </w:tc>
        <w:tc>
          <w:tcPr>
            <w:tcW w:type="dxa" w:w="1440"/>
          </w:tcPr>
          <w:p>
            <w:pPr>
              <w:spacing w:after="40"/>
            </w:pPr>
            <w:r>
              <w:rPr>
                <w:rFonts w:ascii="Calibri" w:hAnsi="Calibri"/>
                <w:b w:val="0"/>
                <w:i w:val="0"/>
                <w:color w:val="111111"/>
                <w:sz w:val="19"/>
              </w:rPr>
              <w:t>15</w:t>
            </w:r>
          </w:p>
        </w:tc>
        <w:tc>
          <w:tcPr>
            <w:tcW w:type="dxa" w:w="1800"/>
          </w:tcPr>
          <w:p>
            <w:pPr>
              <w:spacing w:after="40"/>
            </w:pPr>
            <w:r>
              <w:rPr>
                <w:rFonts w:ascii="Calibri" w:hAnsi="Calibri"/>
                <w:b w:val="0"/>
                <w:i w:val="0"/>
                <w:color w:val="111111"/>
                <w:sz w:val="19"/>
              </w:rPr>
              <w:t>+38</w:t>
            </w:r>
          </w:p>
        </w:tc>
      </w:tr>
      <w:tr>
        <w:tc>
          <w:tcPr>
            <w:tcW w:type="dxa" w:w="4896"/>
          </w:tcPr>
          <w:p>
            <w:pPr>
              <w:spacing w:after="40"/>
            </w:pPr>
            <w:r>
              <w:rPr>
                <w:rFonts w:ascii="Calibri" w:hAnsi="Calibri"/>
                <w:b w:val="0"/>
                <w:i w:val="0"/>
                <w:color w:val="111111"/>
                <w:sz w:val="19"/>
              </w:rPr>
              <w:t>AI Connection payoff line</w:t>
            </w:r>
          </w:p>
        </w:tc>
        <w:tc>
          <w:tcPr>
            <w:tcW w:type="dxa" w:w="1224"/>
          </w:tcPr>
          <w:p>
            <w:pPr>
              <w:spacing w:after="40"/>
            </w:pPr>
            <w:r>
              <w:rPr>
                <w:rFonts w:ascii="Calibri" w:hAnsi="Calibri"/>
                <w:b w:val="0"/>
                <w:i w:val="0"/>
                <w:color w:val="111111"/>
                <w:sz w:val="19"/>
              </w:rPr>
              <w:t>12</w:t>
            </w:r>
          </w:p>
        </w:tc>
        <w:tc>
          <w:tcPr>
            <w:tcW w:type="dxa" w:w="1440"/>
          </w:tcPr>
          <w:p>
            <w:pPr>
              <w:spacing w:after="40"/>
            </w:pPr>
            <w:r>
              <w:rPr>
                <w:rFonts w:ascii="Calibri" w:hAnsi="Calibri"/>
                <w:b w:val="0"/>
                <w:i w:val="0"/>
                <w:color w:val="111111"/>
                <w:sz w:val="19"/>
              </w:rPr>
              <w:t>—</w:t>
            </w:r>
          </w:p>
        </w:tc>
        <w:tc>
          <w:tcPr>
            <w:tcW w:type="dxa" w:w="1800"/>
          </w:tcPr>
          <w:p>
            <w:pPr>
              <w:spacing w:after="40"/>
            </w:pPr>
            <w:r>
              <w:rPr>
                <w:rFonts w:ascii="Calibri" w:hAnsi="Calibri"/>
                <w:b w:val="0"/>
                <w:i w:val="0"/>
                <w:color w:val="111111"/>
                <w:sz w:val="19"/>
              </w:rPr>
              <w:t>+12</w:t>
            </w:r>
          </w:p>
        </w:tc>
      </w:tr>
      <w:tr>
        <w:tc>
          <w:tcPr>
            <w:tcW w:type="dxa" w:w="4896"/>
          </w:tcPr>
          <w:p>
            <w:pPr>
              <w:spacing w:after="40"/>
            </w:pPr>
            <w:r>
              <w:rPr>
                <w:rFonts w:ascii="Calibri" w:hAnsi="Calibri"/>
                <w:b/>
                <w:i w:val="0"/>
                <w:color w:val="111111"/>
                <w:sz w:val="19"/>
              </w:rPr>
              <w:t>Total added</w:t>
            </w:r>
          </w:p>
        </w:tc>
        <w:tc>
          <w:tcPr>
            <w:tcW w:type="dxa" w:w="1224"/>
          </w:tcPr>
          <w:p>
            <w:pPr>
              <w:spacing w:after="40"/>
            </w:pPr>
            <w:r>
              <w:rPr>
                <w:rFonts w:ascii="Calibri" w:hAnsi="Calibri"/>
                <w:b w:val="0"/>
                <w:i w:val="0"/>
                <w:color w:val="111111"/>
                <w:sz w:val="19"/>
              </w:rPr>
            </w:r>
          </w:p>
        </w:tc>
        <w:tc>
          <w:tcPr>
            <w:tcW w:type="dxa" w:w="1440"/>
          </w:tcPr>
          <w:p>
            <w:pPr>
              <w:spacing w:after="40"/>
            </w:pPr>
            <w:r>
              <w:rPr>
                <w:rFonts w:ascii="Calibri" w:hAnsi="Calibri"/>
                <w:b w:val="0"/>
                <w:i w:val="0"/>
                <w:color w:val="111111"/>
                <w:sz w:val="19"/>
              </w:rPr>
            </w:r>
          </w:p>
        </w:tc>
        <w:tc>
          <w:tcPr>
            <w:tcW w:type="dxa" w:w="1800"/>
          </w:tcPr>
          <w:p>
            <w:pPr>
              <w:spacing w:after="40"/>
            </w:pPr>
            <w:r>
              <w:rPr>
                <w:rFonts w:ascii="Calibri" w:hAnsi="Calibri"/>
                <w:b/>
                <w:i w:val="0"/>
                <w:color w:val="111111"/>
                <w:sz w:val="19"/>
              </w:rPr>
              <w:t>+266</w:t>
            </w:r>
          </w:p>
        </w:tc>
      </w:tr>
      <w:tr>
        <w:tc>
          <w:tcPr>
            <w:tcW w:type="dxa" w:w="4896"/>
          </w:tcPr>
          <w:p>
            <w:pPr>
              <w:spacing w:after="40"/>
            </w:pPr>
            <w:r>
              <w:rPr>
                <w:rFonts w:ascii="Calibri" w:hAnsi="Calibri"/>
                <w:b/>
                <w:i w:val="0"/>
                <w:color w:val="111111"/>
                <w:sz w:val="19"/>
              </w:rPr>
              <w:t>Total pruned</w:t>
            </w:r>
          </w:p>
        </w:tc>
        <w:tc>
          <w:tcPr>
            <w:tcW w:type="dxa" w:w="1224"/>
          </w:tcPr>
          <w:p>
            <w:pPr>
              <w:spacing w:after="40"/>
            </w:pPr>
            <w:r>
              <w:rPr>
                <w:rFonts w:ascii="Calibri" w:hAnsi="Calibri"/>
                <w:b w:val="0"/>
                <w:i w:val="0"/>
                <w:color w:val="111111"/>
                <w:sz w:val="19"/>
              </w:rPr>
            </w:r>
          </w:p>
        </w:tc>
        <w:tc>
          <w:tcPr>
            <w:tcW w:type="dxa" w:w="1440"/>
          </w:tcPr>
          <w:p>
            <w:pPr>
              <w:spacing w:after="40"/>
            </w:pPr>
            <w:r>
              <w:rPr>
                <w:rFonts w:ascii="Calibri" w:hAnsi="Calibri"/>
                <w:b w:val="0"/>
                <w:i w:val="0"/>
                <w:color w:val="111111"/>
                <w:sz w:val="19"/>
              </w:rPr>
            </w:r>
          </w:p>
        </w:tc>
        <w:tc>
          <w:tcPr>
            <w:tcW w:type="dxa" w:w="1800"/>
          </w:tcPr>
          <w:p>
            <w:pPr>
              <w:spacing w:after="40"/>
            </w:pPr>
            <w:r>
              <w:rPr>
                <w:rFonts w:ascii="Calibri" w:hAnsi="Calibri"/>
                <w:b/>
                <w:i w:val="0"/>
                <w:color w:val="111111"/>
                <w:sz w:val="19"/>
              </w:rPr>
              <w:t>−149</w:t>
            </w:r>
          </w:p>
        </w:tc>
      </w:tr>
      <w:tr>
        <w:tc>
          <w:tcPr>
            <w:tcW w:type="dxa" w:w="4896"/>
          </w:tcPr>
          <w:p>
            <w:pPr>
              <w:spacing w:after="40"/>
            </w:pPr>
            <w:r>
              <w:rPr>
                <w:rFonts w:ascii="Calibri" w:hAnsi="Calibri"/>
                <w:b/>
                <w:i w:val="0"/>
                <w:color w:val="111111"/>
                <w:sz w:val="19"/>
              </w:rPr>
              <w:t>Net</w:t>
            </w:r>
          </w:p>
        </w:tc>
        <w:tc>
          <w:tcPr>
            <w:tcW w:type="dxa" w:w="1224"/>
          </w:tcPr>
          <w:p>
            <w:pPr>
              <w:spacing w:after="40"/>
            </w:pPr>
            <w:r>
              <w:rPr>
                <w:rFonts w:ascii="Calibri" w:hAnsi="Calibri"/>
                <w:b w:val="0"/>
                <w:i w:val="0"/>
                <w:color w:val="111111"/>
                <w:sz w:val="19"/>
              </w:rPr>
            </w:r>
          </w:p>
        </w:tc>
        <w:tc>
          <w:tcPr>
            <w:tcW w:type="dxa" w:w="1440"/>
          </w:tcPr>
          <w:p>
            <w:pPr>
              <w:spacing w:after="40"/>
            </w:pPr>
            <w:r>
              <w:rPr>
                <w:rFonts w:ascii="Calibri" w:hAnsi="Calibri"/>
                <w:b w:val="0"/>
                <w:i w:val="0"/>
                <w:color w:val="111111"/>
                <w:sz w:val="19"/>
              </w:rPr>
            </w:r>
          </w:p>
        </w:tc>
        <w:tc>
          <w:tcPr>
            <w:tcW w:type="dxa" w:w="1800"/>
          </w:tcPr>
          <w:p>
            <w:pPr>
              <w:spacing w:after="40"/>
            </w:pPr>
            <w:r>
              <w:rPr>
                <w:rFonts w:ascii="Calibri" w:hAnsi="Calibri"/>
                <w:b/>
                <w:i w:val="0"/>
                <w:color w:val="111111"/>
                <w:sz w:val="19"/>
              </w:rPr>
              <w:t>+117</w:t>
            </w:r>
          </w:p>
        </w:tc>
      </w:tr>
    </w:tbl>
    <w:p>
      <w:pPr>
        <w:spacing w:after="80"/>
      </w:pPr>
    </w:p>
    <w:p>
      <w:pPr>
        <w:spacing w:after="120" w:before="0"/>
      </w:pPr>
      <w:r>
        <w:rPr>
          <w:rFonts w:ascii="Calibri" w:hAnsi="Calibri"/>
          <w:b w:val="0"/>
          <w:i w:val="0"/>
          <w:color w:val="111111"/>
          <w:sz w:val="21"/>
        </w:rPr>
        <w:t>Body 3,653 becomes 3,770, against a 3,500 to 5,000 target. Prunes are exact strings; additions will move during drafting, so treat these as the budget rather than the outcome.</w:t>
      </w:r>
    </w:p>
    <w:p>
      <w:pPr>
        <w:spacing w:after="120" w:before="0"/>
      </w:pPr>
      <w:r>
        <w:rPr>
          <w:rFonts w:ascii="Calibri" w:hAnsi="Calibri"/>
          <w:b/>
          <w:i/>
          <w:color w:val="111111"/>
          <w:sz w:val="21"/>
        </w:rPr>
        <w:t xml:space="preserve">Correction on the record. </w:t>
      </w:r>
      <w:r>
        <w:rPr>
          <w:rFonts w:ascii="Calibri" w:hAnsi="Calibri"/>
          <w:b w:val="0"/>
          <w:i/>
          <w:color w:val="111111"/>
          <w:sz w:val="21"/>
        </w:rPr>
        <w:t>An intermediate figure of +46 was stated in conversation. That was a guess made in prose, not a calculation. Third measurement correction in this pass — the pattern is that numbers stated without running them are wrong, and the instruction to re-run rather than remember applies to the agent's own arithmetic, not only to the audit's.</w:t>
      </w:r>
    </w:p>
    <w:p>
      <w:pPr>
        <w:pStyle w:val="Heading1"/>
        <w:spacing w:before="260" w:after="80"/>
      </w:pPr>
      <w:r>
        <w:rPr>
          <w:rFonts w:ascii="Calibri" w:hAnsi="Calibri"/>
          <w:color w:val="0B2545"/>
          <w:sz w:val="32"/>
        </w:rPr>
        <w:t>Open, and not part of this pass</w:t>
      </w:r>
    </w:p>
    <w:p>
      <w:pPr>
        <w:pStyle w:val="ListBullet"/>
        <w:spacing w:after="80"/>
        <w:ind w:left="576"/>
      </w:pPr>
      <w:r>
        <w:rPr>
          <w:rFonts w:ascii="Calibri" w:hAnsi="Calibri"/>
          <w:b w:val="0"/>
          <w:i w:val="0"/>
          <w:color w:val="111111"/>
          <w:sz w:val="20"/>
        </w:rPr>
        <w:t>Ecological dominance and social competition was added to the spine trunk by a parallel session the same day, and the backlog says Chapter 12 gains the ultimate ground for social-evaluative stress. Your own paper — Oxford, Ponzi &amp; Geary (2010) — is a cortisol finding about social-evaluative threat, and this chapter invokes socially evaluated threat three times without saying why social evaluation is threatening. Left out because the backlog sequences proximate-and-ultimate into Chapter 1 first. Your call whether Chapter 12 waits.</w:t>
      </w:r>
    </w:p>
    <w:p>
      <w:pPr>
        <w:pStyle w:val="ListBullet"/>
        <w:spacing w:after="80"/>
        <w:ind w:left="576"/>
      </w:pPr>
      <w:r>
        <w:rPr>
          <w:rFonts w:ascii="Calibri" w:hAnsi="Calibri"/>
          <w:b w:val="0"/>
          <w:i w:val="0"/>
          <w:color w:val="111111"/>
          <w:sz w:val="20"/>
        </w:rPr>
        <w:t>Voice loss is systematic, not a Chapter 12 problem: throat-clearing rose in 11 of 11 audited chapters and not one fell. Chapter 13 is next in the queue and third worst, with paragraphs landing on a negation doubled from 22 to 44 per cent. Chapter 5 and Chapter 3 outrank several chapters ahead of them.</w:t>
      </w:r>
    </w:p>
    <w:p>
      <w:pPr>
        <w:pStyle w:val="ListBullet"/>
        <w:spacing w:after="80"/>
        <w:ind w:left="576"/>
      </w:pPr>
      <w:r>
        <w:rPr>
          <w:rFonts w:ascii="Calibri" w:hAnsi="Calibri"/>
          <w:b w:val="0"/>
          <w:i w:val="0"/>
          <w:color w:val="111111"/>
          <w:sz w:val="20"/>
        </w:rPr>
        <w:t>HANDOFF.md still lists settling the packet format as a next action. spine-seed-protocol.md still calls it unresolved, and its delivery format still does not say that a sent packet is never rebuilt in place, or that decision boxes need the current text quoted beside the proposal.</w:t>
      </w:r>
    </w:p>
    <w:p>
      <w:pPr>
        <w:pStyle w:val="ListBullet"/>
        <w:spacing w:after="80"/>
        <w:ind w:left="576"/>
      </w:pPr>
      <w:r>
        <w:rPr>
          <w:rFonts w:ascii="Calibri" w:hAnsi="Calibri"/>
          <w:b w:val="0"/>
          <w:i w:val="0"/>
          <w:color w:val="111111"/>
          <w:sz w:val="20"/>
        </w:rPr>
        <w:t>CLAUDE.md says read-only git commands are safe under the sandbox mount. That is wrong for git status, which strands an index lock.</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7"/>
      </w:rPr>
      <w:t xml:space="preserve">Chapter 12 spine seeds — decisions settled 2026-07-26 — page </w:t>
    </w:r>
    <w:r>
      <w:rPr>
        <w:color w:val="555555"/>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