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12: Emotion, Stress &amp; Coping</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2026-07-26 from source/chapters/ch12-emotion-stress-coping.md.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 "Emotions happen to you — they're reflexes you can't control."</w:t>
      </w:r>
    </w:p>
    <w:p>
      <w:r>
        <w:rPr>
          <w:rFonts w:ascii="Calibri" w:hAnsi="Calibri"/>
          <w:b w:val="0"/>
          <w:i w:val="0"/>
          <w:sz w:val="22"/>
        </w:rPr>
        <w:t>Most people picture emotion the way they picture a smoke alarm: something happens, a circuit fires, and out comes a feeling. Fear follows threat. Joy follows good news. Disgust follows something rotten. The response seems automatic, fixed, and mostly beyond your influence.</w:t>
      </w:r>
    </w:p>
    <w:p>
      <w:r>
        <w:rPr>
          <w:rFonts w:ascii="Calibri" w:hAnsi="Calibri"/>
          <w:b w:val="0"/>
          <w:i w:val="0"/>
          <w:sz w:val="22"/>
        </w:rPr>
        <w:t xml:space="preserve">That picture captures part of the story. Bodies prepare for action, situations are appraised, and some patterns recur across people and cultures. But emotion researchers disagree about how those pieces become an episode of fear, anger, relief, or joy. One influential contemporary framework—the </w:t>
      </w:r>
      <w:r>
        <w:rPr>
          <w:rFonts w:ascii="Calibri" w:hAnsi="Calibri"/>
          <w:b/>
          <w:i w:val="0"/>
          <w:sz w:val="22"/>
        </w:rPr>
        <w:t>theory of constructed emotion</w:t>
      </w:r>
      <w:r>
        <w:rPr>
          <w:rFonts w:ascii="Calibri" w:hAnsi="Calibri"/>
          <w:b w:val="0"/>
          <w:i w:val="0"/>
          <w:sz w:val="22"/>
        </w:rPr>
        <w:t>, developed in detail by neuroscientist Lisa Feldman Barrett—argues that the brain builds each emotional episode from bodily signals, context, past learning, and learned concepts. Other approaches emphasize appraisal, evolved action programs, or partly distinct emotion systems. No single framework has ended the debate.</w:t>
      </w:r>
    </w:p>
    <w:p>
      <w:r>
        <w:rPr>
          <w:rFonts w:ascii="Calibri" w:hAnsi="Calibri"/>
          <w:b w:val="0"/>
          <w:i w:val="0"/>
          <w:sz w:val="22"/>
        </w:rPr>
        <w:t xml:space="preserve">Constructionism will organize this chapter because it gives us a useful question: </w:t>
      </w:r>
      <w:r>
        <w:rPr>
          <w:rFonts w:ascii="Calibri" w:hAnsi="Calibri"/>
          <w:b w:val="0"/>
          <w:i/>
          <w:sz w:val="22"/>
        </w:rPr>
        <w:t>What ingredients did the brain use to make this moment meaningful?</w:t>
      </w:r>
      <w:r>
        <w:rPr>
          <w:rFonts w:ascii="Calibri" w:hAnsi="Calibri"/>
          <w:b w:val="0"/>
          <w:i w:val="0"/>
          <w:sz w:val="22"/>
        </w:rPr>
        <w:t xml:space="preserve"> That is a lens, not the official definition of emotion.</w:t>
      </w:r>
    </w:p>
    <w:p>
      <w:pPr>
        <w:spacing w:before="80" w:after="160"/>
        <w:shd w:fill="F4F6F9"/>
        <w:pBdr>
          <w:left w:val="single" w:sz="14" w:space="8" w:color="2E74B5"/>
        </w:pBdr>
        <w:ind w:left="180" w:right="120"/>
      </w:pPr>
      <w:r>
        <w:rPr>
          <w:rFonts w:ascii="Calibri" w:hAnsi="Calibri"/>
          <w:b/>
          <w:i w:val="0"/>
          <w:sz w:val="22"/>
        </w:rPr>
        <w:t>Do Not Confuse: Constructed Does Not Mean Fake or Chosen</w:t>
      </w:r>
      <w:r>
        <w:rPr>
          <w:rFonts w:ascii="Calibri" w:hAnsi="Calibri"/>
          <w:b w:val="0"/>
          <w:i w:val="0"/>
          <w:sz w:val="22"/>
        </w:rPr>
        <w:t xml:space="preserve"> A constructed emotion is not imaginary, arbitrary, or consciously selected. Much of the process is automatic. The practical point is not "decide to feel differently." It is that bodily condition, context, concepts, and coping actions can change the conditions under which emotion unfolds.</w:t>
      </w:r>
    </w:p>
    <w:p>
      <w:r>
        <w:rPr>
          <w:rFonts w:ascii="Calibri" w:hAnsi="Calibri"/>
          <w:b w:val="0"/>
          <w:i w:val="0"/>
          <w:sz w:val="22"/>
        </w:rPr>
        <w:t>Emotion is not irrational noise pasted onto thought. It helps organize attention and action around what matters. The alarm in your kitchen reacts to smoke; you react to what smoke might mean—and nobody arrives at that with the same history. Stress mobilizes the body when demands press against coping resources. Coping works best when the response fits the demand.</w:t>
      </w:r>
    </w:p>
    <w:p>
      <w:r>
        <w:rPr>
          <w:rFonts w:ascii="Calibri" w:hAnsi="Calibri"/>
          <w:b w:val="0"/>
          <w:i w:val="0"/>
          <w:sz w:val="22"/>
        </w:rPr>
        <w:t>So how does your body decide what matters—and why won't it always stand down?</w:t>
      </w:r>
    </w:p>
    <w:p>
      <w:pPr>
        <w:pStyle w:val="Heading1"/>
      </w:pPr>
      <w:r>
        <w:rPr>
          <w:rFonts w:ascii="Calibri" w:hAnsi="Calibri"/>
          <w:b/>
          <w:i w:val="0"/>
          <w:color w:val="2E74B5"/>
          <w:sz w:val="32"/>
        </w:rPr>
        <w:t>Where This Fits</w:t>
      </w:r>
    </w:p>
    <w:p>
      <w:r>
        <w:rPr>
          <w:rFonts w:ascii="Calibri" w:hAnsi="Calibri"/>
          <w:b w:val="0"/>
          <w:i w:val="0"/>
          <w:sz w:val="22"/>
        </w:rPr>
        <w:t>Chapter 3 introduced the autonomic nervous system, the HPA axis, and individual differences in stress reactivity. Chapter 7 showed how learning and prediction change behavior; its reward-prediction-error material is adjacent to, but not an explanation of, well-being adaptation here. Chapter 10 showed how relationships can support regulation across development. This chapter brings those threads together inside the present body. Chapter 13 then asks what happens when distress and dysregulation become persistent enough to impair daily life.</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Explain how homeostasis and allostasis provide complementary models of bodily regulation, and use the body-budget metaphor to trace how a metabolic deficit becomes unpleasant affect.</w:t>
      </w:r>
    </w:p>
    <w:p>
      <w:pPr>
        <w:pStyle w:val="ListNumber"/>
        <w:numPr>
          <w:ilvl w:val="0"/>
          <w:numId w:val="10"/>
        </w:numPr>
      </w:pPr>
      <w:r>
        <w:rPr>
          <w:rFonts w:ascii="Calibri" w:hAnsi="Calibri"/>
          <w:b w:val="0"/>
          <w:i w:val="0"/>
          <w:sz w:val="22"/>
        </w:rPr>
        <w:t>Distinguish core affect from a specific emotion and separate shared findings from a constructionist interpretation.</w:t>
      </w:r>
    </w:p>
    <w:p>
      <w:pPr>
        <w:pStyle w:val="ListNumber"/>
        <w:numPr>
          <w:ilvl w:val="0"/>
          <w:numId w:val="10"/>
        </w:numPr>
      </w:pPr>
      <w:r>
        <w:rPr>
          <w:rFonts w:ascii="Calibri" w:hAnsi="Calibri"/>
          <w:b w:val="0"/>
          <w:i w:val="0"/>
          <w:sz w:val="22"/>
        </w:rPr>
        <w:t>Compare major emotion theories and explain what we can conclude about the amygdala's role in fear from Patient S.M.</w:t>
      </w:r>
    </w:p>
    <w:p>
      <w:pPr>
        <w:pStyle w:val="ListNumber"/>
        <w:numPr>
          <w:ilvl w:val="0"/>
          <w:numId w:val="10"/>
        </w:numPr>
      </w:pPr>
      <w:r>
        <w:rPr>
          <w:rFonts w:ascii="Calibri" w:hAnsi="Calibri"/>
          <w:b w:val="0"/>
          <w:i w:val="0"/>
          <w:sz w:val="22"/>
        </w:rPr>
        <w:t>Describe emotional granularity and affect labeling.</w:t>
      </w:r>
    </w:p>
    <w:p>
      <w:pPr>
        <w:pStyle w:val="ListNumber"/>
        <w:numPr>
          <w:ilvl w:val="0"/>
          <w:numId w:val="10"/>
        </w:numPr>
      </w:pPr>
      <w:r>
        <w:rPr>
          <w:rFonts w:ascii="Calibri" w:hAnsi="Calibri"/>
          <w:b w:val="0"/>
          <w:i w:val="0"/>
          <w:sz w:val="22"/>
        </w:rPr>
        <w:t>Explain why a remembered, imagined, or socially evaluated threat can mobilize the body much as a present one does, using the cognitive light cone.</w:t>
      </w:r>
    </w:p>
    <w:p>
      <w:pPr>
        <w:pStyle w:val="ListNumber"/>
        <w:numPr>
          <w:ilvl w:val="0"/>
          <w:numId w:val="10"/>
        </w:numPr>
      </w:pPr>
      <w:r>
        <w:rPr>
          <w:rFonts w:ascii="Calibri" w:hAnsi="Calibri"/>
          <w:b w:val="0"/>
          <w:i w:val="0"/>
          <w:sz w:val="22"/>
        </w:rPr>
        <w:t>Distinguish rapid SAM activation from slower HPA activation.</w:t>
      </w:r>
    </w:p>
    <w:p>
      <w:pPr>
        <w:pStyle w:val="ListNumber"/>
        <w:numPr>
          <w:ilvl w:val="0"/>
          <w:numId w:val="10"/>
        </w:numPr>
      </w:pPr>
      <w:r>
        <w:rPr>
          <w:rFonts w:ascii="Calibri" w:hAnsi="Calibri"/>
          <w:b w:val="0"/>
          <w:i w:val="0"/>
          <w:sz w:val="22"/>
        </w:rPr>
        <w:t>Distinguish acute adaptive stress from chronic dysregulation, and historical GAS from allostatic load.</w:t>
      </w:r>
    </w:p>
    <w:p>
      <w:pPr>
        <w:pStyle w:val="ListNumber"/>
        <w:numPr>
          <w:ilvl w:val="0"/>
          <w:numId w:val="10"/>
        </w:numPr>
      </w:pPr>
      <w:r>
        <w:rPr>
          <w:rFonts w:ascii="Calibri" w:hAnsi="Calibri"/>
          <w:b w:val="0"/>
          <w:i w:val="0"/>
          <w:sz w:val="22"/>
        </w:rPr>
        <w:t>Select and sequence coping strategies based on controllability, current arousal, timing, resources, and flexibility, and explain how a reliable other changes what a demand costs to handle.</w:t>
      </w:r>
    </w:p>
    <w:p>
      <w:pPr>
        <w:pStyle w:val="Heading1"/>
      </w:pPr>
      <w:r>
        <w:rPr>
          <w:rFonts w:ascii="Calibri" w:hAnsi="Calibri"/>
          <w:b/>
          <w:i w:val="0"/>
          <w:color w:val="2E74B5"/>
          <w:sz w:val="32"/>
        </w:rPr>
        <w:t>Section 1: The Regulated Body — Homeostasis, Allostasis, and Core Affect</w:t>
      </w:r>
    </w:p>
    <w:p>
      <w:pPr>
        <w:pStyle w:val="Heading2"/>
      </w:pPr>
      <w:r>
        <w:rPr>
          <w:rFonts w:ascii="Calibri" w:hAnsi="Calibri"/>
          <w:b/>
          <w:i w:val="0"/>
          <w:color w:val="2E74B5"/>
          <w:sz w:val="26"/>
        </w:rPr>
        <w:t>Complementary models of regulation</w:t>
      </w:r>
    </w:p>
    <w:p>
      <w:r>
        <w:rPr>
          <w:rFonts w:ascii="Calibri" w:hAnsi="Calibri"/>
          <w:b w:val="0"/>
          <w:i w:val="0"/>
          <w:sz w:val="22"/>
        </w:rPr>
        <w:t xml:space="preserve">You probably learned that the body maintains conditions such as temperature, blood glucose, and pH through </w:t>
      </w:r>
      <w:r>
        <w:rPr>
          <w:rFonts w:ascii="Calibri" w:hAnsi="Calibri"/>
          <w:b/>
          <w:i w:val="0"/>
          <w:sz w:val="22"/>
        </w:rPr>
        <w:t>homeostasis</w:t>
      </w:r>
      <w:r>
        <w:rPr>
          <w:rFonts w:ascii="Calibri" w:hAnsi="Calibri"/>
          <w:b w:val="0"/>
          <w:i w:val="0"/>
          <w:sz w:val="22"/>
        </w:rPr>
        <w:t>: feedback processes detect a deviation and help correct it. That model remains useful. Feedback is everywhere in physiology.</w:t>
      </w:r>
    </w:p>
    <w:p>
      <w:r>
        <w:rPr>
          <w:rFonts w:ascii="Calibri" w:hAnsi="Calibri"/>
          <w:b/>
          <w:i w:val="0"/>
          <w:sz w:val="22"/>
        </w:rPr>
        <w:t>Allostasis</w:t>
      </w:r>
      <w:r>
        <w:rPr>
          <w:rFonts w:ascii="Calibri" w:hAnsi="Calibri"/>
          <w:b w:val="0"/>
          <w:i w:val="0"/>
          <w:sz w:val="22"/>
        </w:rPr>
        <w:t xml:space="preserve"> emphasizes a complementary fact: organisms also anticipate needs and adjust before a serious deviation occurs. You may become hungry before energy stores are critically low, or alert before an expected demand. In Sterling's (2012) formulation, the brain helps coordinate these anticipatory adjustments using prior experience and present information.</w:t>
      </w:r>
    </w:p>
    <w:p>
      <w:r>
        <w:rPr>
          <w:rFonts w:ascii="Calibri" w:hAnsi="Calibri"/>
          <w:b w:val="0"/>
          <w:i w:val="0"/>
          <w:sz w:val="22"/>
        </w:rPr>
        <w:t>The thermostat contrast is a teaching simplification, but a useful one. Homeostasis resembles a thermostat that kicks on when the house gets cold. Allostasis resembles a thermostat that learns your schedule and preheats the house before you wake up. Real regulation uses both anticipation and feedback; one did not make the other obsolete.</w:t>
      </w:r>
    </w:p>
    <w:p>
      <w:r>
        <w:rPr>
          <w:rFonts w:ascii="Calibri" w:hAnsi="Calibri"/>
          <w:b w:val="0"/>
          <w:i w:val="0"/>
          <w:sz w:val="22"/>
        </w:rPr>
        <w:t>By the time you feel anything, your body has already moved. Feeling is not the report on what happened—it is part of getting ready for what might.</w:t>
      </w:r>
    </w:p>
    <w:p>
      <w:pPr>
        <w:pStyle w:val="Heading2"/>
      </w:pPr>
      <w:r>
        <w:rPr>
          <w:rFonts w:ascii="Calibri" w:hAnsi="Calibri"/>
          <w:b/>
          <w:i w:val="0"/>
          <w:color w:val="2E74B5"/>
          <w:sz w:val="26"/>
        </w:rPr>
        <w:t>The body budget</w:t>
      </w:r>
    </w:p>
    <w:p>
      <w:r>
        <w:rPr>
          <w:rFonts w:ascii="Calibri" w:hAnsi="Calibri"/>
          <w:b w:val="0"/>
          <w:i w:val="0"/>
          <w:sz w:val="22"/>
        </w:rPr>
        <w:t xml:space="preserve">Barrett (2017a) uses </w:t>
      </w:r>
      <w:r>
        <w:rPr>
          <w:rFonts w:ascii="Calibri" w:hAnsi="Calibri"/>
          <w:b/>
          <w:i w:val="0"/>
          <w:sz w:val="22"/>
        </w:rPr>
        <w:t>body budget</w:t>
      </w:r>
      <w:r>
        <w:rPr>
          <w:rFonts w:ascii="Calibri" w:hAnsi="Calibri"/>
          <w:b w:val="0"/>
          <w:i w:val="0"/>
          <w:sz w:val="22"/>
        </w:rPr>
        <w:t xml:space="preserve"> as a metaphor for allostatic regulation — the running management of the body's metabolic resources. Deposits come from eating, sleeping, and supportive social contact. Withdrawals come from moving, learning, fighting infection, coping with uncertainty, and meeting threats.</w:t>
      </w:r>
    </w:p>
    <w:p>
      <w:r>
        <w:rPr>
          <w:rFonts w:ascii="Calibri" w:hAnsi="Calibri"/>
          <w:b w:val="0"/>
          <w:i w:val="0"/>
          <w:sz w:val="22"/>
        </w:rPr>
        <w:t xml:space="preserve">Acute stress without enough recovery leaves a metabolic deficit. You feel that deficit as unpleasant affect — bad, before you know why. Context supplies the rest, and the same deficit becomes dread before an exam or irritation in a crowded room. Let it repeat without recovery and the cost accumulates as </w:t>
      </w:r>
      <w:r>
        <w:rPr>
          <w:rFonts w:ascii="Calibri" w:hAnsi="Calibri"/>
          <w:b/>
          <w:i w:val="0"/>
          <w:sz w:val="22"/>
        </w:rPr>
        <w:t>allostatic load</w:t>
      </w:r>
      <w:r>
        <w:rPr>
          <w:rFonts w:ascii="Calibri" w:hAnsi="Calibri"/>
          <w:b w:val="0"/>
          <w:i w:val="0"/>
          <w:sz w:val="22"/>
        </w:rPr>
        <w:t xml:space="preserve"> (i.e., cumulative wear and tear), which Section 3 takes up.</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12.1. The body-budget metaphor organizes what supports regulation against what draws it down. Original figure.</w:t>
      </w:r>
    </w:p>
    <w:p>
      <w:pPr>
        <w:pStyle w:val="Heading2"/>
      </w:pPr>
      <w:r>
        <w:rPr>
          <w:rFonts w:ascii="Calibri" w:hAnsi="Calibri"/>
          <w:b/>
          <w:i w:val="0"/>
          <w:color w:val="2E74B5"/>
          <w:sz w:val="26"/>
        </w:rPr>
        <w:t>Interoception and core affect</w:t>
      </w:r>
    </w:p>
    <w:p>
      <w:r>
        <w:rPr>
          <w:rFonts w:ascii="Calibri" w:hAnsi="Calibri"/>
          <w:b/>
          <w:i w:val="0"/>
          <w:sz w:val="22"/>
        </w:rPr>
        <w:t>Interoception</w:t>
      </w:r>
      <w:r>
        <w:rPr>
          <w:rFonts w:ascii="Calibri" w:hAnsi="Calibri"/>
          <w:b w:val="0"/>
          <w:i w:val="0"/>
          <w:sz w:val="22"/>
        </w:rPr>
        <w:t xml:space="preserve"> is the nervous system's sensing and integration of signals from inside the body: breathing, heartbeat, gut activity, temperature, muscle tension, and other internal conditions. Those signals are combined with context and prior experience; interoception is neither a perfect meter nor merely imagination.</w:t>
      </w:r>
    </w:p>
    <w:p>
      <w:r>
        <w:rPr>
          <w:rFonts w:ascii="Calibri" w:hAnsi="Calibri"/>
          <w:b w:val="0"/>
          <w:i w:val="0"/>
          <w:sz w:val="22"/>
        </w:rPr>
        <w:t xml:space="preserve">James Russell's (1980) model of </w:t>
      </w:r>
      <w:r>
        <w:rPr>
          <w:rFonts w:ascii="Calibri" w:hAnsi="Calibri"/>
          <w:b/>
          <w:i w:val="0"/>
          <w:sz w:val="22"/>
        </w:rPr>
        <w:t>core affect</w:t>
      </w:r>
      <w:r>
        <w:rPr>
          <w:rFonts w:ascii="Calibri" w:hAnsi="Calibri"/>
          <w:b w:val="0"/>
          <w:i w:val="0"/>
          <w:sz w:val="22"/>
        </w:rPr>
        <w:t xml:space="preserve"> describes a broad background state along two dimensions:</w:t>
      </w:r>
    </w:p>
    <w:p>
      <w:pPr>
        <w:pStyle w:val="ListBullet"/>
        <w:numPr>
          <w:ilvl w:val="0"/>
          <w:numId w:val="11"/>
        </w:numPr>
      </w:pPr>
      <w:r>
        <w:rPr>
          <w:rFonts w:ascii="Calibri" w:hAnsi="Calibri"/>
          <w:b/>
          <w:i w:val="0"/>
          <w:sz w:val="22"/>
        </w:rPr>
        <w:t>Valence</w:t>
      </w:r>
      <w:r>
        <w:rPr>
          <w:rFonts w:ascii="Calibri" w:hAnsi="Calibri"/>
          <w:b w:val="0"/>
          <w:i w:val="0"/>
          <w:sz w:val="22"/>
        </w:rPr>
        <w:t>: pleasant to unpleasant</w:t>
      </w:r>
    </w:p>
    <w:p>
      <w:pPr>
        <w:pStyle w:val="ListBullet"/>
        <w:numPr>
          <w:ilvl w:val="0"/>
          <w:numId w:val="11"/>
        </w:numPr>
      </w:pPr>
      <w:r>
        <w:rPr>
          <w:rFonts w:ascii="Calibri" w:hAnsi="Calibri"/>
          <w:b/>
          <w:i w:val="0"/>
          <w:sz w:val="22"/>
        </w:rPr>
        <w:t>Arousal</w:t>
      </w:r>
      <w:r>
        <w:rPr>
          <w:rFonts w:ascii="Calibri" w:hAnsi="Calibri"/>
          <w:b w:val="0"/>
          <w:i w:val="0"/>
          <w:sz w:val="22"/>
        </w:rPr>
        <w:t>: activated to deactivated</w:t>
      </w:r>
    </w:p>
    <w:p>
      <w:r>
        <w:rPr>
          <w:rFonts w:ascii="Calibri" w:hAnsi="Calibri"/>
          <w:b w:val="0"/>
          <w:i w:val="0"/>
          <w:sz w:val="22"/>
        </w:rPr>
        <w:t>You can be unpleasant and activated, as in agitation; pleasant and activated, as in excitement; unpleasant and deactivated, as in fatigue; or pleasant and deactivated, as in calm. Right now, reading this, you are somewhere on that map—perhaps mildly pleasant and moderately aroused; perhaps slightly unpleasant and low-arousal. Core affect is not a specific emotion.</w:t>
      </w:r>
    </w:p>
    <w:p>
      <w:r>
        <w:rPr>
          <w:rFonts w:ascii="Calibri" w:hAnsi="Calibri"/>
          <w:b w:val="0"/>
          <w:i w:val="0"/>
          <w:sz w:val="22"/>
        </w:rPr>
        <w:t>Heartbeat, gut, temperature, muscle tension, blood sugar — and what you actually feel of all that is two things: pleasant or not, wound up or not. That is enough to tell you something is off, and nowhere near enough to tell you what. Which is why you can be certain you feel terrible and have no idea why.</w:t>
      </w:r>
    </w:p>
    <w:p>
      <w:r>
        <w:rPr>
          <w:rFonts w:ascii="Calibri" w:hAnsi="Calibri"/>
          <w:b w:val="0"/>
          <w:i w:val="0"/>
          <w:sz w:val="22"/>
        </w:rPr>
        <w:t>Core affect is the raw material, not the emotion. The same unpleasant, activated state becomes dread before an exam, anger in an argument, and exhilaration at the top of a drop. What turns it into one of those is the context you are in and the concept you bring to it — the job Section 2 takes up.</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12.2. Russell's circumplex describes broad dimensions of current feeling. Valence and arousal locate core affect; they do not, by themselves, specify an emotion. Original figure.</w:t>
      </w:r>
    </w:p>
    <w:p>
      <w:r>
        <w:rPr>
          <w:rFonts w:ascii="Calibri" w:hAnsi="Calibri"/>
          <w:b w:val="0"/>
          <w:i w:val="0"/>
          <w:sz w:val="22"/>
        </w:rPr>
        <w:t>Sleep loss, hunger, social isolation, and sustained workload can each affect feeling and regulation. Experimental sleep loss reliably reduces positive affect and increases anxiety symptoms, while findings for negative affect vary with the kind of sleep loss and outcome measured (Palmer et al., 2024). Change the conditions and you change the starting point every feeling is built from.</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Explain why homeostasis and allostasis are complementary. Then name the two dimensions of core affect and give two different emotions that could occupy the same region of the circumplex.</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class discussion feels unusually irritating after a short night of sleep. What can you reasonably infer about bodily condition and emotion—and what can you </w:t>
      </w:r>
      <w:r>
        <w:rPr>
          <w:rFonts w:ascii="Calibri" w:hAnsi="Calibri"/>
          <w:b w:val="0"/>
          <w:i/>
          <w:sz w:val="22"/>
        </w:rPr>
        <w:t>not</w:t>
      </w:r>
      <w:r>
        <w:rPr>
          <w:rFonts w:ascii="Calibri" w:hAnsi="Calibri"/>
          <w:b w:val="0"/>
          <w:i w:val="0"/>
          <w:sz w:val="22"/>
        </w:rPr>
        <w:t xml:space="preserve"> diagnose from that one moment? Practical relevance does not require turning ordinary fatigue or distress into a physiological diagnosis; say where that line falls.</w:t>
      </w:r>
    </w:p>
    <w:p>
      <w:pPr>
        <w:pStyle w:val="Heading1"/>
      </w:pPr>
      <w:r>
        <w:rPr>
          <w:rFonts w:ascii="Calibri" w:hAnsi="Calibri"/>
          <w:b/>
          <w:i w:val="0"/>
          <w:color w:val="2E74B5"/>
          <w:sz w:val="32"/>
        </w:rPr>
        <w:t>Section 2: How Does a Feeling Become an Emotion?</w:t>
      </w:r>
    </w:p>
    <w:p>
      <w:pPr>
        <w:pStyle w:val="Heading2"/>
      </w:pPr>
      <w:r>
        <w:rPr>
          <w:rFonts w:ascii="Calibri" w:hAnsi="Calibri"/>
          <w:b/>
          <w:i w:val="0"/>
          <w:color w:val="2E74B5"/>
          <w:sz w:val="26"/>
        </w:rPr>
        <w:t>The word you reach for changes what you do next</w:t>
      </w:r>
    </w:p>
    <w:p>
      <w:r>
        <w:rPr>
          <w:rFonts w:ascii="Calibri" w:hAnsi="Calibri"/>
          <w:b w:val="0"/>
          <w:i w:val="0"/>
          <w:sz w:val="22"/>
        </w:rPr>
        <w:t>"I feel bad" tells you nothing about what to do next. "I'm disappointed" tells you to revise an expectation. "I'm frustrated" tells you to change the approach. Same discomfort, different instructions.</w:t>
      </w:r>
    </w:p>
    <w:p>
      <w:r>
        <w:rPr>
          <w:rFonts w:ascii="Calibri" w:hAnsi="Calibri"/>
          <w:b/>
          <w:i w:val="0"/>
          <w:sz w:val="22"/>
        </w:rPr>
        <w:t>Emotional granularity</w:t>
      </w:r>
      <w:r>
        <w:rPr>
          <w:rFonts w:ascii="Calibri" w:hAnsi="Calibri"/>
          <w:b w:val="0"/>
          <w:i w:val="0"/>
          <w:sz w:val="22"/>
        </w:rPr>
        <w:t xml:space="preserve"> is the degree to which someone distinguishes among emotional states. Compare these labels:</w:t>
      </w:r>
    </w:p>
    <w:p>
      <w:pPr>
        <w:pStyle w:val="ListBullet"/>
        <w:numPr>
          <w:ilvl w:val="0"/>
          <w:numId w:val="12"/>
        </w:numPr>
      </w:pPr>
      <w:r>
        <w:rPr>
          <w:rFonts w:ascii="Calibri" w:hAnsi="Calibri"/>
          <w:b w:val="0"/>
          <w:i/>
          <w:sz w:val="22"/>
        </w:rPr>
        <w:t>Anxious</w:t>
      </w:r>
      <w:r>
        <w:rPr>
          <w:rFonts w:ascii="Calibri" w:hAnsi="Calibri"/>
          <w:b w:val="0"/>
          <w:i w:val="0"/>
          <w:sz w:val="22"/>
        </w:rPr>
        <w:t>: an important outcome is uncertain; gather information, plan, or tolerate uncertainty.</w:t>
      </w:r>
    </w:p>
    <w:p>
      <w:pPr>
        <w:pStyle w:val="ListBullet"/>
        <w:numPr>
          <w:ilvl w:val="0"/>
          <w:numId w:val="12"/>
        </w:numPr>
      </w:pPr>
      <w:r>
        <w:rPr>
          <w:rFonts w:ascii="Calibri" w:hAnsi="Calibri"/>
          <w:b w:val="0"/>
          <w:i/>
          <w:sz w:val="22"/>
        </w:rPr>
        <w:t>Frustrated</w:t>
      </w:r>
      <w:r>
        <w:rPr>
          <w:rFonts w:ascii="Calibri" w:hAnsi="Calibri"/>
          <w:b w:val="0"/>
          <w:i w:val="0"/>
          <w:sz w:val="22"/>
        </w:rPr>
        <w:t>: an obstacle blocks a goal; change the approach or address the obstacle.</w:t>
      </w:r>
    </w:p>
    <w:p>
      <w:pPr>
        <w:pStyle w:val="ListBullet"/>
        <w:numPr>
          <w:ilvl w:val="0"/>
          <w:numId w:val="12"/>
        </w:numPr>
      </w:pPr>
      <w:r>
        <w:rPr>
          <w:rFonts w:ascii="Calibri" w:hAnsi="Calibri"/>
          <w:b w:val="0"/>
          <w:i/>
          <w:sz w:val="22"/>
        </w:rPr>
        <w:t>Disappointed</w:t>
      </w:r>
      <w:r>
        <w:rPr>
          <w:rFonts w:ascii="Calibri" w:hAnsi="Calibri"/>
          <w:b w:val="0"/>
          <w:i w:val="0"/>
          <w:sz w:val="22"/>
        </w:rPr>
        <w:t>: an expectation was not met; revise expectations, communicate, or seek another source of support.</w:t>
      </w:r>
    </w:p>
    <w:p>
      <w:r>
        <w:rPr>
          <w:rFonts w:ascii="Calibri" w:hAnsi="Calibri"/>
          <w:b w:val="0"/>
          <w:i w:val="0"/>
          <w:sz w:val="22"/>
        </w:rPr>
        <w:t>Across clinical and nonclinical research, higher granularity is robustly associated with functioning, social outcomes, and lower psychopathology (Ozomaro et al., 2025). The association is not a verdict about cause: better functioning may support granularity, granularity may sometimes support regulation, and both may depend on other skills.</w:t>
      </w:r>
    </w:p>
    <w:p>
      <w:pPr>
        <w:pStyle w:val="Heading2"/>
      </w:pPr>
      <w:r>
        <w:rPr>
          <w:rFonts w:ascii="Calibri" w:hAnsi="Calibri"/>
          <w:b/>
          <w:i w:val="0"/>
          <w:color w:val="2E74B5"/>
          <w:sz w:val="26"/>
        </w:rPr>
        <w:t>One evidence base, several interpretations</w:t>
      </w:r>
    </w:p>
    <w:p>
      <w:r>
        <w:rPr>
          <w:rFonts w:ascii="Calibri" w:hAnsi="Calibri"/>
          <w:b w:val="0"/>
          <w:i w:val="0"/>
          <w:sz w:val="22"/>
        </w:rPr>
        <w:t>Constructionism is the lens used here, but it is not the only serious contemporary account: the approaches below largely agree on what contributes to an emotional episode and disagree about how those contributions are organized (Barrett, 2017b).</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Approach</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Central proposal</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Durable contribution</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Important boundary</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James–Lange</w:t>
            </w:r>
            <w:r>
              <w:rPr>
                <w:rFonts w:ascii="Calibri" w:hAnsi="Calibri"/>
                <w:b w:val="0"/>
                <w:i w:val="0"/>
                <w:sz w:val="20"/>
              </w:rPr>
              <w:t xml:space="preserve"> (James, 1884)</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Perceiving bodily change contributes to felt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feedback matters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patterns do not map neatly one-to-one onto emotion categories</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Cannon–Bard</w:t>
            </w:r>
            <w:r>
              <w:rPr>
                <w:rFonts w:ascii="Calibri" w:hAnsi="Calibri"/>
                <w:b w:val="0"/>
                <w:i w:val="0"/>
                <w:sz w:val="20"/>
              </w:rPr>
              <w:t xml:space="preserve"> (Cannon, 1927)</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and conscious feeling can occur in parallel</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is not simply a slow readout of the viscera</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historical model does not specify how context yields a particular experience</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Schachter–Singer</w:t>
            </w:r>
            <w:r>
              <w:rPr>
                <w:rFonts w:ascii="Calibri" w:hAnsi="Calibri"/>
                <w:b w:val="0"/>
                <w:i w:val="0"/>
                <w:sz w:val="20"/>
              </w:rPr>
              <w:t xml:space="preserve"> (Schachter &amp; Singer, 1962)</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is interpreted using situational information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Context and cognition shape experience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famous findings have had replication problems, and appraisal need not occur only after arousal</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Appraisal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Evaluations of relevance, goals, control, and coping organize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Meaning depends on the person's relation to the situation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Appraisal theories differ about whether appraisals are components, causes, or descriptions</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Discrete-emotion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Some emotion families reflect partly specialized, evolved patterns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Emotions can have differentiated effects and recurring action tendencies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Recurring patterns do not require one dedicated circuit per named emotion</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Constructionist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instances emerge from more basic processes, including bodily state and conceptualization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Explains context sensitivity, variation, and distributed processing</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Influential and evidence-supported, but still debated rather than established by definition</w:t>
            </w:r>
          </w:p>
        </w:tc>
      </w:tr>
    </w:tbl>
    <w:p>
      <w:pPr>
        <w:spacing w:after="0"/>
      </w:pPr>
    </w:p>
    <w:p>
      <w:r>
        <w:rPr>
          <w:rFonts w:ascii="Calibri" w:hAnsi="Calibri"/>
          <w:b w:val="0"/>
          <w:i w:val="0"/>
          <w:sz w:val="22"/>
        </w:rPr>
        <w:t>Distributed and multifunctional processing does not mean that every circuit contributes equally to every emotion. Threat-related circuitry exists, and the amygdala is important in some forms of threat learning and responding. It is not a single fear button.</w:t>
      </w:r>
    </w:p>
    <w:p>
      <w:pPr>
        <w:pStyle w:val="Heading2"/>
      </w:pPr>
      <w:r>
        <w:rPr>
          <w:rFonts w:ascii="Calibri" w:hAnsi="Calibri"/>
          <w:b/>
          <w:i w:val="0"/>
          <w:color w:val="2E74B5"/>
          <w:sz w:val="26"/>
        </w:rPr>
        <w:t>Classic Study Walkthrough: Patient S.M. and the boundary of fear</w:t>
      </w:r>
    </w:p>
    <w:p>
      <w:r>
        <w:rPr>
          <w:rFonts w:ascii="Calibri" w:hAnsi="Calibri"/>
          <w:b/>
          <w:i w:val="0"/>
          <w:sz w:val="22"/>
        </w:rPr>
        <w:t>The question:</w:t>
      </w:r>
      <w:r>
        <w:rPr>
          <w:rFonts w:ascii="Calibri" w:hAnsi="Calibri"/>
          <w:b w:val="0"/>
          <w:i w:val="0"/>
          <w:sz w:val="22"/>
        </w:rPr>
        <w:t xml:space="preserve"> What does bilateral amygdala damage change about detecting and experiencing threat?</w:t>
      </w:r>
    </w:p>
    <w:p>
      <w:r>
        <w:rPr>
          <w:rFonts w:ascii="Calibri" w:hAnsi="Calibri"/>
          <w:b/>
          <w:i w:val="0"/>
          <w:sz w:val="22"/>
        </w:rPr>
        <w:t>The evidence:</w:t>
      </w:r>
      <w:r>
        <w:rPr>
          <w:rFonts w:ascii="Calibri" w:hAnsi="Calibri"/>
          <w:b w:val="0"/>
          <w:i w:val="0"/>
          <w:sz w:val="22"/>
        </w:rPr>
        <w:t xml:space="preserve"> Patient S.M. handled live snakes and spiders, walked through a haunted house, and watched frightening films with strikingly little fear (Feinstein et al., 2011). She allowed unusually close interpersonal distance (Kennedy et al., 2009) and had difficulty recognizing fear in faces (Adolphs et al., 1994). She has rare bilateral amygdala damage associated with Urbach–Wiethe disease. Yet the story changed when threat came from inside the body: inhaling 35% CO₂ triggered fear and a panic attack in S.M. and two other people with bilateral amygdala damage (Feinstein et al., 2013).</w:t>
      </w:r>
    </w:p>
    <w:p>
      <w:r>
        <w:rPr>
          <w:rFonts w:ascii="Calibri" w:hAnsi="Calibri"/>
          <w:b/>
          <w:i w:val="0"/>
          <w:sz w:val="22"/>
        </w:rPr>
        <w:t>Why it matters:</w:t>
      </w:r>
      <w:r>
        <w:rPr>
          <w:rFonts w:ascii="Calibri" w:hAnsi="Calibri"/>
          <w:b w:val="0"/>
          <w:i w:val="0"/>
          <w:sz w:val="22"/>
        </w:rPr>
        <w:t xml:space="preserve"> She can tell you the snake is dangerous. She just doesn't mind. Knowing and minding turn out to be two different jobs—and the CO₂ result shows the amygdala is not the only way into the second one. The amygdala contributes importantly to some externally triggered threats; it is not necessary for every experience of fear or panic.</w:t>
      </w:r>
    </w:p>
    <w:p>
      <w:pPr>
        <w:pStyle w:val="Heading2"/>
      </w:pPr>
      <w:r>
        <w:rPr>
          <w:rFonts w:ascii="Calibri" w:hAnsi="Calibri"/>
          <w:b/>
          <w:i w:val="0"/>
          <w:color w:val="2E74B5"/>
          <w:sz w:val="26"/>
        </w:rPr>
        <w:t>Affect labeling</w:t>
      </w:r>
    </w:p>
    <w:p>
      <w:r>
        <w:rPr>
          <w:rFonts w:ascii="Calibri" w:hAnsi="Calibri"/>
          <w:b/>
          <w:i w:val="0"/>
          <w:sz w:val="22"/>
        </w:rPr>
        <w:t>Affect labeling</w:t>
      </w:r>
      <w:r>
        <w:rPr>
          <w:rFonts w:ascii="Calibri" w:hAnsi="Calibri"/>
          <w:b w:val="0"/>
          <w:i w:val="0"/>
          <w:sz w:val="22"/>
        </w:rPr>
        <w:t xml:space="preserve"> means putting a feeling into words. In some laboratory tasks, labeling emotional stimuli changes self-report, task responding, and neural activity, including activity in prefrontal regions and the amygdala (Lieberman et al., 2007; Torre &amp; Lieberman, 2018). The effects depend on task and timing; recent work also shows that labeling can sometimes interfere with later reappraisal (Ariely et al., 2026). The observed result is that labeling can alter responding in some contexts—reduced prediction error and improved construction are interpretations.</w:t>
      </w:r>
    </w:p>
    <w:p>
      <w:r>
        <w:rPr>
          <w:rFonts w:ascii="Calibri" w:hAnsi="Calibri"/>
          <w:b w:val="0"/>
          <w:i w:val="0"/>
          <w:sz w:val="22"/>
        </w:rPr>
        <w:t>Journaling, friendship, and therapy all put feelings into words, which can provide reflection, social support, new interpretations, memory organization, and other forms of regulation.</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Which statement is an observation and which is an interpretation? (A) In one task, labeling fearful faces changed reported distress and activity in several brain regions. (B) Labeling worked because the brain reduced prediction error while constructing a more accurate emotion. Explain your choice.</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teammate says, "I feel bad about our project." Without asking for private health information, what questions could distinguish disappointment, frustration, and anxiety—and how might the first useful action change?</w:t>
      </w:r>
    </w:p>
    <w:p>
      <w:pPr>
        <w:pStyle w:val="Heading1"/>
      </w:pPr>
      <w:r>
        <w:rPr>
          <w:rFonts w:ascii="Calibri" w:hAnsi="Calibri"/>
          <w:b/>
          <w:i w:val="0"/>
          <w:color w:val="2E74B5"/>
          <w:sz w:val="32"/>
        </w:rPr>
        <w:t>Section 3: Stress — Mobilization, Duration, and Cumulative Cost</w:t>
      </w:r>
    </w:p>
    <w:p>
      <w:pPr>
        <w:pStyle w:val="Heading2"/>
      </w:pPr>
      <w:r>
        <w:rPr>
          <w:rFonts w:ascii="Calibri" w:hAnsi="Calibri"/>
          <w:b/>
          <w:i w:val="0"/>
          <w:color w:val="2E74B5"/>
          <w:sz w:val="26"/>
        </w:rPr>
        <w:t>Appraisal and the cognitive light cone</w:t>
      </w:r>
    </w:p>
    <w:p>
      <w:r>
        <w:rPr>
          <w:rFonts w:ascii="Calibri" w:hAnsi="Calibri"/>
          <w:b w:val="0"/>
          <w:i w:val="0"/>
          <w:sz w:val="22"/>
        </w:rPr>
        <w:t>A zebra's stress response mobilizes fully for the minute it takes to escape a lion, then shuts off completely once the threat is gone or the zebra is dead (Sapolsky, 2004). Yours doesn't. Your threats are next Tuesday—and they will still be next Tuesday tomorrow.</w:t>
      </w:r>
    </w:p>
    <w:p>
      <w:r>
        <w:rPr>
          <w:rFonts w:ascii="Calibri" w:hAnsi="Calibri"/>
          <w:b w:val="0"/>
          <w:i w:val="0"/>
          <w:sz w:val="22"/>
        </w:rPr>
        <w:t>You run overlapping machinery on a very different range of things that count as a threat. The same exam can feel manageable when you have time, a plan, and sleep, but overwhelming when you feel unprepared and trapped. The event matters; so does the person–situation relationship.</w:t>
      </w:r>
    </w:p>
    <w:p>
      <w:r>
        <w:rPr>
          <w:rFonts w:ascii="Calibri" w:hAnsi="Calibri"/>
          <w:b w:val="0"/>
          <w:i w:val="0"/>
          <w:sz w:val="22"/>
        </w:rPr>
        <w:t xml:space="preserve">That relationship has a name. </w:t>
      </w:r>
      <w:r>
        <w:rPr>
          <w:rFonts w:ascii="Calibri" w:hAnsi="Calibri"/>
          <w:b/>
          <w:i w:val="0"/>
          <w:sz w:val="22"/>
        </w:rPr>
        <w:t>Stress</w:t>
      </w:r>
      <w:r>
        <w:rPr>
          <w:rFonts w:ascii="Calibri" w:hAnsi="Calibri"/>
          <w:b w:val="0"/>
          <w:i w:val="0"/>
          <w:sz w:val="22"/>
        </w:rPr>
        <w:t xml:space="preserve"> is a pattern of psychological and bodily responses that occurs when a person appraises demands as taxing or exceeding available coping resources (Lazarus &amp; Folkman, 1984). A </w:t>
      </w:r>
      <w:r>
        <w:rPr>
          <w:rFonts w:ascii="Calibri" w:hAnsi="Calibri"/>
          <w:b/>
          <w:i w:val="0"/>
          <w:sz w:val="22"/>
        </w:rPr>
        <w:t>stressor</w:t>
      </w:r>
      <w:r>
        <w:rPr>
          <w:rFonts w:ascii="Calibri" w:hAnsi="Calibri"/>
          <w:b w:val="0"/>
          <w:i w:val="0"/>
          <w:sz w:val="22"/>
        </w:rPr>
        <w:t xml:space="preserve"> is the event or condition being appraised. </w:t>
      </w:r>
      <w:r>
        <w:rPr>
          <w:rFonts w:ascii="Calibri" w:hAnsi="Calibri"/>
          <w:b/>
          <w:i w:val="0"/>
          <w:sz w:val="22"/>
        </w:rPr>
        <w:t>Primary appraisal</w:t>
      </w:r>
      <w:r>
        <w:rPr>
          <w:rFonts w:ascii="Calibri" w:hAnsi="Calibri"/>
          <w:b w:val="0"/>
          <w:i w:val="0"/>
          <w:sz w:val="22"/>
        </w:rPr>
        <w:t xml:space="preserve"> asks whether the situation matters and whether it involves harm, threat, or challenge. </w:t>
      </w:r>
      <w:r>
        <w:rPr>
          <w:rFonts w:ascii="Calibri" w:hAnsi="Calibri"/>
          <w:b/>
          <w:i w:val="0"/>
          <w:sz w:val="22"/>
        </w:rPr>
        <w:t>Secondary appraisal</w:t>
      </w:r>
      <w:r>
        <w:rPr>
          <w:rFonts w:ascii="Calibri" w:hAnsi="Calibri"/>
          <w:b w:val="0"/>
          <w:i w:val="0"/>
          <w:sz w:val="22"/>
        </w:rPr>
        <w:t xml:space="preserve"> concerns coping options and resources.</w:t>
      </w:r>
    </w:p>
    <w:p>
      <w:r>
        <w:rPr>
          <w:rFonts w:ascii="Calibri" w:hAnsi="Calibri"/>
          <w:b w:val="0"/>
          <w:i w:val="0"/>
          <w:sz w:val="22"/>
        </w:rPr>
        <w:t xml:space="preserve">Michael Levin uses </w:t>
      </w:r>
      <w:r>
        <w:rPr>
          <w:rFonts w:ascii="Calibri" w:hAnsi="Calibri"/>
          <w:b/>
          <w:i w:val="0"/>
          <w:sz w:val="22"/>
        </w:rPr>
        <w:t>cognitive light cone</w:t>
      </w:r>
      <w:r>
        <w:rPr>
          <w:rFonts w:ascii="Calibri" w:hAnsi="Calibri"/>
          <w:b w:val="0"/>
          <w:i w:val="0"/>
          <w:sz w:val="22"/>
        </w:rPr>
        <w:t xml:space="preserve"> for the spatial and temporal scale of the goals an agent can represent and work toward (Levin, 2019). At a small scale, action may regulate an immediate local condition. A broader horizon can include nearby places and short-term outcomes. Human goals can extend to a distant family member, next year's education, the future of an institution, or an abstract commitment.</w:t>
      </w:r>
    </w:p>
    <w:p>
      <w:r>
        <w:rPr>
          <w:rFonts w:ascii="Calibri" w:hAnsi="Calibri"/>
          <w:b w:val="0"/>
          <w:i w:val="0"/>
          <w:sz w:val="22"/>
        </w:rPr>
        <w:t>A broader cognitive light cone is an achievement. It supports planning, cooperation, delayed action, long-term commitments, care for distant others, and collective or abstract goals. The boundary is not merely what an agent can sense or physically reach. It is what can matter enough to organize action.</w:t>
      </w:r>
    </w:p>
    <w:p>
      <w:r>
        <w:rPr>
          <w:rFonts w:ascii="Calibri" w:hAnsi="Calibri"/>
          <w:b w:val="0"/>
          <w:i w:val="0"/>
          <w:sz w:val="22"/>
        </w:rPr>
        <w:t>Here is the Chapter 12 application: because humans can organize present action around distant, anticipated, social, and symbolic goals, threats to those goals can enter present appraisal even when no immediate physical danger is present. Remembering the past and imagining the future help make that reach possible (Schacter et al., 2007; Suddendorf &amp; Corballis, 2007). Those appraisals can recruit genuine present stress responses.</w:t>
      </w:r>
    </w:p>
    <w:p>
      <w:r>
        <w:rPr>
          <w:rFonts w:ascii="Calibri" w:hAnsi="Calibri"/>
          <w:b w:val="0"/>
          <w:i w:val="0"/>
          <w:sz w:val="22"/>
        </w:rPr>
        <w:t>Keep the levels separate. In Levin's broad cybernetic framework, discrepancy means a gap between a represented goal and a current state. Lazarus and Folkman's psychological account asks how a person appraises demands and coping resources. SAM and HPA describe physiological response routes. The ideas can connect without becoming one mechanism.</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12.3. A cognitive light cone represents the spatial and temporal scale of goals an agent can represent and work toward—not merely what it can sense or physically reach. Humans can organize present action around distant relationships, future outcomes, institutions, and abstract commitments. That expanded goal horizon supports planning and cooperation, while also allowing absent threats to enter present stress appraisal. Original explanatory figure based on the framework developed by Levin (2019).</w:t>
      </w:r>
    </w:p>
    <w:p>
      <w:pPr>
        <w:pStyle w:val="Heading2"/>
      </w:pPr>
      <w:r>
        <w:rPr>
          <w:rFonts w:ascii="Calibri" w:hAnsi="Calibri"/>
          <w:b/>
          <w:i w:val="0"/>
          <w:color w:val="2E74B5"/>
          <w:sz w:val="26"/>
        </w:rPr>
        <w:t>Fast SAM, slower HPA, interacting consequences</w:t>
      </w:r>
    </w:p>
    <w:p>
      <w:r>
        <w:rPr>
          <w:rFonts w:ascii="Calibri" w:hAnsi="Calibri"/>
          <w:b w:val="0"/>
          <w:i w:val="0"/>
          <w:sz w:val="22"/>
        </w:rPr>
        <w:t>The acute stress response is not one hormone traveling down one line.</w:t>
      </w:r>
    </w:p>
    <w:p>
      <w:pPr>
        <w:pStyle w:val="ListBullet"/>
        <w:numPr>
          <w:ilvl w:val="0"/>
          <w:numId w:val="13"/>
        </w:numPr>
      </w:pPr>
      <w:r>
        <w:rPr>
          <w:rFonts w:ascii="Calibri" w:hAnsi="Calibri"/>
          <w:b w:val="0"/>
          <w:i w:val="0"/>
          <w:sz w:val="22"/>
        </w:rPr>
        <w:t xml:space="preserve">The </w:t>
      </w:r>
      <w:r>
        <w:rPr>
          <w:rFonts w:ascii="Calibri" w:hAnsi="Calibri"/>
          <w:b/>
          <w:i w:val="0"/>
          <w:sz w:val="22"/>
        </w:rPr>
        <w:t>sympathetic–adrenal–medullary (SAM) system</w:t>
      </w:r>
      <w:r>
        <w:rPr>
          <w:rFonts w:ascii="Calibri" w:hAnsi="Calibri"/>
          <w:b w:val="0"/>
          <w:i w:val="0"/>
          <w:sz w:val="22"/>
        </w:rPr>
        <w:t xml:space="preserve"> acts rapidly. Sympathetic nerves and adrenal catecholamines—especially epinephrine and norepinephrine—support immediate cardiovascular and respiratory mobilization.</w:t>
      </w:r>
    </w:p>
    <w:p>
      <w:pPr>
        <w:pStyle w:val="ListBullet"/>
        <w:numPr>
          <w:ilvl w:val="0"/>
          <w:numId w:val="13"/>
        </w:numPr>
      </w:pPr>
      <w:r>
        <w:rPr>
          <w:rFonts w:ascii="Calibri" w:hAnsi="Calibri"/>
          <w:b w:val="0"/>
          <w:i w:val="0"/>
          <w:sz w:val="22"/>
        </w:rPr>
        <w:t xml:space="preserve">The </w:t>
      </w:r>
      <w:r>
        <w:rPr>
          <w:rFonts w:ascii="Calibri" w:hAnsi="Calibri"/>
          <w:b/>
          <w:i w:val="0"/>
          <w:sz w:val="22"/>
        </w:rPr>
        <w:t>hypothalamic–pituitary–adrenal (HPA) axis</w:t>
      </w:r>
      <w:r>
        <w:rPr>
          <w:rFonts w:ascii="Calibri" w:hAnsi="Calibri"/>
          <w:b w:val="0"/>
          <w:i w:val="0"/>
          <w:sz w:val="22"/>
        </w:rPr>
        <w:t xml:space="preserve"> unfolds more slowly. Signals from hypothalamus to pituitary to adrenal cortex culminate in cortisol release, which helps coordinate energy availability and alters activity across many tissues.</w:t>
      </w:r>
    </w:p>
    <w:p>
      <w:pPr>
        <w:pStyle w:val="ListBullet"/>
        <w:numPr>
          <w:ilvl w:val="0"/>
          <w:numId w:val="13"/>
        </w:numPr>
      </w:pPr>
      <w:r>
        <w:rPr>
          <w:rFonts w:ascii="Calibri" w:hAnsi="Calibri"/>
          <w:b w:val="0"/>
          <w:i w:val="0"/>
          <w:sz w:val="22"/>
        </w:rPr>
        <w:t>Immune, metabolic, cardiovascular, and behavioral effects interact across different timescales. Their pattern varies with the stressor, appraisal, duration, prior experience, health, and opportunity for recovery (Russell &amp; Lightman, 2019).</w:t>
      </w:r>
    </w:p>
    <w:p>
      <w:r>
        <w:rPr>
          <w:rFonts w:ascii="Calibri" w:hAnsi="Calibri"/>
          <w:b w:val="0"/>
          <w:i w:val="0"/>
          <w:sz w:val="22"/>
        </w:rPr>
        <w:t>Remembered, anticipated, symbolic, socially evaluated, and immediate physical threats can recruit overlapping stress systems. "Overlapping" matters. They do not produce an identical response in every person or context, and cortisol is not the direct cause of the immediate increase in heart rate.</w:t>
      </w:r>
    </w:p>
    <w:p>
      <w:pPr>
        <w:pStyle w:val="Heading2"/>
      </w:pPr>
      <w:r>
        <w:rPr>
          <w:rFonts w:ascii="Calibri" w:hAnsi="Calibri"/>
          <w:b/>
          <w:i w:val="0"/>
          <w:color w:val="2E74B5"/>
          <w:sz w:val="26"/>
        </w:rPr>
        <w:t>GAS as history; allostatic load as the contemporary frame</w:t>
      </w:r>
    </w:p>
    <w:p>
      <w:r>
        <w:rPr>
          <w:rFonts w:ascii="Calibri" w:hAnsi="Calibri"/>
          <w:b w:val="0"/>
          <w:i w:val="0"/>
          <w:sz w:val="22"/>
        </w:rPr>
        <w:t>Hans Selye's discovery began with a failed control. In the 1930s, he injected rats with ovarian extract and observed enlarged adrenal glands, shrunken thymus and lymph tissue, and stomach damage. Control injections of formalin produced a similar triad. The response was not specific to a new hormone; it reflected something noxious happening to the animal (Selye, 1956).</w:t>
      </w:r>
    </w:p>
    <w:p>
      <w:r>
        <w:rPr>
          <w:rFonts w:ascii="Calibri" w:hAnsi="Calibri"/>
          <w:b w:val="0"/>
          <w:i w:val="0"/>
          <w:sz w:val="22"/>
        </w:rPr>
        <w:t xml:space="preserve">Selye organized prolonged stress into the </w:t>
      </w:r>
      <w:r>
        <w:rPr>
          <w:rFonts w:ascii="Calibri" w:hAnsi="Calibri"/>
          <w:b/>
          <w:i w:val="0"/>
          <w:sz w:val="22"/>
        </w:rPr>
        <w:t>General Adaptation Syndrome (GAS)</w:t>
      </w:r>
      <w:r>
        <w:rPr>
          <w:rFonts w:ascii="Calibri" w:hAnsi="Calibri"/>
          <w:b w:val="0"/>
          <w:i w:val="0"/>
          <w:sz w:val="22"/>
        </w:rPr>
        <w:t xml:space="preserve">: alarm, resistance, and exhaustion. GAS became a historically influential heuristic. </w:t>
      </w:r>
      <w:r>
        <w:rPr>
          <w:rFonts w:ascii="Calibri" w:hAnsi="Calibri"/>
          <w:b w:val="0"/>
          <w:i/>
          <w:sz w:val="22"/>
        </w:rPr>
        <w:t>Alarm</w:t>
      </w:r>
      <w:r>
        <w:rPr>
          <w:rFonts w:ascii="Calibri" w:hAnsi="Calibri"/>
          <w:b w:val="0"/>
          <w:i w:val="0"/>
          <w:sz w:val="22"/>
        </w:rPr>
        <w:t xml:space="preserve"> names initial mobilization. </w:t>
      </w:r>
      <w:r>
        <w:rPr>
          <w:rFonts w:ascii="Calibri" w:hAnsi="Calibri"/>
          <w:b w:val="0"/>
          <w:i/>
          <w:sz w:val="22"/>
        </w:rPr>
        <w:t>Resistance</w:t>
      </w:r>
      <w:r>
        <w:rPr>
          <w:rFonts w:ascii="Calibri" w:hAnsi="Calibri"/>
          <w:b w:val="0"/>
          <w:i w:val="0"/>
          <w:sz w:val="22"/>
        </w:rPr>
        <w:t xml:space="preserve"> names continued adjustment while a demand persists. </w:t>
      </w:r>
      <w:r>
        <w:rPr>
          <w:rFonts w:ascii="Calibri" w:hAnsi="Calibri"/>
          <w:b w:val="0"/>
          <w:i/>
          <w:sz w:val="22"/>
        </w:rPr>
        <w:t>Exhaustion</w:t>
      </w:r>
      <w:r>
        <w:rPr>
          <w:rFonts w:ascii="Calibri" w:hAnsi="Calibri"/>
          <w:b w:val="0"/>
          <w:i w:val="0"/>
          <w:sz w:val="22"/>
        </w:rPr>
        <w:t xml:space="preserve"> names breakdown under sufficiently severe or prolonged exposure. These are useful labels, not a universal three-step capacity curve. Bodies do not all move through fixed stages or spend a single reserve until a predictable percentage remains.</w:t>
      </w:r>
    </w:p>
    <w:p>
      <w:r>
        <w:rPr>
          <w:rFonts w:ascii="Calibri" w:hAnsi="Calibri"/>
          <w:b w:val="0"/>
          <w:i w:val="0"/>
          <w:sz w:val="22"/>
        </w:rPr>
        <w:t xml:space="preserve">The stronger contemporary framework is </w:t>
      </w:r>
      <w:r>
        <w:rPr>
          <w:rFonts w:ascii="Calibri" w:hAnsi="Calibri"/>
          <w:b/>
          <w:i w:val="0"/>
          <w:sz w:val="22"/>
        </w:rPr>
        <w:t>allostatic load</w:t>
      </w:r>
      <w:r>
        <w:rPr>
          <w:rFonts w:ascii="Calibri" w:hAnsi="Calibri"/>
          <w:b w:val="0"/>
          <w:i w:val="0"/>
          <w:sz w:val="22"/>
        </w:rPr>
        <w:t>: cumulative multisystem cost associated with repeated or sustained demands and inadequate recovery (McEwen, 1998a, 1998b). Chronic stress can involve inflammation, impaired immune regulation, altered cortisol rhythms, cardiovascular strain, metabolic changes, sleep disruption, and slower recovery. Cortisol can be too high, too low, mistimed, or poorly regulated; chronic stress is not simply "high cortisol plus a suppressed immune system." Acute stress can temporarily enhance some immune functions, while chronic stress more often dysregulates or suppresses them and can worsen inflammatory disease (Dhabhar, 2009).</w:t>
      </w:r>
    </w:p>
    <w:p>
      <w:r>
        <w:rPr>
          <w:rFonts w:ascii="Calibri" w:hAnsi="Calibri"/>
          <w:b w:val="0"/>
          <w:i w:val="0"/>
          <w:sz w:val="22"/>
        </w:rPr>
        <w:t>Students often report becoming ill after finals. That pattern is familiar, but it is not proof that a student entered a GAS exhaustion stage. Exposure to pathogens, sleep, behavior, timing, and immune regulation all matter. The restrained inference is that demanding periods and inadequate recovery can accumulate costs that become noticeable around the transition out of stress.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12.4. GAS supplies historical labels for prolonged stress; allostatic load better represents cumulative, multisystem costs when demands repeat or recovery is inadequate. There is no universal depletion curve. Original figure.</w:t>
      </w:r>
    </w:p>
    <w:p>
      <w:pPr>
        <w:pStyle w:val="Heading2"/>
      </w:pPr>
      <w:r>
        <w:rPr>
          <w:rFonts w:ascii="Calibri" w:hAnsi="Calibri"/>
          <w:b/>
          <w:i w:val="0"/>
          <w:color w:val="2E74B5"/>
          <w:sz w:val="26"/>
        </w:rPr>
        <w:t>Behavioral response patterns</w:t>
      </w:r>
    </w:p>
    <w:p>
      <w:r>
        <w:rPr>
          <w:rFonts w:ascii="Calibri" w:hAnsi="Calibri"/>
          <w:b w:val="0"/>
          <w:i w:val="0"/>
          <w:sz w:val="22"/>
        </w:rPr>
        <w:t xml:space="preserve">The </w:t>
      </w:r>
      <w:r>
        <w:rPr>
          <w:rFonts w:ascii="Calibri" w:hAnsi="Calibri"/>
          <w:b/>
          <w:i w:val="0"/>
          <w:sz w:val="22"/>
        </w:rPr>
        <w:t>fight-or-flight response</w:t>
      </w:r>
      <w:r>
        <w:rPr>
          <w:rFonts w:ascii="Calibri" w:hAnsi="Calibri"/>
          <w:b w:val="0"/>
          <w:i w:val="0"/>
          <w:sz w:val="22"/>
        </w:rPr>
        <w:t xml:space="preserve"> describes rapid mobilization that can support confrontation or escape. Actual behavior may also include freezing, monitoring, seeking help, or protecting others.</w:t>
      </w:r>
    </w:p>
    <w:p>
      <w:r>
        <w:rPr>
          <w:rFonts w:ascii="Calibri" w:hAnsi="Calibri"/>
          <w:b w:val="0"/>
          <w:i w:val="0"/>
          <w:sz w:val="22"/>
        </w:rPr>
        <w:t xml:space="preserve">Taylor et al. (2000) proposed </w:t>
      </w:r>
      <w:r>
        <w:rPr>
          <w:rFonts w:ascii="Calibri" w:hAnsi="Calibri"/>
          <w:b/>
          <w:i w:val="0"/>
          <w:sz w:val="22"/>
        </w:rPr>
        <w:t>tend-and-befriend</w:t>
      </w:r>
      <w:r>
        <w:rPr>
          <w:rFonts w:ascii="Calibri" w:hAnsi="Calibri"/>
          <w:b w:val="0"/>
          <w:i w:val="0"/>
          <w:sz w:val="22"/>
        </w:rPr>
        <w:t xml:space="preserve"> to highlight nurturant and affiliative responding that earlier male-centered stress research underemphasized. Average sex differences have been reported, but the pattern is not a female-only system or a third autonomic branch. Men also affiliate; women also fight, flee, and freeze; context and learning matter.</w:t>
      </w:r>
    </w:p>
    <w:p>
      <w:r>
        <w:rPr>
          <w:rFonts w:ascii="Calibri" w:hAnsi="Calibri"/>
          <w:b w:val="0"/>
          <w:i w:val="0"/>
          <w:sz w:val="22"/>
        </w:rPr>
        <w:t>Oxytocin is involved in social behavior, but "the bonding hormone" is too simple. A frequently cited experiment exposed 37 healthy men to a laboratory social stressor after intranasal oxytocin or placebo and with or without support from a friend. The combination produced the lowest cortisol and anxiety responses (Heinrichs et al., 2003)—one small window onto the social buffering Section 4 returns to, and oxytocin is one candidate mediator among several.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Sort these into the correct category: immediate catecholamine-related cardiovascular mobilization; slower cortisol release; alarm–resistance–exhaustion; cumulative multisystem cost. Use the labels SAM, HPA, historical GAS, and allostatic load once each.</w:t>
      </w:r>
    </w:p>
    <w:p>
      <w:pPr>
        <w:spacing w:before="80" w:after="160"/>
        <w:shd w:fill="F4F6F9"/>
        <w:pBdr>
          <w:left w:val="single" w:sz="14" w:space="8" w:color="2E74B5"/>
        </w:pBdr>
        <w:ind w:left="180" w:right="120"/>
      </w:pPr>
      <w:r>
        <w:rPr>
          <w:rFonts w:ascii="Calibri" w:hAnsi="Calibri"/>
          <w:b/>
          <w:i w:val="0"/>
          <w:sz w:val="22"/>
        </w:rPr>
        <w:t>Do Not Confuse: Acute Adaptation vs. Chronic Dysregulation</w:t>
      </w:r>
      <w:r>
        <w:rPr>
          <w:rFonts w:ascii="Calibri" w:hAnsi="Calibri"/>
          <w:b w:val="0"/>
          <w:i w:val="0"/>
          <w:sz w:val="22"/>
        </w:rPr>
        <w:t xml:space="preserve"> An acute stress response can be useful because it mobilizes action. Chronic or repeatedly unresolved stress can become costly because interacting systems remain dysregulated or recover poorly. "Stress is harmful" is too broad; duration, magnitude, context, and recovery change the answer.</w:t>
      </w:r>
    </w:p>
    <w:p>
      <w:pPr>
        <w:pStyle w:val="Heading1"/>
      </w:pPr>
      <w:r>
        <w:rPr>
          <w:rFonts w:ascii="Calibri" w:hAnsi="Calibri"/>
          <w:b/>
          <w:i w:val="0"/>
          <w:color w:val="2E74B5"/>
          <w:sz w:val="32"/>
        </w:rPr>
        <w:t>Section 4: Coping Is a Problem of Fit</w:t>
      </w:r>
    </w:p>
    <w:p>
      <w:pPr>
        <w:pStyle w:val="Heading2"/>
      </w:pPr>
      <w:r>
        <w:rPr>
          <w:rFonts w:ascii="Calibri" w:hAnsi="Calibri"/>
          <w:b/>
          <w:i w:val="0"/>
          <w:color w:val="2E74B5"/>
          <w:sz w:val="26"/>
        </w:rPr>
        <w:t>Strategies, not personality types</w:t>
      </w:r>
    </w:p>
    <w:p>
      <w:r>
        <w:rPr>
          <w:rFonts w:ascii="Calibri" w:hAnsi="Calibri"/>
          <w:b/>
          <w:i w:val="0"/>
          <w:sz w:val="22"/>
        </w:rPr>
        <w:t>Problem-focused coping</w:t>
      </w:r>
      <w:r>
        <w:rPr>
          <w:rFonts w:ascii="Calibri" w:hAnsi="Calibri"/>
          <w:b w:val="0"/>
          <w:i w:val="0"/>
          <w:sz w:val="22"/>
        </w:rPr>
        <w:t xml:space="preserve"> acts on the stressor: gather information, make a plan, negotiate, practice, change the environment, or remove a demand. </w:t>
      </w:r>
      <w:r>
        <w:rPr>
          <w:rFonts w:ascii="Calibri" w:hAnsi="Calibri"/>
          <w:b/>
          <w:i w:val="0"/>
          <w:sz w:val="22"/>
        </w:rPr>
        <w:t>Emotion-focused coping</w:t>
      </w:r>
      <w:r>
        <w:rPr>
          <w:rFonts w:ascii="Calibri" w:hAnsi="Calibri"/>
          <w:b w:val="0"/>
          <w:i w:val="0"/>
          <w:sz w:val="22"/>
        </w:rPr>
        <w:t xml:space="preserve"> acts on the response: reappraise, slow breathing, seek support, take a restorative break, or make room for feelings that cannot be solved away.</w:t>
      </w:r>
    </w:p>
    <w:p>
      <w:r>
        <w:rPr>
          <w:rFonts w:ascii="Calibri" w:hAnsi="Calibri"/>
          <w:b w:val="0"/>
          <w:i w:val="0"/>
          <w:sz w:val="22"/>
        </w:rPr>
        <w:t>There is no best coping strategy, the way there is no best tool. There is only what the situation will let you change—and whether you are currently in a state to change it. These are strategies, not personality types.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Situation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Useful first move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manageable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Action can change the stressor</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Low-control or irreversible demand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response is more changeable than the event</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too high for effective action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 then 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Regulation can make later action possible</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Mixed or changing situation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Reappraise and switch as needed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Fit can change over time</w:t>
            </w:r>
          </w:p>
        </w:tc>
      </w:tr>
    </w:tbl>
    <w:p>
      <w:pPr>
        <w:spacing w:after="0"/>
      </w:pPr>
    </w:p>
    <w:p>
      <w:r>
        <w:rPr>
          <w:rFonts w:ascii="Calibri" w:hAnsi="Calibri"/>
          <w:b w:val="0"/>
          <w:i w:val="0"/>
          <w:sz w:val="22"/>
        </w:rPr>
        <w:t>Avoidance can be useful briefly—stepping away may prevent a bad decision—but repeated avoidance leaves a controllable problem untouched. Flexibility is the skill.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student receives confusing instructions for a paper and is too activated to read them carefully. Identify the controllable part, the current arousal problem, and a two-step coping sequence. Why would either strategy alone fit poorly at first?</w:t>
      </w:r>
    </w:p>
    <w:p>
      <w:pPr>
        <w:pStyle w:val="Heading2"/>
      </w:pPr>
      <w:r>
        <w:rPr>
          <w:rFonts w:ascii="Calibri" w:hAnsi="Calibri"/>
          <w:b/>
          <w:i w:val="0"/>
          <w:color w:val="2E74B5"/>
          <w:sz w:val="26"/>
        </w:rPr>
        <w:t>Practice coping fit</w:t>
      </w:r>
    </w:p>
    <w:p>
      <w:r>
        <w:rPr>
          <w:rFonts w:ascii="Calibri" w:hAnsi="Calibri"/>
          <w:b w:val="0"/>
          <w:i w:val="0"/>
          <w:sz w:val="22"/>
        </w:rPr>
        <w:t xml:space="preserve">The chapter's central skill is choosing what to do </w:t>
      </w:r>
      <w:r>
        <w:rPr>
          <w:rFonts w:ascii="Calibri" w:hAnsi="Calibri"/>
          <w:b w:val="0"/>
          <w:i/>
          <w:sz w:val="22"/>
        </w:rPr>
        <w:t>first</w:t>
      </w:r>
      <w:r>
        <w:rPr>
          <w:rFonts w:ascii="Calibri" w:hAnsi="Calibri"/>
          <w:b w:val="0"/>
          <w:i w:val="0"/>
          <w:sz w:val="22"/>
        </w:rPr>
        <w:t>. The standalone lab lets you classify varied nonclinical stressors by controllability and arousal, select a response, get immediate mechanism-level feedback, explain the rule, and transfer it to a new scenario.</w:t>
      </w:r>
    </w:p>
    <w:p>
      <w:r>
        <w:rPr>
          <w:rFonts w:ascii="Calibri" w:hAnsi="Calibri"/>
          <w:b w:val="0"/>
          <w:i w:val="0"/>
          <w:sz w:val="22"/>
        </w:rPr>
        <w:t>Open the Coping Fit Learning Lab</w:t>
      </w:r>
    </w:p>
    <w:p>
      <w:r>
        <w:rPr>
          <w:rFonts w:ascii="Calibri" w:hAnsi="Calibri"/>
          <w:b w:val="0"/>
          <w:i w:val="0"/>
          <w:sz w:val="22"/>
        </w:rPr>
        <w:t>The lab does not score your body, diagnose stress, or send responses anywhere. It is practice in decision logic.</w:t>
      </w:r>
    </w:p>
    <w:p>
      <w:pPr>
        <w:pStyle w:val="Heading2"/>
      </w:pPr>
      <w:r>
        <w:rPr>
          <w:rFonts w:ascii="Calibri" w:hAnsi="Calibri"/>
          <w:b/>
          <w:i w:val="0"/>
          <w:color w:val="2E74B5"/>
          <w:sz w:val="26"/>
        </w:rPr>
        <w:t>Supporting the conditions for flexible coping</w:t>
      </w:r>
    </w:p>
    <w:p>
      <w:r>
        <w:rPr>
          <w:rFonts w:ascii="Calibri" w:hAnsi="Calibri"/>
          <w:b w:val="0"/>
          <w:i w:val="0"/>
          <w:sz w:val="22"/>
        </w:rPr>
        <w:t>Some actions do not solve a particular stressor but improve the conditions under which coping occurs.</w:t>
      </w:r>
    </w:p>
    <w:p>
      <w:r>
        <w:rPr>
          <w:rFonts w:ascii="Calibri" w:hAnsi="Calibri"/>
          <w:b/>
          <w:i w:val="0"/>
          <w:sz w:val="22"/>
        </w:rPr>
        <w:t>Sleep:</w:t>
      </w:r>
      <w:r>
        <w:rPr>
          <w:rFonts w:ascii="Calibri" w:hAnsi="Calibri"/>
          <w:b w:val="0"/>
          <w:i w:val="0"/>
          <w:sz w:val="22"/>
        </w:rPr>
        <w:t xml:space="preserve"> Experimental sleep loss reliably reduces positive affect and increases anxiety symptoms, although other emotional effects vary (Palmer et al., 2024). Sleep is not a cure for a difficult situation, but severe sleep loss can make regulation and planning harder.</w:t>
      </w:r>
    </w:p>
    <w:p>
      <w:r>
        <w:rPr>
          <w:rFonts w:ascii="Calibri" w:hAnsi="Calibri"/>
          <w:b/>
          <w:i w:val="0"/>
          <w:sz w:val="22"/>
        </w:rPr>
        <w:t>Movement:</w:t>
      </w:r>
      <w:r>
        <w:rPr>
          <w:rFonts w:ascii="Calibri" w:hAnsi="Calibri"/>
          <w:b w:val="0"/>
          <w:i w:val="0"/>
          <w:sz w:val="22"/>
        </w:rPr>
        <w:t xml:space="preserve"> Physical-activity interventions for university students are associated with lower anxiety, depression, and stress symptoms, but studies vary widely in quality, activity type, and effect size (Huang et al., 2024). Movement can support coping; it is not evidence that distress comes from insufficient exercise.</w:t>
      </w:r>
    </w:p>
    <w:p>
      <w:r>
        <w:rPr>
          <w:rFonts w:ascii="Calibri" w:hAnsi="Calibri"/>
          <w:b/>
          <w:i w:val="0"/>
          <w:sz w:val="22"/>
        </w:rPr>
        <w:t>Food and hydration:</w:t>
      </w:r>
      <w:r>
        <w:rPr>
          <w:rFonts w:ascii="Calibri" w:hAnsi="Calibri"/>
          <w:b w:val="0"/>
          <w:i w:val="0"/>
          <w:sz w:val="22"/>
        </w:rPr>
        <w:t xml:space="preserve"> Regular access to food and water supports ordinary physiological needs. Research links diet quality with mental-health outcomes, but mechanisms are complex and causal estimates vary (Firth et al., 2019). "Hangry" is a useful joke, not a complete theory of mood.</w:t>
      </w:r>
    </w:p>
    <w:p>
      <w:r>
        <w:rPr>
          <w:rFonts w:ascii="Calibri" w:hAnsi="Calibri"/>
          <w:b/>
          <w:i w:val="0"/>
          <w:sz w:val="22"/>
        </w:rPr>
        <w:t>Social support:</w:t>
      </w:r>
      <w:r>
        <w:rPr>
          <w:rFonts w:ascii="Calibri" w:hAnsi="Calibri"/>
          <w:b w:val="0"/>
          <w:i w:val="0"/>
          <w:sz w:val="22"/>
        </w:rPr>
        <w:t xml:space="preserve"> Relationships can provide information, practical help, perspective, and emotional connection (Cohen &amp; Wills, 1985). Chapter 10 said it already: for a while, the caregiver's regulated body is the infant's regulation system, borrowed from the outside. You never entirely stop borrowing. Across animal models and human studies from infancy into adulthood, the presence of a familiar, reliable other dampens the stress response rather than only making it easier to bear (Hostinar et al., 2014). Reliable people do not only make a hard thing feel better—they change what the hard thing costs you to handle. Seeking support can be emotion-focused, problem-focused, or both.</w:t>
      </w:r>
    </w:p>
    <w:p>
      <w:pPr>
        <w:pStyle w:val="Heading2"/>
      </w:pPr>
      <w:r>
        <w:rPr>
          <w:rFonts w:ascii="Calibri" w:hAnsi="Calibri"/>
          <w:b/>
          <w:i w:val="0"/>
          <w:color w:val="2E74B5"/>
          <w:sz w:val="26"/>
        </w:rPr>
        <w:t>Hedonic adaptation and the Chapter 7 bridge</w:t>
      </w:r>
    </w:p>
    <w:p>
      <w:r>
        <w:rPr>
          <w:rFonts w:ascii="Calibri" w:hAnsi="Calibri"/>
          <w:b/>
          <w:i w:val="0"/>
          <w:sz w:val="22"/>
        </w:rPr>
        <w:t>Hedonic adaptation</w:t>
      </w:r>
      <w:r>
        <w:rPr>
          <w:rFonts w:ascii="Calibri" w:hAnsi="Calibri"/>
          <w:b w:val="0"/>
          <w:i w:val="0"/>
          <w:sz w:val="22"/>
        </w:rPr>
        <w:t xml:space="preserve"> is the descriptive tendency for well-being to shift after life changes and then move partly back toward a prior level. The classic lottery-winner and accident-survivor study found far less enduring separation in reported happiness than people often predict (Brickman et al., 1978). Adaptation is incomplete and varies across events; unemployment, chronic pain, and bereavement can have lasting effects.</w:t>
      </w:r>
    </w:p>
    <w:p>
      <w:r>
        <w:rPr>
          <w:rFonts w:ascii="Calibri" w:hAnsi="Calibri"/>
          <w:b w:val="0"/>
          <w:i w:val="0"/>
          <w:sz w:val="22"/>
        </w:rPr>
        <w:t>Chapter 7's reward-prediction-error material offers an analogy: expected outcomes generate different learning signals than surprising ones. But that adjacent process is not the demonstrated mechanism of the hedonic pattern. Description first; mechanism only when the evidence earns it.</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club event has low attendance. Which parts are controllable before the next event, which feelings may need regulation now, and what information would tell you whether to switch strategies?</w:t>
      </w:r>
    </w:p>
    <w:p>
      <w:pPr>
        <w:pStyle w:val="Heading1"/>
      </w:pPr>
      <w:r>
        <w:rPr>
          <w:rFonts w:ascii="Calibri" w:hAnsi="Calibri"/>
          <w:b/>
          <w:i w:val="0"/>
          <w:color w:val="2E74B5"/>
          <w:sz w:val="32"/>
        </w:rPr>
        <w:t>AI Connection: Emotion-Shaped Output Without a Human Body</w:t>
      </w:r>
    </w:p>
    <w:p>
      <w:r>
        <w:rPr>
          <w:rFonts w:ascii="Calibri" w:hAnsi="Calibri"/>
          <w:b w:val="0"/>
          <w:i w:val="0"/>
          <w:sz w:val="22"/>
        </w:rPr>
        <w:t xml:space="preserve">Current language models can produce empathic, angry, enthusiastic, or distressed language. That is </w:t>
      </w:r>
      <w:r>
        <w:rPr>
          <w:rFonts w:ascii="Calibri" w:hAnsi="Calibri"/>
          <w:b/>
          <w:i w:val="0"/>
          <w:sz w:val="22"/>
        </w:rPr>
        <w:t>emotion-shaped output</w:t>
      </w:r>
      <w:r>
        <w:rPr>
          <w:rFonts w:ascii="Calibri" w:hAnsi="Calibri"/>
          <w:b w:val="0"/>
          <w:i w:val="0"/>
          <w:sz w:val="22"/>
        </w:rPr>
        <w:t>: language patterned like human emotional expression.</w:t>
      </w:r>
    </w:p>
    <w:p>
      <w:r>
        <w:rPr>
          <w:rFonts w:ascii="Calibri" w:hAnsi="Calibri"/>
          <w:b w:val="0"/>
          <w:i w:val="0"/>
          <w:sz w:val="22"/>
        </w:rPr>
        <w:t>Human emotion occurs in an embodied organism with allostasis, interoception, metabolic needs, developmental history, and social regulation. Current language models do not have human glucose regulation, breathing, cortisol rhythms, fatigue, or interoceptive signals. They can generate a precise label such as "overwhelmed and uncertain" without that label reporting a humanlike bodily state inside the model.</w:t>
      </w:r>
    </w:p>
    <w:p>
      <w:r>
        <w:rPr>
          <w:rFonts w:ascii="Calibri" w:hAnsi="Calibri"/>
          <w:b w:val="0"/>
          <w:i w:val="0"/>
          <w:sz w:val="22"/>
        </w:rPr>
        <w:t>It can say "overwhelmed" perfectly. It has nothing to be overwhelmed about. That is why fluent emotional language from present systems is not, by itself, evidence of humanlike feeling. Useful as a mirror; not proof of a felt state.</w:t>
      </w:r>
    </w:p>
    <w:p>
      <w:pPr>
        <w:pStyle w:val="Heading1"/>
      </w:pPr>
      <w:r>
        <w:rPr>
          <w:rFonts w:ascii="Calibri" w:hAnsi="Calibri"/>
          <w:b/>
          <w:i w:val="0"/>
          <w:color w:val="2E74B5"/>
          <w:sz w:val="32"/>
        </w:rPr>
        <w:t>Chapter Summary</w:t>
      </w:r>
    </w:p>
    <w:p>
      <w:r>
        <w:rPr>
          <w:rFonts w:ascii="Calibri" w:hAnsi="Calibri"/>
          <w:b w:val="0"/>
          <w:i w:val="0"/>
          <w:sz w:val="22"/>
        </w:rPr>
        <w:t>Homeostasis uses feedback to maintain regulated conditions; allostasis emphasizes anticipatory adjustment. Bodies use both. The body budget is a metaphor for the allostatic regulation of metabolic resources: deficits without recovery accumulate as allostatic load. Interoception brings internal signals into regulation, while Russell's core affect model describes current feeling along valence and arousal. Core affect is not a specific emotion.</w:t>
      </w:r>
    </w:p>
    <w:p>
      <w:r>
        <w:rPr>
          <w:rFonts w:ascii="Calibri" w:hAnsi="Calibri"/>
          <w:b w:val="0"/>
          <w:i w:val="0"/>
          <w:sz w:val="22"/>
        </w:rPr>
        <w:t>The word you reach for changes what you do next: "disappointed" points at an expectation, "frustrated" at an approach. Emotion theories agree that bodily state, appraisal, context, learning, conceptual knowledge, and brain systems matter, and disagree about how those pieces are organized; constructionism is this chapter's lens, not a settled definition. Patient S.M. separates knowing from minding—she can state that a snake is dangerous without the alarm arriving—while CO₂-induced panic shows the amygdala is not the only route into fear.</w:t>
      </w:r>
    </w:p>
    <w:p>
      <w:r>
        <w:rPr>
          <w:rFonts w:ascii="Calibri" w:hAnsi="Calibri"/>
          <w:b w:val="0"/>
          <w:i w:val="0"/>
          <w:sz w:val="22"/>
        </w:rPr>
        <w:t>A zebra's stress response ends when the lion does. Yours can run on a threat that is remembered, imagined, or merely someone's opinion, because human goals reach far enough that absent things can matter now. SAM supports rapid catecholamine-related mobilization; the HPA axis contributes slower cortisol-related regulation. GAS remains a historical heuristic, and allostatic load better captures the cumulative, multisystem cost of demands that repeat without recovery.</w:t>
      </w:r>
    </w:p>
    <w:p>
      <w:r>
        <w:rPr>
          <w:rFonts w:ascii="Calibri" w:hAnsi="Calibri"/>
          <w:b w:val="0"/>
          <w:i w:val="0"/>
          <w:sz w:val="22"/>
        </w:rPr>
        <w:t>Coping works through fit. Change a controllable stressor when you can; regulate the response when you cannot; sometimes regulate first so that action becomes possible. Sleep, movement, and nourishment support the conditions coping happens in—and a reliable person does more than make a hard thing feel better, because borrowed regulation changes what the hard thing costs to handle.</w:t>
      </w:r>
    </w:p>
    <w:p>
      <w:r>
        <w:rPr>
          <w:rFonts w:ascii="Calibri" w:hAnsi="Calibri"/>
          <w:b w:val="0"/>
          <w:i w:val="0"/>
          <w:sz w:val="22"/>
        </w:rPr>
        <w:t>Underneath all of it is a humane point. Your body is not necessarily malfunctioning when it remains activated after finals or reacts strongly during a crowded week. It is an old, mostly excellent system operating in a world full of remembered, symbolic, socially evaluated, and chronic threats. Useful in the short run; costly when left running.</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Topic in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Connects To</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SAM, HPA, and allostasis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3 — Neuroscience &amp; Biological Bases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biological systems introduced there become interacting response routes here</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Hedonic adaptation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Reward-prediction error is an adjacent learning process, not the established mechanism of well-being adaptation</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support and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10 — Lifespan Development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Relationships can support regulation across development through several pathways</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Emotion-shaped AI output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11 — Social Psychology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perception encourages people to infer minds and feelings from fluent behavior</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Chronic dysregulation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next chapter examines persistent distress and impairment without treating ordinary stress as diagnosis</w:t>
            </w:r>
          </w:p>
        </w:tc>
      </w:tr>
    </w:tbl>
    <w:p>
      <w:pPr>
        <w:spacing w:after="0"/>
      </w:pPr>
    </w:p>
    <w:p>
      <w:pPr>
        <w:pStyle w:val="Heading1"/>
      </w:pPr>
      <w:r>
        <w:rPr>
          <w:rFonts w:ascii="Calibri" w:hAnsi="Calibri"/>
          <w:b/>
          <w:i w:val="0"/>
          <w:color w:val="2E74B5"/>
          <w:sz w:val="32"/>
        </w:rPr>
        <w:t>Review Questions</w:t>
      </w:r>
    </w:p>
    <w:p>
      <w:pPr>
        <w:pStyle w:val="ListNumber"/>
        <w:numPr>
          <w:ilvl w:val="0"/>
          <w:numId w:val="14"/>
        </w:numPr>
      </w:pPr>
      <w:r>
        <w:rPr>
          <w:rFonts w:ascii="Calibri" w:hAnsi="Calibri"/>
          <w:b w:val="0"/>
          <w:i w:val="0"/>
          <w:sz w:val="22"/>
        </w:rPr>
        <w:t>How are homeostasis and allostasis complementary rather than competing replacements? Use the thermostat and preheating analogy, then name one limitation of the analogy.</w:t>
      </w:r>
    </w:p>
    <w:p>
      <w:r>
        <w:rPr>
          <w:rFonts w:ascii="Calibri" w:hAnsi="Calibri"/>
          <w:b w:val="0"/>
          <w:i w:val="0"/>
          <w:sz w:val="22"/>
        </w:rPr>
        <w:t>Show model answer Homeostasis highlights feedback correction that keeps regulated conditions within viable ranges; allostasis highlights anticipation and coordinated adjustment before needs become urgent. A responding thermostat illustrates feedback, while preheating illustrates anticipation. Real physiology uses both, and neither model implies that the body has only one controller or one fixed set point.</w:t>
      </w:r>
    </w:p>
    <w:p>
      <w:pPr>
        <w:pStyle w:val="ListNumber"/>
        <w:numPr>
          <w:ilvl w:val="0"/>
          <w:numId w:val="15"/>
        </w:numPr>
      </w:pPr>
      <w:r>
        <w:rPr>
          <w:rFonts w:ascii="Calibri" w:hAnsi="Calibri"/>
          <w:b w:val="0"/>
          <w:i w:val="0"/>
          <w:sz w:val="22"/>
        </w:rPr>
        <w:t>Two people report high-arousal unpleasant core affect. One calls it anger and the other fear. Explain why core affect alone does not specify the emotion.</w:t>
      </w:r>
    </w:p>
    <w:p>
      <w:r>
        <w:rPr>
          <w:rFonts w:ascii="Calibri" w:hAnsi="Calibri"/>
          <w:b w:val="0"/>
          <w:i w:val="0"/>
          <w:sz w:val="22"/>
        </w:rPr>
        <w:t>Show model answer Core affect locates broad feeling on valence and arousal. Anger and fear can occupy similar high-arousal unpleasant territory, so distinguishing them requires additional information such as appraisal, context, goals, learning, concepts, and action tendencies.</w:t>
      </w:r>
    </w:p>
    <w:p>
      <w:pPr>
        <w:pStyle w:val="ListNumber"/>
        <w:numPr>
          <w:ilvl w:val="0"/>
          <w:numId w:val="16"/>
        </w:numPr>
      </w:pPr>
      <w:r>
        <w:rPr>
          <w:rFonts w:ascii="Calibri" w:hAnsi="Calibri"/>
          <w:b w:val="0"/>
          <w:i w:val="0"/>
          <w:sz w:val="22"/>
        </w:rPr>
        <w:t>Separate a shared observation from a constructionist interpretation using affect labeling or distributed brain activity as your example.</w:t>
      </w:r>
    </w:p>
    <w:p>
      <w:r>
        <w:rPr>
          <w:rFonts w:ascii="Calibri" w:hAnsi="Calibri"/>
          <w:b w:val="0"/>
          <w:i w:val="0"/>
          <w:sz w:val="22"/>
        </w:rPr>
        <w:t>Show model answer Observation: in some tasks, putting emotion into words changes self-report, task responses, and activity in several brain regions. Constructionist interpretation: labeling changes how the brain categorizes bodily and contextual information while constructing an emotion. The observation can support that interpretation without uniquely proving it.</w:t>
      </w:r>
    </w:p>
    <w:p>
      <w:pPr>
        <w:pStyle w:val="ListNumber"/>
        <w:numPr>
          <w:ilvl w:val="0"/>
          <w:numId w:val="17"/>
        </w:numPr>
      </w:pPr>
      <w:r>
        <w:rPr>
          <w:rFonts w:ascii="Calibri" w:hAnsi="Calibri"/>
          <w:b w:val="0"/>
          <w:i w:val="0"/>
          <w:sz w:val="22"/>
        </w:rPr>
        <w:t>What do the combined findings from Patient S.M.—faces, snakes and spiders, a haunted house, personal space, frightening films, and CO₂ inhalation—allow you to conclude?</w:t>
      </w:r>
    </w:p>
    <w:p>
      <w:r>
        <w:rPr>
          <w:rFonts w:ascii="Calibri" w:hAnsi="Calibri"/>
          <w:b w:val="0"/>
          <w:i w:val="0"/>
          <w:sz w:val="22"/>
        </w:rPr>
        <w:t>Show model answer The amygdala contributes importantly to recognizing and responding to some external threats, as shown by S.M.'s unusual responses to faces, animals, films, and proximity. CO₂ nevertheless produced fear and panic in people with bilateral amygdala damage, including S.M. Therefore, the amygdala is not necessary for every experience of fear or panic, and one lesion case cannot show that it alone turns facts into felt mattering.</w:t>
      </w:r>
    </w:p>
    <w:p>
      <w:pPr>
        <w:pStyle w:val="ListNumber"/>
        <w:numPr>
          <w:ilvl w:val="0"/>
          <w:numId w:val="18"/>
        </w:numPr>
      </w:pPr>
      <w:r>
        <w:rPr>
          <w:rFonts w:ascii="Calibri" w:hAnsi="Calibri"/>
          <w:b w:val="0"/>
          <w:i w:val="0"/>
          <w:sz w:val="22"/>
        </w:rPr>
        <w:t>Distinguish SAM from HPA by timing, key signal, and immediate function.</w:t>
      </w:r>
    </w:p>
    <w:p>
      <w:r>
        <w:rPr>
          <w:rFonts w:ascii="Calibri" w:hAnsi="Calibri"/>
          <w:b w:val="0"/>
          <w:i w:val="0"/>
          <w:sz w:val="22"/>
        </w:rPr>
        <w:t>Show model answer SAM acts rapidly through sympathetic nerves and adrenal catecholamines such as epinephrine and norepinephrine, supporting immediate cardiovascular and respiratory mobilization. HPA unfolds more slowly through hypothalamus, pituitary, and adrenal cortex, culminating in cortisol release that helps coordinate energy and other longer-timescale responses. The routes interact, but cortisol does not directly cause the first rapid heart-rate increase.</w:t>
      </w:r>
    </w:p>
    <w:p>
      <w:pPr>
        <w:pStyle w:val="ListNumber"/>
        <w:numPr>
          <w:ilvl w:val="0"/>
          <w:numId w:val="19"/>
        </w:numPr>
      </w:pPr>
      <w:r>
        <w:rPr>
          <w:rFonts w:ascii="Calibri" w:hAnsi="Calibri"/>
          <w:b w:val="0"/>
          <w:i w:val="0"/>
          <w:sz w:val="22"/>
        </w:rPr>
        <w:t>Why can acute stress be adaptive while chronic stress becomes dysregulating?</w:t>
      </w:r>
    </w:p>
    <w:p>
      <w:r>
        <w:rPr>
          <w:rFonts w:ascii="Calibri" w:hAnsi="Calibri"/>
          <w:b w:val="0"/>
          <w:i w:val="0"/>
          <w:sz w:val="22"/>
        </w:rPr>
        <w:t>Show model answer Short-term mobilization can improve readiness for action and can temporarily enhance some immune functions. Repeated or unresolved demands with inadequate recovery can disturb cortisol timing, inflammation and immune regulation, cardiovascular function, metabolism, sleep, and behavior. Duration, magnitude, context, and recovery determine whether mobilization remains useful.</w:t>
      </w:r>
    </w:p>
    <w:p>
      <w:pPr>
        <w:pStyle w:val="ListNumber"/>
        <w:numPr>
          <w:ilvl w:val="0"/>
          <w:numId w:val="20"/>
        </w:numPr>
      </w:pPr>
      <w:r>
        <w:rPr>
          <w:rFonts w:ascii="Calibri" w:hAnsi="Calibri"/>
          <w:b w:val="0"/>
          <w:i w:val="0"/>
          <w:sz w:val="22"/>
        </w:rPr>
        <w:t>Compare GAS with allostatic load. Why should a post-finals illness not be treated as proof of exhaustion?</w:t>
      </w:r>
    </w:p>
    <w:p>
      <w:r>
        <w:rPr>
          <w:rFonts w:ascii="Calibri" w:hAnsi="Calibri"/>
          <w:b w:val="0"/>
          <w:i w:val="0"/>
          <w:sz w:val="22"/>
        </w:rPr>
        <w:t>Show model answer GAS is Selye's historical alarm–resistance–exhaustion heuristic. Allostatic load is a contemporary framework for cumulative costs across interacting systems. GAS is not a universal depletion curve, and illness after finals can reflect exposure, sleep, behavior, immune regulation, timing, and other causes. It is compatible with accumulated strain but does not prove a discrete exhaustion stage.</w:t>
      </w:r>
    </w:p>
    <w:p>
      <w:pPr>
        <w:pStyle w:val="ListNumber"/>
        <w:numPr>
          <w:ilvl w:val="0"/>
          <w:numId w:val="21"/>
        </w:numPr>
      </w:pPr>
      <w:r>
        <w:rPr>
          <w:rFonts w:ascii="Calibri" w:hAnsi="Calibri"/>
          <w:b w:val="0"/>
          <w:i w:val="0"/>
          <w:sz w:val="22"/>
        </w:rPr>
        <w:t>A scholarship application is controllable, but a student is too activated to begin. Choose an initial coping response and a next response, and explain the fit.</w:t>
      </w:r>
    </w:p>
    <w:p>
      <w:r>
        <w:rPr>
          <w:rFonts w:ascii="Calibri" w:hAnsi="Calibri"/>
          <w:b w:val="0"/>
          <w:i w:val="0"/>
          <w:sz w:val="22"/>
        </w:rPr>
        <w:t>Show model answer Begin with a brief emotion-focused strategy that reduces arousal enough for effective action—for example, paced breathing, a short walk, or talking through the immediate anxiety. Then switch to problem-focused coping: clarify requirements, divide the application into tasks, and schedule the first one. Problem-focused action fits the controllable demand; emotion-focused coping fits the initial arousal barrier.</w:t>
      </w:r>
    </w:p>
    <w:p>
      <w:pPr>
        <w:pStyle w:val="ListNumber"/>
        <w:numPr>
          <w:ilvl w:val="0"/>
          <w:numId w:val="22"/>
        </w:numPr>
      </w:pPr>
      <w:r>
        <w:rPr>
          <w:rFonts w:ascii="Calibri" w:hAnsi="Calibri"/>
          <w:b w:val="0"/>
          <w:i w:val="0"/>
          <w:sz w:val="22"/>
        </w:rPr>
        <w:t>Transfer the coping-fit rule to a missed group-project deadline when the submission cannot be reopened but the group's next milestone is still changeable.</w:t>
      </w:r>
    </w:p>
    <w:p>
      <w:r>
        <w:rPr>
          <w:rFonts w:ascii="Calibri" w:hAnsi="Calibri"/>
          <w:b w:val="0"/>
          <w:i w:val="0"/>
          <w:sz w:val="22"/>
        </w:rPr>
        <w:t>Show model answer Use emotion-focused coping for the irreversible missed deadline: acknowledge disappointment, reduce blame-driven arousal, and seek perspective. Use problem-focused coping for the controllable next milestone: identify what failed, clarify roles, create checkpoints, and communicate early. Fit depends on which part of the situation is changeable now, not on choosing one permanent coping style.</w:t>
      </w:r>
    </w:p>
    <w:p>
      <w:pPr>
        <w:pStyle w:val="Heading1"/>
      </w:pPr>
      <w:r>
        <w:rPr>
          <w:rFonts w:ascii="Calibri" w:hAnsi="Calibri"/>
          <w:b/>
          <w:i w:val="0"/>
          <w:color w:val="2E74B5"/>
          <w:sz w:val="32"/>
        </w:rPr>
        <w:t>Key Terms</w:t>
      </w:r>
    </w:p>
    <w:p>
      <w:r>
        <w:rPr>
          <w:rFonts w:ascii="Calibri" w:hAnsi="Calibri"/>
          <w:b/>
          <w:i w:val="0"/>
          <w:sz w:val="22"/>
        </w:rPr>
        <w:t>affect labeling</w:t>
      </w:r>
      <w:r>
        <w:rPr>
          <w:rFonts w:ascii="Calibri" w:hAnsi="Calibri"/>
          <w:b w:val="0"/>
          <w:i w:val="0"/>
          <w:sz w:val="22"/>
        </w:rPr>
        <w:t xml:space="preserve"> — putting an emotional experience or emotional stimulus into words</w:t>
      </w:r>
    </w:p>
    <w:p>
      <w:r>
        <w:rPr>
          <w:rFonts w:ascii="Calibri" w:hAnsi="Calibri"/>
          <w:b/>
          <w:i w:val="0"/>
          <w:sz w:val="22"/>
        </w:rPr>
        <w:t>allostasis</w:t>
      </w:r>
      <w:r>
        <w:rPr>
          <w:rFonts w:ascii="Calibri" w:hAnsi="Calibri"/>
          <w:b w:val="0"/>
          <w:i w:val="0"/>
          <w:sz w:val="22"/>
        </w:rPr>
        <w:t xml:space="preserve"> — anticipatory adjustment that helps maintain stability under changing demands</w:t>
      </w:r>
    </w:p>
    <w:p>
      <w:r>
        <w:rPr>
          <w:rFonts w:ascii="Calibri" w:hAnsi="Calibri"/>
          <w:b/>
          <w:i w:val="0"/>
          <w:sz w:val="22"/>
        </w:rPr>
        <w:t>allostatic load</w:t>
      </w:r>
      <w:r>
        <w:rPr>
          <w:rFonts w:ascii="Calibri" w:hAnsi="Calibri"/>
          <w:b w:val="0"/>
          <w:i w:val="0"/>
          <w:sz w:val="22"/>
        </w:rPr>
        <w:t xml:space="preserve"> — cumulative multisystem cost associated with repeated or sustained demands and inadequate recovery</w:t>
      </w:r>
    </w:p>
    <w:p>
      <w:r>
        <w:rPr>
          <w:rFonts w:ascii="Calibri" w:hAnsi="Calibri"/>
          <w:b/>
          <w:i w:val="0"/>
          <w:sz w:val="22"/>
        </w:rPr>
        <w:t>body budget</w:t>
      </w:r>
      <w:r>
        <w:rPr>
          <w:rFonts w:ascii="Calibri" w:hAnsi="Calibri"/>
          <w:b w:val="0"/>
          <w:i w:val="0"/>
          <w:sz w:val="22"/>
        </w:rPr>
        <w:t xml:space="preserve"> — a metaphor for allostatic regulation of the body's metabolic resources, in which deposits support regulation and withdrawals draw it down</w:t>
      </w:r>
    </w:p>
    <w:p>
      <w:r>
        <w:rPr>
          <w:rFonts w:ascii="Calibri" w:hAnsi="Calibri"/>
          <w:b/>
          <w:i w:val="0"/>
          <w:sz w:val="22"/>
        </w:rPr>
        <w:t>cognitive light cone</w:t>
      </w:r>
      <w:r>
        <w:rPr>
          <w:rFonts w:ascii="Calibri" w:hAnsi="Calibri"/>
          <w:b w:val="0"/>
          <w:i w:val="0"/>
          <w:sz w:val="22"/>
        </w:rPr>
        <w:t xml:space="preserve"> — the spatial and temporal scale of goals an agent can represent and work toward</w:t>
      </w:r>
    </w:p>
    <w:p>
      <w:r>
        <w:rPr>
          <w:rFonts w:ascii="Calibri" w:hAnsi="Calibri"/>
          <w:b/>
          <w:i w:val="0"/>
          <w:sz w:val="22"/>
        </w:rPr>
        <w:t>core affect</w:t>
      </w:r>
      <w:r>
        <w:rPr>
          <w:rFonts w:ascii="Calibri" w:hAnsi="Calibri"/>
          <w:b w:val="0"/>
          <w:i w:val="0"/>
          <w:sz w:val="22"/>
        </w:rPr>
        <w:t xml:space="preserve"> — broad feeling described along valence and arousal dimensions</w:t>
      </w:r>
    </w:p>
    <w:p>
      <w:r>
        <w:rPr>
          <w:rFonts w:ascii="Calibri" w:hAnsi="Calibri"/>
          <w:b/>
          <w:i w:val="0"/>
          <w:sz w:val="22"/>
        </w:rPr>
        <w:t>emotional granularity</w:t>
      </w:r>
      <w:r>
        <w:rPr>
          <w:rFonts w:ascii="Calibri" w:hAnsi="Calibri"/>
          <w:b w:val="0"/>
          <w:i w:val="0"/>
          <w:sz w:val="22"/>
        </w:rPr>
        <w:t xml:space="preserve"> — the degree to which a person distinguishes among specific emotional states</w:t>
      </w:r>
    </w:p>
    <w:p>
      <w:r>
        <w:rPr>
          <w:rFonts w:ascii="Calibri" w:hAnsi="Calibri"/>
          <w:b/>
          <w:i w:val="0"/>
          <w:sz w:val="22"/>
        </w:rPr>
        <w:t>emotion-focused coping</w:t>
      </w:r>
      <w:r>
        <w:rPr>
          <w:rFonts w:ascii="Calibri" w:hAnsi="Calibri"/>
          <w:b w:val="0"/>
          <w:i w:val="0"/>
          <w:sz w:val="22"/>
        </w:rPr>
        <w:t xml:space="preserve"> — strategies aimed primarily at regulating the response to a stressor</w:t>
      </w:r>
    </w:p>
    <w:p>
      <w:r>
        <w:rPr>
          <w:rFonts w:ascii="Calibri" w:hAnsi="Calibri"/>
          <w:b/>
          <w:i w:val="0"/>
          <w:sz w:val="22"/>
        </w:rPr>
        <w:t>emotion-shaped output</w:t>
      </w:r>
      <w:r>
        <w:rPr>
          <w:rFonts w:ascii="Calibri" w:hAnsi="Calibri"/>
          <w:b w:val="0"/>
          <w:i w:val="0"/>
          <w:sz w:val="22"/>
        </w:rPr>
        <w:t xml:space="preserve"> — language patterned like human emotional expression, produced without a human body's regulatory state</w:t>
      </w:r>
    </w:p>
    <w:p>
      <w:r>
        <w:rPr>
          <w:rFonts w:ascii="Calibri" w:hAnsi="Calibri"/>
          <w:b/>
          <w:i w:val="0"/>
          <w:sz w:val="22"/>
        </w:rPr>
        <w:t>fight-or-flight response</w:t>
      </w:r>
      <w:r>
        <w:rPr>
          <w:rFonts w:ascii="Calibri" w:hAnsi="Calibri"/>
          <w:b w:val="0"/>
          <w:i w:val="0"/>
          <w:sz w:val="22"/>
        </w:rPr>
        <w:t xml:space="preserve"> — rapid mobilization that can support confrontation or escape</w:t>
      </w:r>
    </w:p>
    <w:p>
      <w:r>
        <w:rPr>
          <w:rFonts w:ascii="Calibri" w:hAnsi="Calibri"/>
          <w:b/>
          <w:i w:val="0"/>
          <w:sz w:val="22"/>
        </w:rPr>
        <w:t>General Adaptation Syndrome (GAS)</w:t>
      </w:r>
      <w:r>
        <w:rPr>
          <w:rFonts w:ascii="Calibri" w:hAnsi="Calibri"/>
          <w:b w:val="0"/>
          <w:i w:val="0"/>
          <w:sz w:val="22"/>
        </w:rPr>
        <w:t xml:space="preserve"> — Selye's historical alarm–resistance–exhaustion heuristic for prolonged stress</w:t>
      </w:r>
    </w:p>
    <w:p>
      <w:r>
        <w:rPr>
          <w:rFonts w:ascii="Calibri" w:hAnsi="Calibri"/>
          <w:b/>
          <w:i w:val="0"/>
          <w:sz w:val="22"/>
        </w:rPr>
        <w:t>homeostasis</w:t>
      </w:r>
      <w:r>
        <w:rPr>
          <w:rFonts w:ascii="Calibri" w:hAnsi="Calibri"/>
          <w:b w:val="0"/>
          <w:i w:val="0"/>
          <w:sz w:val="22"/>
        </w:rPr>
        <w:t xml:space="preserve"> — feedback regulation that helps maintain internal conditions within viable ranges</w:t>
      </w:r>
    </w:p>
    <w:p>
      <w:r>
        <w:rPr>
          <w:rFonts w:ascii="Calibri" w:hAnsi="Calibri"/>
          <w:b/>
          <w:i w:val="0"/>
          <w:sz w:val="22"/>
        </w:rPr>
        <w:t>HPA axis</w:t>
      </w:r>
      <w:r>
        <w:rPr>
          <w:rFonts w:ascii="Calibri" w:hAnsi="Calibri"/>
          <w:b w:val="0"/>
          <w:i w:val="0"/>
          <w:sz w:val="22"/>
        </w:rPr>
        <w:t xml:space="preserve"> — the hypothalamic–pituitary–adrenal pathway culminating in cortisol release</w:t>
      </w:r>
    </w:p>
    <w:p>
      <w:r>
        <w:rPr>
          <w:rFonts w:ascii="Calibri" w:hAnsi="Calibri"/>
          <w:b/>
          <w:i w:val="0"/>
          <w:sz w:val="22"/>
        </w:rPr>
        <w:t>interoception</w:t>
      </w:r>
      <w:r>
        <w:rPr>
          <w:rFonts w:ascii="Calibri" w:hAnsi="Calibri"/>
          <w:b w:val="0"/>
          <w:i w:val="0"/>
          <w:sz w:val="22"/>
        </w:rPr>
        <w:t xml:space="preserve"> — sensing and integrating signals from inside the body</w:t>
      </w:r>
    </w:p>
    <w:p>
      <w:r>
        <w:rPr>
          <w:rFonts w:ascii="Calibri" w:hAnsi="Calibri"/>
          <w:b/>
          <w:i w:val="0"/>
          <w:sz w:val="22"/>
        </w:rPr>
        <w:t>primary appraisal</w:t>
      </w:r>
      <w:r>
        <w:rPr>
          <w:rFonts w:ascii="Calibri" w:hAnsi="Calibri"/>
          <w:b w:val="0"/>
          <w:i w:val="0"/>
          <w:sz w:val="22"/>
        </w:rPr>
        <w:t xml:space="preserve"> — evaluation of whether a situation is relevant, harmful, threatening, or challenging</w:t>
      </w:r>
    </w:p>
    <w:p>
      <w:r>
        <w:rPr>
          <w:rFonts w:ascii="Calibri" w:hAnsi="Calibri"/>
          <w:b/>
          <w:i w:val="0"/>
          <w:sz w:val="22"/>
        </w:rPr>
        <w:t>problem-focused coping</w:t>
      </w:r>
      <w:r>
        <w:rPr>
          <w:rFonts w:ascii="Calibri" w:hAnsi="Calibri"/>
          <w:b w:val="0"/>
          <w:i w:val="0"/>
          <w:sz w:val="22"/>
        </w:rPr>
        <w:t xml:space="preserve"> — strategies aimed primarily at changing a stressor</w:t>
      </w:r>
    </w:p>
    <w:p>
      <w:r>
        <w:rPr>
          <w:rFonts w:ascii="Calibri" w:hAnsi="Calibri"/>
          <w:b/>
          <w:i w:val="0"/>
          <w:sz w:val="22"/>
        </w:rPr>
        <w:t>secondary appraisal</w:t>
      </w:r>
      <w:r>
        <w:rPr>
          <w:rFonts w:ascii="Calibri" w:hAnsi="Calibri"/>
          <w:b w:val="0"/>
          <w:i w:val="0"/>
          <w:sz w:val="22"/>
        </w:rPr>
        <w:t xml:space="preserve"> — evaluation of coping options and resources</w:t>
      </w:r>
    </w:p>
    <w:p>
      <w:r>
        <w:rPr>
          <w:rFonts w:ascii="Calibri" w:hAnsi="Calibri"/>
          <w:b/>
          <w:i w:val="0"/>
          <w:sz w:val="22"/>
        </w:rPr>
        <w:t>stress</w:t>
      </w:r>
      <w:r>
        <w:rPr>
          <w:rFonts w:ascii="Calibri" w:hAnsi="Calibri"/>
          <w:b w:val="0"/>
          <w:i w:val="0"/>
          <w:sz w:val="22"/>
        </w:rPr>
        <w:t xml:space="preserve"> — psychological and bodily responding when demands are appraised as taxing or exceeding coping resources</w:t>
      </w:r>
    </w:p>
    <w:p>
      <w:r>
        <w:rPr>
          <w:rFonts w:ascii="Calibri" w:hAnsi="Calibri"/>
          <w:b/>
          <w:i w:val="0"/>
          <w:sz w:val="22"/>
        </w:rPr>
        <w:t>stressor</w:t>
      </w:r>
      <w:r>
        <w:rPr>
          <w:rFonts w:ascii="Calibri" w:hAnsi="Calibri"/>
          <w:b w:val="0"/>
          <w:i w:val="0"/>
          <w:sz w:val="22"/>
        </w:rPr>
        <w:t xml:space="preserve"> — an event or condition appraised as demanding</w:t>
      </w:r>
    </w:p>
    <w:p>
      <w:r>
        <w:rPr>
          <w:rFonts w:ascii="Calibri" w:hAnsi="Calibri"/>
          <w:b/>
          <w:i w:val="0"/>
          <w:sz w:val="22"/>
        </w:rPr>
        <w:t>sympathetic–adrenal–medullary (SAM) system</w:t>
      </w:r>
      <w:r>
        <w:rPr>
          <w:rFonts w:ascii="Calibri" w:hAnsi="Calibri"/>
          <w:b w:val="0"/>
          <w:i w:val="0"/>
          <w:sz w:val="22"/>
        </w:rPr>
        <w:t xml:space="preserve"> — rapid activation involving sympathetic nerves and catecholamines</w:t>
      </w:r>
    </w:p>
    <w:p>
      <w:r>
        <w:rPr>
          <w:rFonts w:ascii="Calibri" w:hAnsi="Calibri"/>
          <w:b/>
          <w:i w:val="0"/>
          <w:sz w:val="22"/>
        </w:rPr>
        <w:t>tend-and-befriend</w:t>
      </w:r>
      <w:r>
        <w:rPr>
          <w:rFonts w:ascii="Calibri" w:hAnsi="Calibri"/>
          <w:b w:val="0"/>
          <w:i w:val="0"/>
          <w:sz w:val="22"/>
        </w:rPr>
        <w:t xml:space="preserve"> — nurturant and affiliative responding under stress, proposed to complement fight-or-flight rather than replace it</w:t>
      </w:r>
    </w:p>
    <w:p>
      <w:r>
        <w:rPr>
          <w:rFonts w:ascii="Calibri" w:hAnsi="Calibri"/>
          <w:b/>
          <w:i w:val="0"/>
          <w:sz w:val="22"/>
        </w:rPr>
        <w:t>theory of constructed emotion</w:t>
      </w:r>
      <w:r>
        <w:rPr>
          <w:rFonts w:ascii="Calibri" w:hAnsi="Calibri"/>
          <w:b w:val="0"/>
          <w:i w:val="0"/>
          <w:sz w:val="22"/>
        </w:rPr>
        <w:t xml:space="preserve"> — an influential account in which emotion instances emerge from bodily state, context, learning, and conceptualization</w:t>
      </w:r>
    </w:p>
    <w:p>
      <w:pPr>
        <w:pStyle w:val="Heading1"/>
      </w:pPr>
      <w:r>
        <w:rPr>
          <w:rFonts w:ascii="Calibri" w:hAnsi="Calibri"/>
          <w:b/>
          <w:i w:val="0"/>
          <w:color w:val="2E74B5"/>
          <w:sz w:val="32"/>
        </w:rPr>
        <w:t>Further Reading</w:t>
      </w:r>
    </w:p>
    <w:p>
      <w:pPr>
        <w:pStyle w:val="ListBullet"/>
        <w:numPr>
          <w:ilvl w:val="0"/>
          <w:numId w:val="23"/>
        </w:numPr>
      </w:pPr>
      <w:r>
        <w:rPr>
          <w:rFonts w:ascii="Calibri" w:hAnsi="Calibri"/>
          <w:b/>
          <w:i w:val="0"/>
          <w:sz w:val="22"/>
        </w:rPr>
        <w:t xml:space="preserve">Barrett, L. F. (2017). </w:t>
      </w:r>
      <w:r>
        <w:rPr>
          <w:rFonts w:ascii="Calibri" w:hAnsi="Calibri"/>
          <w:b/>
          <w:i/>
          <w:sz w:val="22"/>
        </w:rPr>
        <w:t>How Emotions Are Made</w:t>
      </w:r>
      <w:r>
        <w:rPr>
          <w:rFonts w:ascii="Calibri" w:hAnsi="Calibri"/>
          <w:b/>
          <w:i w:val="0"/>
          <w:sz w:val="22"/>
        </w:rPr>
        <w:t>.</w:t>
      </w:r>
      <w:r>
        <w:rPr>
          <w:rFonts w:ascii="Calibri" w:hAnsi="Calibri"/>
          <w:b w:val="0"/>
          <w:i w:val="0"/>
          <w:sz w:val="22"/>
        </w:rPr>
        <w:t xml:space="preserve"> Publisher overview — An accessible statement of the constructionist framework that organizes this chapter.</w:t>
      </w:r>
    </w:p>
    <w:p>
      <w:pPr>
        <w:pStyle w:val="ListBullet"/>
        <w:numPr>
          <w:ilvl w:val="0"/>
          <w:numId w:val="24"/>
        </w:numPr>
      </w:pPr>
      <w:r>
        <w:rPr>
          <w:rFonts w:ascii="Calibri" w:hAnsi="Calibri"/>
          <w:b/>
          <w:i w:val="0"/>
          <w:sz w:val="22"/>
        </w:rPr>
        <w:t xml:space="preserve">Sapolsky, R. M. (2004). </w:t>
      </w:r>
      <w:r>
        <w:rPr>
          <w:rFonts w:ascii="Calibri" w:hAnsi="Calibri"/>
          <w:b/>
          <w:i/>
          <w:sz w:val="22"/>
        </w:rPr>
        <w:t>Why Zebras Don't Get Ulcers</w:t>
      </w:r>
      <w:r>
        <w:rPr>
          <w:rFonts w:ascii="Calibri" w:hAnsi="Calibri"/>
          <w:b/>
          <w:i w:val="0"/>
          <w:sz w:val="22"/>
        </w:rPr>
        <w:t xml:space="preserve"> (3rd ed.).</w:t>
      </w:r>
      <w:r>
        <w:rPr>
          <w:rFonts w:ascii="Calibri" w:hAnsi="Calibri"/>
          <w:b w:val="0"/>
          <w:i w:val="0"/>
          <w:sz w:val="22"/>
        </w:rPr>
        <w:t xml:space="preserve"> Publisher overview — A memorable introduction to stress physiology and the problem of chronic symbolic threats.</w:t>
      </w:r>
    </w:p>
    <w:p>
      <w:pPr>
        <w:pStyle w:val="ListBullet"/>
        <w:numPr>
          <w:ilvl w:val="0"/>
          <w:numId w:val="25"/>
        </w:numPr>
      </w:pPr>
      <w:r>
        <w:rPr>
          <w:rFonts w:ascii="Calibri" w:hAnsi="Calibri"/>
          <w:b/>
          <w:i w:val="0"/>
          <w:sz w:val="22"/>
        </w:rPr>
        <w:t>McEwen, B. S. (1998). Protective and damaging effects of stress mediators.</w:t>
      </w:r>
      <w:r>
        <w:rPr>
          <w:rFonts w:ascii="Calibri" w:hAnsi="Calibri"/>
          <w:b w:val="0"/>
          <w:i w:val="0"/>
          <w:sz w:val="22"/>
        </w:rPr>
        <w:t xml:space="preserve"> DOI record — A concise foundation for allostatic load and the time-dependent effects of stress mediators.</w:t>
      </w:r>
    </w:p>
    <w:p>
      <w:pPr>
        <w:pStyle w:val="Heading1"/>
      </w:pPr>
      <w:r>
        <w:rPr>
          <w:rFonts w:ascii="Calibri" w:hAnsi="Calibri"/>
          <w:b/>
          <w:i w:val="0"/>
          <w:color w:val="2E74B5"/>
          <w:sz w:val="32"/>
        </w:rPr>
        <w:t>References</w:t>
      </w:r>
    </w:p>
    <w:p>
      <w:r>
        <w:rPr>
          <w:rFonts w:ascii="Calibri" w:hAnsi="Calibri"/>
          <w:b w:val="0"/>
          <w:i w:val="0"/>
          <w:sz w:val="22"/>
        </w:rPr>
        <w:t xml:space="preserve">Adolphs, R., Tranel, D., Damasio, H., &amp; Damasio, A. (1994). Impaired recognition of emotion in facial expressions following bilateral damage to the human amygdala. </w:t>
      </w:r>
      <w:r>
        <w:rPr>
          <w:rFonts w:ascii="Calibri" w:hAnsi="Calibri"/>
          <w:b w:val="0"/>
          <w:i/>
          <w:sz w:val="22"/>
        </w:rPr>
        <w:t>Nature, 372</w:t>
      </w:r>
      <w:r>
        <w:rPr>
          <w:rFonts w:ascii="Calibri" w:hAnsi="Calibri"/>
          <w:b w:val="0"/>
          <w:i w:val="0"/>
          <w:sz w:val="22"/>
        </w:rPr>
        <w:t>, 669–672. https://doi.org/10.1038/372669a0</w:t>
      </w:r>
    </w:p>
    <w:p>
      <w:r>
        <w:rPr>
          <w:rFonts w:ascii="Calibri" w:hAnsi="Calibri"/>
          <w:b w:val="0"/>
          <w:i w:val="0"/>
          <w:sz w:val="22"/>
        </w:rPr>
        <w:t xml:space="preserve">Ariely, Y., Mokady, A., Reggev, N., &amp; Anholt, G. E. (2026). Affect labeling and reappraisal as an emotion regulation strategy. </w:t>
      </w:r>
      <w:r>
        <w:rPr>
          <w:rFonts w:ascii="Calibri" w:hAnsi="Calibri"/>
          <w:b w:val="0"/>
          <w:i/>
          <w:sz w:val="22"/>
        </w:rPr>
        <w:t>Affective Science, 7</w:t>
      </w:r>
      <w:r>
        <w:rPr>
          <w:rFonts w:ascii="Calibri" w:hAnsi="Calibri"/>
          <w:b w:val="0"/>
          <w:i w:val="0"/>
          <w:sz w:val="22"/>
        </w:rPr>
        <w:t>, 282–292. https://doi.org/10.1007/s42761-026-00362-z</w:t>
      </w:r>
    </w:p>
    <w:p>
      <w:r>
        <w:rPr>
          <w:rFonts w:ascii="Calibri" w:hAnsi="Calibri"/>
          <w:b w:val="0"/>
          <w:i w:val="0"/>
          <w:sz w:val="22"/>
        </w:rPr>
        <w:t xml:space="preserve">Barrett, L. F. (2017a). </w:t>
      </w:r>
      <w:r>
        <w:rPr>
          <w:rFonts w:ascii="Calibri" w:hAnsi="Calibri"/>
          <w:b w:val="0"/>
          <w:i/>
          <w:sz w:val="22"/>
        </w:rPr>
        <w:t>How Emotions Are Made: The Secret Life of the Brain</w:t>
      </w:r>
      <w:r>
        <w:rPr>
          <w:rFonts w:ascii="Calibri" w:hAnsi="Calibri"/>
          <w:b w:val="0"/>
          <w:i w:val="0"/>
          <w:sz w:val="22"/>
        </w:rPr>
        <w:t>. Houghton Mifflin Harcourt.</w:t>
      </w:r>
    </w:p>
    <w:p>
      <w:r>
        <w:rPr>
          <w:rFonts w:ascii="Calibri" w:hAnsi="Calibri"/>
          <w:b w:val="0"/>
          <w:i w:val="0"/>
          <w:sz w:val="22"/>
        </w:rPr>
        <w:t xml:space="preserve">Barrett, L. F. (2017b). The theory of constructed emotion: An active inference account of interoception and categorization. </w:t>
      </w:r>
      <w:r>
        <w:rPr>
          <w:rFonts w:ascii="Calibri" w:hAnsi="Calibri"/>
          <w:b w:val="0"/>
          <w:i/>
          <w:sz w:val="22"/>
        </w:rPr>
        <w:t>Social Cognitive and Affective Neuroscience, 12</w:t>
      </w:r>
      <w:r>
        <w:rPr>
          <w:rFonts w:ascii="Calibri" w:hAnsi="Calibri"/>
          <w:b w:val="0"/>
          <w:i w:val="0"/>
          <w:sz w:val="22"/>
        </w:rPr>
        <w:t>, 1–23. https://doi.org/10.1093/scan/nsw154</w:t>
      </w:r>
    </w:p>
    <w:p>
      <w:r>
        <w:rPr>
          <w:rFonts w:ascii="Calibri" w:hAnsi="Calibri"/>
          <w:b w:val="0"/>
          <w:i w:val="0"/>
          <w:sz w:val="22"/>
        </w:rPr>
        <w:t xml:space="preserve">Brickman, P., Coates, D., &amp; Janoff-Bulman, R. (1978). Lottery winners and accident victims: Is happiness relative? </w:t>
      </w:r>
      <w:r>
        <w:rPr>
          <w:rFonts w:ascii="Calibri" w:hAnsi="Calibri"/>
          <w:b w:val="0"/>
          <w:i/>
          <w:sz w:val="22"/>
        </w:rPr>
        <w:t>Journal of Personality and Social Psychology, 36</w:t>
      </w:r>
      <w:r>
        <w:rPr>
          <w:rFonts w:ascii="Calibri" w:hAnsi="Calibri"/>
          <w:b w:val="0"/>
          <w:i w:val="0"/>
          <w:sz w:val="22"/>
        </w:rPr>
        <w:t>, 917–927. https://doi.org/10.1037/0022-3514.36.8.917</w:t>
      </w:r>
    </w:p>
    <w:p>
      <w:r>
        <w:rPr>
          <w:rFonts w:ascii="Calibri" w:hAnsi="Calibri"/>
          <w:b w:val="0"/>
          <w:i w:val="0"/>
          <w:sz w:val="22"/>
        </w:rPr>
        <w:t xml:space="preserve">Cannon, W. B. (1927). The James–Lange theory of emotions: A critical examination and an alternative theory. </w:t>
      </w:r>
      <w:r>
        <w:rPr>
          <w:rFonts w:ascii="Calibri" w:hAnsi="Calibri"/>
          <w:b w:val="0"/>
          <w:i/>
          <w:sz w:val="22"/>
        </w:rPr>
        <w:t>American Journal of Psychology, 39</w:t>
      </w:r>
      <w:r>
        <w:rPr>
          <w:rFonts w:ascii="Calibri" w:hAnsi="Calibri"/>
          <w:b w:val="0"/>
          <w:i w:val="0"/>
          <w:sz w:val="22"/>
        </w:rPr>
        <w:t>, 106–124.</w:t>
      </w:r>
    </w:p>
    <w:p>
      <w:r>
        <w:rPr>
          <w:rFonts w:ascii="Calibri" w:hAnsi="Calibri"/>
          <w:b w:val="0"/>
          <w:i w:val="0"/>
          <w:sz w:val="22"/>
        </w:rPr>
        <w:t xml:space="preserve">Cohen, S., &amp; Wills, T. A. (1985). Stress, social support, and the buffering hypothesis. </w:t>
      </w:r>
      <w:r>
        <w:rPr>
          <w:rFonts w:ascii="Calibri" w:hAnsi="Calibri"/>
          <w:b w:val="0"/>
          <w:i/>
          <w:sz w:val="22"/>
        </w:rPr>
        <w:t>Psychological Bulletin, 98</w:t>
      </w:r>
      <w:r>
        <w:rPr>
          <w:rFonts w:ascii="Calibri" w:hAnsi="Calibri"/>
          <w:b w:val="0"/>
          <w:i w:val="0"/>
          <w:sz w:val="22"/>
        </w:rPr>
        <w:t>, 310–357. https://doi.org/10.1037/0033-2909.98.2.310</w:t>
      </w:r>
    </w:p>
    <w:p>
      <w:r>
        <w:rPr>
          <w:rFonts w:ascii="Calibri" w:hAnsi="Calibri"/>
          <w:b w:val="0"/>
          <w:i w:val="0"/>
          <w:sz w:val="22"/>
        </w:rPr>
        <w:t xml:space="preserve">Dhabhar, F. S. (2009). Enhancing versus suppressive effects of stress on immune function: Implications for immunoprotection and immunopathology. </w:t>
      </w:r>
      <w:r>
        <w:rPr>
          <w:rFonts w:ascii="Calibri" w:hAnsi="Calibri"/>
          <w:b w:val="0"/>
          <w:i/>
          <w:sz w:val="22"/>
        </w:rPr>
        <w:t>Neuroimmunomodulation, 16</w:t>
      </w:r>
      <w:r>
        <w:rPr>
          <w:rFonts w:ascii="Calibri" w:hAnsi="Calibri"/>
          <w:b w:val="0"/>
          <w:i w:val="0"/>
          <w:sz w:val="22"/>
        </w:rPr>
        <w:t>, 300–317. https://doi.org/10.1159/000216188</w:t>
      </w:r>
    </w:p>
    <w:p>
      <w:r>
        <w:rPr>
          <w:rFonts w:ascii="Calibri" w:hAnsi="Calibri"/>
          <w:b w:val="0"/>
          <w:i w:val="0"/>
          <w:sz w:val="22"/>
        </w:rPr>
        <w:t xml:space="preserve">Feinstein, J. S., Adolphs, R., Tranel, D., &amp; Damasio, A. (2011). The human amygdala and the induction and experience of fear. </w:t>
      </w:r>
      <w:r>
        <w:rPr>
          <w:rFonts w:ascii="Calibri" w:hAnsi="Calibri"/>
          <w:b w:val="0"/>
          <w:i/>
          <w:sz w:val="22"/>
        </w:rPr>
        <w:t>Current Biology, 21</w:t>
      </w:r>
      <w:r>
        <w:rPr>
          <w:rFonts w:ascii="Calibri" w:hAnsi="Calibri"/>
          <w:b w:val="0"/>
          <w:i w:val="0"/>
          <w:sz w:val="22"/>
        </w:rPr>
        <w:t>, 34–38. https://doi.org/10.1016/j.cub.2010.11.042</w:t>
      </w:r>
    </w:p>
    <w:p>
      <w:r>
        <w:rPr>
          <w:rFonts w:ascii="Calibri" w:hAnsi="Calibri"/>
          <w:b w:val="0"/>
          <w:i w:val="0"/>
          <w:sz w:val="22"/>
        </w:rPr>
        <w:t xml:space="preserve">Feinstein, J. S., Buzza, C., Hurlemann, R., Follmer, R. L., Dahdaleh, N. S., Coryell, W. H., Welsh, M. J., Tranel, D., &amp; Wemmie, J. A. (2013). Fear and panic in humans with bilateral amygdala damage. </w:t>
      </w:r>
      <w:r>
        <w:rPr>
          <w:rFonts w:ascii="Calibri" w:hAnsi="Calibri"/>
          <w:b w:val="0"/>
          <w:i/>
          <w:sz w:val="22"/>
        </w:rPr>
        <w:t>Nature Neuroscience, 16</w:t>
      </w:r>
      <w:r>
        <w:rPr>
          <w:rFonts w:ascii="Calibri" w:hAnsi="Calibri"/>
          <w:b w:val="0"/>
          <w:i w:val="0"/>
          <w:sz w:val="22"/>
        </w:rPr>
        <w:t>, 270–272. https://doi.org/10.1038/nn.3323</w:t>
      </w:r>
    </w:p>
    <w:p>
      <w:r>
        <w:rPr>
          <w:rFonts w:ascii="Calibri" w:hAnsi="Calibri"/>
          <w:b w:val="0"/>
          <w:i w:val="0"/>
          <w:sz w:val="22"/>
        </w:rPr>
        <w:t xml:space="preserve">Firth, J., Marx, W., Dash, S., Carney, R., Teasdale, S. B., Solmi, M., Stubbs, B., Schuch, F. B., Carvalho, A. F., Jacka, F., &amp; Sarris, J. (2019). The effects of dietary improvement on symptoms of depression and anxiety: A meta-analysis of randomized controlled trials. </w:t>
      </w:r>
      <w:r>
        <w:rPr>
          <w:rFonts w:ascii="Calibri" w:hAnsi="Calibri"/>
          <w:b w:val="0"/>
          <w:i/>
          <w:sz w:val="22"/>
        </w:rPr>
        <w:t>Psychosomatic Medicine, 81</w:t>
      </w:r>
      <w:r>
        <w:rPr>
          <w:rFonts w:ascii="Calibri" w:hAnsi="Calibri"/>
          <w:b w:val="0"/>
          <w:i w:val="0"/>
          <w:sz w:val="22"/>
        </w:rPr>
        <w:t>, 265–280. https://doi.org/10.1097/PSY.0000000000000673</w:t>
      </w:r>
    </w:p>
    <w:p>
      <w:r>
        <w:rPr>
          <w:rFonts w:ascii="Calibri" w:hAnsi="Calibri"/>
          <w:b w:val="0"/>
          <w:i w:val="0"/>
          <w:sz w:val="22"/>
        </w:rPr>
        <w:t xml:space="preserve">Heinrichs, M., Baumgartner, T., Kirschbaum, C., &amp; Ehlert, U. (2003). Social support and oxytocin interact to suppress cortisol and subjective responses to psychosocial stress. </w:t>
      </w:r>
      <w:r>
        <w:rPr>
          <w:rFonts w:ascii="Calibri" w:hAnsi="Calibri"/>
          <w:b w:val="0"/>
          <w:i/>
          <w:sz w:val="22"/>
        </w:rPr>
        <w:t>Biological Psychiatry, 54</w:t>
      </w:r>
      <w:r>
        <w:rPr>
          <w:rFonts w:ascii="Calibri" w:hAnsi="Calibri"/>
          <w:b w:val="0"/>
          <w:i w:val="0"/>
          <w:sz w:val="22"/>
        </w:rPr>
        <w:t>, 1389–1398. https://doi.org/10.1016/S0006-3223(03)00465-7</w:t>
      </w:r>
    </w:p>
    <w:p>
      <w:r>
        <w:rPr>
          <w:rFonts w:ascii="Calibri" w:hAnsi="Calibri"/>
          <w:b w:val="0"/>
          <w:i w:val="0"/>
          <w:sz w:val="22"/>
        </w:rPr>
        <w:t xml:space="preserve">Hostinar, C. E., Sullivan, R. M., &amp; Gunnar, M. R. (2014). Psychobiological mechanisms underlying the social buffering of the hypothalamic–pituitary–adrenocortical axis: A review of animal models and human studies across development. </w:t>
      </w:r>
      <w:r>
        <w:rPr>
          <w:rFonts w:ascii="Calibri" w:hAnsi="Calibri"/>
          <w:b w:val="0"/>
          <w:i/>
          <w:sz w:val="22"/>
        </w:rPr>
        <w:t>Psychological Bulletin, 140</w:t>
      </w:r>
      <w:r>
        <w:rPr>
          <w:rFonts w:ascii="Calibri" w:hAnsi="Calibri"/>
          <w:b w:val="0"/>
          <w:i w:val="0"/>
          <w:sz w:val="22"/>
        </w:rPr>
        <w:t>(1), 256–282. https://doi.org/10.1037/a0032671</w:t>
      </w:r>
    </w:p>
    <w:p>
      <w:r>
        <w:rPr>
          <w:rFonts w:ascii="Calibri" w:hAnsi="Calibri"/>
          <w:b w:val="0"/>
          <w:i w:val="0"/>
          <w:sz w:val="22"/>
        </w:rPr>
        <w:t xml:space="preserve">Huang, K., Beckman, E. M., Ng, N., Dingle, G. A., Han, R., James, K. E., Winkler, E., Stylianou, M., &amp; Gomersall, S. R. (2024). Effectiveness of physical activity interventions on undergraduate students' mental health: Systematic review and meta-analysis. </w:t>
      </w:r>
      <w:r>
        <w:rPr>
          <w:rFonts w:ascii="Calibri" w:hAnsi="Calibri"/>
          <w:b w:val="0"/>
          <w:i/>
          <w:sz w:val="22"/>
        </w:rPr>
        <w:t>Health Promotion International, 39</w:t>
      </w:r>
      <w:r>
        <w:rPr>
          <w:rFonts w:ascii="Calibri" w:hAnsi="Calibri"/>
          <w:b w:val="0"/>
          <w:i w:val="0"/>
          <w:sz w:val="22"/>
        </w:rPr>
        <w:t>(3), daae054. https://doi.org/10.1093/heapro/daae054</w:t>
      </w:r>
    </w:p>
    <w:p>
      <w:r>
        <w:rPr>
          <w:rFonts w:ascii="Calibri" w:hAnsi="Calibri"/>
          <w:b w:val="0"/>
          <w:i w:val="0"/>
          <w:sz w:val="22"/>
        </w:rPr>
        <w:t xml:space="preserve">James, W. (1884). What is an emotion? </w:t>
      </w:r>
      <w:r>
        <w:rPr>
          <w:rFonts w:ascii="Calibri" w:hAnsi="Calibri"/>
          <w:b w:val="0"/>
          <w:i/>
          <w:sz w:val="22"/>
        </w:rPr>
        <w:t>Mind, 9</w:t>
      </w:r>
      <w:r>
        <w:rPr>
          <w:rFonts w:ascii="Calibri" w:hAnsi="Calibri"/>
          <w:b w:val="0"/>
          <w:i w:val="0"/>
          <w:sz w:val="22"/>
        </w:rPr>
        <w:t>, 188–205.</w:t>
      </w:r>
    </w:p>
    <w:p>
      <w:r>
        <w:rPr>
          <w:rFonts w:ascii="Calibri" w:hAnsi="Calibri"/>
          <w:b w:val="0"/>
          <w:i w:val="0"/>
          <w:sz w:val="22"/>
        </w:rPr>
        <w:t xml:space="preserve">Kennedy, D. P., Gläscher, J., Tyszka, J. M., &amp; Adolphs, R. (2009). Personal space regulation by the human amygdala. </w:t>
      </w:r>
      <w:r>
        <w:rPr>
          <w:rFonts w:ascii="Calibri" w:hAnsi="Calibri"/>
          <w:b w:val="0"/>
          <w:i/>
          <w:sz w:val="22"/>
        </w:rPr>
        <w:t>Nature Neuroscience, 12</w:t>
      </w:r>
      <w:r>
        <w:rPr>
          <w:rFonts w:ascii="Calibri" w:hAnsi="Calibri"/>
          <w:b w:val="0"/>
          <w:i w:val="0"/>
          <w:sz w:val="22"/>
        </w:rPr>
        <w:t>, 1226–1227. https://doi.org/10.1038/nn.2381</w:t>
      </w:r>
    </w:p>
    <w:p>
      <w:r>
        <w:rPr>
          <w:rFonts w:ascii="Calibri" w:hAnsi="Calibri"/>
          <w:b w:val="0"/>
          <w:i w:val="0"/>
          <w:sz w:val="22"/>
        </w:rPr>
        <w:t xml:space="preserve">Lazarus, R. S., &amp; Folkman, S. (1984). </w:t>
      </w:r>
      <w:r>
        <w:rPr>
          <w:rFonts w:ascii="Calibri" w:hAnsi="Calibri"/>
          <w:b w:val="0"/>
          <w:i/>
          <w:sz w:val="22"/>
        </w:rPr>
        <w:t>Stress, Appraisal, and Coping</w:t>
      </w:r>
      <w:r>
        <w:rPr>
          <w:rFonts w:ascii="Calibri" w:hAnsi="Calibri"/>
          <w:b w:val="0"/>
          <w:i w:val="0"/>
          <w:sz w:val="22"/>
        </w:rPr>
        <w:t>. Springer.</w:t>
      </w:r>
    </w:p>
    <w:p>
      <w:r>
        <w:rPr>
          <w:rFonts w:ascii="Calibri" w:hAnsi="Calibri"/>
          <w:b w:val="0"/>
          <w:i w:val="0"/>
          <w:sz w:val="22"/>
        </w:rPr>
        <w:t xml:space="preserve">Levin, M. (2019). The computational boundary of a “self”: Developmental bioelectricity drives multicellularity and scale-free cognition. </w:t>
      </w:r>
      <w:r>
        <w:rPr>
          <w:rFonts w:ascii="Calibri" w:hAnsi="Calibri"/>
          <w:b w:val="0"/>
          <w:i/>
          <w:sz w:val="22"/>
        </w:rPr>
        <w:t>Frontiers in Psychology, 10</w:t>
      </w:r>
      <w:r>
        <w:rPr>
          <w:rFonts w:ascii="Calibri" w:hAnsi="Calibri"/>
          <w:b w:val="0"/>
          <w:i w:val="0"/>
          <w:sz w:val="22"/>
        </w:rPr>
        <w:t>, 2688. https://doi.org/10.3389/fpsyg.2019.02688</w:t>
      </w:r>
    </w:p>
    <w:p>
      <w:r>
        <w:rPr>
          <w:rFonts w:ascii="Calibri" w:hAnsi="Calibri"/>
          <w:b w:val="0"/>
          <w:i w:val="0"/>
          <w:sz w:val="22"/>
        </w:rPr>
        <w:t xml:space="preserve">Lieberman, M. D., Eisenberger, N. I., Crockett, M. J., Tom, S. M., Pfeifer, J. H., &amp; Way, B. M. (2007). Putting feelings into words: Affect labeling disrupts amygdala activity in response to affective stimuli. </w:t>
      </w:r>
      <w:r>
        <w:rPr>
          <w:rFonts w:ascii="Calibri" w:hAnsi="Calibri"/>
          <w:b w:val="0"/>
          <w:i/>
          <w:sz w:val="22"/>
        </w:rPr>
        <w:t>Psychological Science, 18</w:t>
      </w:r>
      <w:r>
        <w:rPr>
          <w:rFonts w:ascii="Calibri" w:hAnsi="Calibri"/>
          <w:b w:val="0"/>
          <w:i w:val="0"/>
          <w:sz w:val="22"/>
        </w:rPr>
        <w:t>, 421–428. https://doi.org/10.1111/j.1467-9280.2007.01916.x</w:t>
      </w:r>
    </w:p>
    <w:p>
      <w:r>
        <w:rPr>
          <w:rFonts w:ascii="Calibri" w:hAnsi="Calibri"/>
          <w:b w:val="0"/>
          <w:i w:val="0"/>
          <w:sz w:val="22"/>
        </w:rPr>
        <w:t xml:space="preserve">McEwen, B. S. (1998a). Protective and damaging effects of stress mediators. </w:t>
      </w:r>
      <w:r>
        <w:rPr>
          <w:rFonts w:ascii="Calibri" w:hAnsi="Calibri"/>
          <w:b w:val="0"/>
          <w:i/>
          <w:sz w:val="22"/>
        </w:rPr>
        <w:t>New England Journal of Medicine, 338</w:t>
      </w:r>
      <w:r>
        <w:rPr>
          <w:rFonts w:ascii="Calibri" w:hAnsi="Calibri"/>
          <w:b w:val="0"/>
          <w:i w:val="0"/>
          <w:sz w:val="22"/>
        </w:rPr>
        <w:t>, 171–179. https://doi.org/10.1056/NEJM199801153380307</w:t>
      </w:r>
    </w:p>
    <w:p>
      <w:r>
        <w:rPr>
          <w:rFonts w:ascii="Calibri" w:hAnsi="Calibri"/>
          <w:b w:val="0"/>
          <w:i w:val="0"/>
          <w:sz w:val="22"/>
        </w:rPr>
        <w:t xml:space="preserve">McEwen, B. S. (1998b). Stress, adaptation, and disease: Allostasis and allostatic load. </w:t>
      </w:r>
      <w:r>
        <w:rPr>
          <w:rFonts w:ascii="Calibri" w:hAnsi="Calibri"/>
          <w:b w:val="0"/>
          <w:i/>
          <w:sz w:val="22"/>
        </w:rPr>
        <w:t>Annals of the New York Academy of Sciences, 840</w:t>
      </w:r>
      <w:r>
        <w:rPr>
          <w:rFonts w:ascii="Calibri" w:hAnsi="Calibri"/>
          <w:b w:val="0"/>
          <w:i w:val="0"/>
          <w:sz w:val="22"/>
        </w:rPr>
        <w:t>, 33–44. https://doi.org/10.1111/j.1749-6632.1998.tb09546.x</w:t>
      </w:r>
    </w:p>
    <w:p>
      <w:r>
        <w:rPr>
          <w:rFonts w:ascii="Calibri" w:hAnsi="Calibri"/>
          <w:b w:val="0"/>
          <w:i w:val="0"/>
          <w:sz w:val="22"/>
        </w:rPr>
        <w:t xml:space="preserve">Ozomaro, B., Wein, P. Y., Miller, S., Ospina, L. H., Goodman, M., Torous, J., &amp; Kimhy, D. (2025). Emotional granularity in health and psychopathology: A scoping review. </w:t>
      </w:r>
      <w:r>
        <w:rPr>
          <w:rFonts w:ascii="Calibri" w:hAnsi="Calibri"/>
          <w:b w:val="0"/>
          <w:i/>
          <w:sz w:val="22"/>
        </w:rPr>
        <w:t>Journal of Psychiatric Research, 190</w:t>
      </w:r>
      <w:r>
        <w:rPr>
          <w:rFonts w:ascii="Calibri" w:hAnsi="Calibri"/>
          <w:b w:val="0"/>
          <w:i w:val="0"/>
          <w:sz w:val="22"/>
        </w:rPr>
        <w:t>, 277–295. https://doi.org/10.1016/j.jpsychires.2025.08.008</w:t>
      </w:r>
    </w:p>
    <w:p>
      <w:r>
        <w:rPr>
          <w:rFonts w:ascii="Calibri" w:hAnsi="Calibri"/>
          <w:b w:val="0"/>
          <w:i w:val="0"/>
          <w:sz w:val="22"/>
        </w:rPr>
        <w:t xml:space="preserve">Palmer, C. A., Bower, J. L., Cho, K. W., Clementi, M. A., Lau, S., Oosterhoff, B., &amp; Alfano, C. A. (2024). Sleep loss and emotion: A systematic review and meta-analysis of over 50 years of experimental research. </w:t>
      </w:r>
      <w:r>
        <w:rPr>
          <w:rFonts w:ascii="Calibri" w:hAnsi="Calibri"/>
          <w:b w:val="0"/>
          <w:i/>
          <w:sz w:val="22"/>
        </w:rPr>
        <w:t>Psychological Bulletin, 150</w:t>
      </w:r>
      <w:r>
        <w:rPr>
          <w:rFonts w:ascii="Calibri" w:hAnsi="Calibri"/>
          <w:b w:val="0"/>
          <w:i w:val="0"/>
          <w:sz w:val="22"/>
        </w:rPr>
        <w:t>, 440–463. https://doi.org/10.1037/bul0000410</w:t>
      </w:r>
    </w:p>
    <w:p>
      <w:r>
        <w:rPr>
          <w:rFonts w:ascii="Calibri" w:hAnsi="Calibri"/>
          <w:b w:val="0"/>
          <w:i w:val="0"/>
          <w:sz w:val="22"/>
        </w:rPr>
        <w:t xml:space="preserve">Russell, G., &amp; Lightman, S. (2019). The human stress response. </w:t>
      </w:r>
      <w:r>
        <w:rPr>
          <w:rFonts w:ascii="Calibri" w:hAnsi="Calibri"/>
          <w:b w:val="0"/>
          <w:i/>
          <w:sz w:val="22"/>
        </w:rPr>
        <w:t>Nature Reviews Endocrinology, 15</w:t>
      </w:r>
      <w:r>
        <w:rPr>
          <w:rFonts w:ascii="Calibri" w:hAnsi="Calibri"/>
          <w:b w:val="0"/>
          <w:i w:val="0"/>
          <w:sz w:val="22"/>
        </w:rPr>
        <w:t>, 525–534. https://doi.org/10.1038/s41574-019-0228-0</w:t>
      </w:r>
    </w:p>
    <w:p>
      <w:r>
        <w:rPr>
          <w:rFonts w:ascii="Calibri" w:hAnsi="Calibri"/>
          <w:b w:val="0"/>
          <w:i w:val="0"/>
          <w:sz w:val="22"/>
        </w:rPr>
        <w:t xml:space="preserve">Russell, J. A. (1980). A circumplex model of affect. </w:t>
      </w:r>
      <w:r>
        <w:rPr>
          <w:rFonts w:ascii="Calibri" w:hAnsi="Calibri"/>
          <w:b w:val="0"/>
          <w:i/>
          <w:sz w:val="22"/>
        </w:rPr>
        <w:t>Journal of Personality and Social Psychology, 39</w:t>
      </w:r>
      <w:r>
        <w:rPr>
          <w:rFonts w:ascii="Calibri" w:hAnsi="Calibri"/>
          <w:b w:val="0"/>
          <w:i w:val="0"/>
          <w:sz w:val="22"/>
        </w:rPr>
        <w:t>, 1161–1178. https://doi.org/10.1037/h0077714</w:t>
      </w:r>
    </w:p>
    <w:p>
      <w:r>
        <w:rPr>
          <w:rFonts w:ascii="Calibri" w:hAnsi="Calibri"/>
          <w:b w:val="0"/>
          <w:i w:val="0"/>
          <w:sz w:val="22"/>
        </w:rPr>
        <w:t xml:space="preserve">Sapolsky, R. M. (2004). </w:t>
      </w:r>
      <w:r>
        <w:rPr>
          <w:rFonts w:ascii="Calibri" w:hAnsi="Calibri"/>
          <w:b w:val="0"/>
          <w:i/>
          <w:sz w:val="22"/>
        </w:rPr>
        <w:t>Why Zebras Don't Get Ulcers: The Acclaimed Guide to Stress, Stress-Related Diseases, and Coping</w:t>
      </w:r>
      <w:r>
        <w:rPr>
          <w:rFonts w:ascii="Calibri" w:hAnsi="Calibri"/>
          <w:b w:val="0"/>
          <w:i w:val="0"/>
          <w:sz w:val="22"/>
        </w:rPr>
        <w:t xml:space="preserve"> (3rd ed.). Holt Paperbacks.</w:t>
      </w:r>
    </w:p>
    <w:p>
      <w:r>
        <w:rPr>
          <w:rFonts w:ascii="Calibri" w:hAnsi="Calibri"/>
          <w:b w:val="0"/>
          <w:i w:val="0"/>
          <w:sz w:val="22"/>
        </w:rPr>
        <w:t xml:space="preserve">Schachter, S., &amp; Singer, J. E. (1962). Cognitive, social, and physiological determinants of emotional state. </w:t>
      </w:r>
      <w:r>
        <w:rPr>
          <w:rFonts w:ascii="Calibri" w:hAnsi="Calibri"/>
          <w:b w:val="0"/>
          <w:i/>
          <w:sz w:val="22"/>
        </w:rPr>
        <w:t>Psychological Review, 69</w:t>
      </w:r>
      <w:r>
        <w:rPr>
          <w:rFonts w:ascii="Calibri" w:hAnsi="Calibri"/>
          <w:b w:val="0"/>
          <w:i w:val="0"/>
          <w:sz w:val="22"/>
        </w:rPr>
        <w:t>, 379–399. https://doi.org/10.1037/h0046234</w:t>
      </w:r>
    </w:p>
    <w:p>
      <w:r>
        <w:rPr>
          <w:rFonts w:ascii="Calibri" w:hAnsi="Calibri"/>
          <w:b w:val="0"/>
          <w:i w:val="0"/>
          <w:sz w:val="22"/>
        </w:rPr>
        <w:t xml:space="preserve">Schacter, D. L., Addis, D. R., &amp; Buckner, R. L. (2007). Remembering the past to imagine the future: The prospective brain. </w:t>
      </w:r>
      <w:r>
        <w:rPr>
          <w:rFonts w:ascii="Calibri" w:hAnsi="Calibri"/>
          <w:b w:val="0"/>
          <w:i/>
          <w:sz w:val="22"/>
        </w:rPr>
        <w:t>Nature Reviews Neuroscience, 8</w:t>
      </w:r>
      <w:r>
        <w:rPr>
          <w:rFonts w:ascii="Calibri" w:hAnsi="Calibri"/>
          <w:b w:val="0"/>
          <w:i w:val="0"/>
          <w:sz w:val="22"/>
        </w:rPr>
        <w:t>, 657–661. https://doi.org/10.1038/nrn2213</w:t>
      </w:r>
    </w:p>
    <w:p>
      <w:r>
        <w:rPr>
          <w:rFonts w:ascii="Calibri" w:hAnsi="Calibri"/>
          <w:b w:val="0"/>
          <w:i w:val="0"/>
          <w:sz w:val="22"/>
        </w:rPr>
        <w:t xml:space="preserve">Selye, H. (1956). </w:t>
      </w:r>
      <w:r>
        <w:rPr>
          <w:rFonts w:ascii="Calibri" w:hAnsi="Calibri"/>
          <w:b w:val="0"/>
          <w:i/>
          <w:sz w:val="22"/>
        </w:rPr>
        <w:t>The Stress of Life</w:t>
      </w:r>
      <w:r>
        <w:rPr>
          <w:rFonts w:ascii="Calibri" w:hAnsi="Calibri"/>
          <w:b w:val="0"/>
          <w:i w:val="0"/>
          <w:sz w:val="22"/>
        </w:rPr>
        <w:t>. McGraw-Hill.</w:t>
      </w:r>
    </w:p>
    <w:p>
      <w:r>
        <w:rPr>
          <w:rFonts w:ascii="Calibri" w:hAnsi="Calibri"/>
          <w:b w:val="0"/>
          <w:i w:val="0"/>
          <w:sz w:val="22"/>
        </w:rPr>
        <w:t xml:space="preserve">Sterling, P. (2012). Allostasis: A model of predictive regulation. </w:t>
      </w:r>
      <w:r>
        <w:rPr>
          <w:rFonts w:ascii="Calibri" w:hAnsi="Calibri"/>
          <w:b w:val="0"/>
          <w:i/>
          <w:sz w:val="22"/>
        </w:rPr>
        <w:t>Physiology &amp; Behavior, 106</w:t>
      </w:r>
      <w:r>
        <w:rPr>
          <w:rFonts w:ascii="Calibri" w:hAnsi="Calibri"/>
          <w:b w:val="0"/>
          <w:i w:val="0"/>
          <w:sz w:val="22"/>
        </w:rPr>
        <w:t>, 5–15. https://doi.org/10.1016/j.physbeh.2011.06.004</w:t>
      </w:r>
    </w:p>
    <w:p>
      <w:r>
        <w:rPr>
          <w:rFonts w:ascii="Calibri" w:hAnsi="Calibri"/>
          <w:b w:val="0"/>
          <w:i w:val="0"/>
          <w:sz w:val="22"/>
        </w:rPr>
        <w:t xml:space="preserve">Suddendorf, T., &amp; Corballis, M. C. (2007). The evolution of foresight: What is mental time travel, and is it unique to humans? </w:t>
      </w:r>
      <w:r>
        <w:rPr>
          <w:rFonts w:ascii="Calibri" w:hAnsi="Calibri"/>
          <w:b w:val="0"/>
          <w:i/>
          <w:sz w:val="22"/>
        </w:rPr>
        <w:t>Behavioral and Brain Sciences, 30</w:t>
      </w:r>
      <w:r>
        <w:rPr>
          <w:rFonts w:ascii="Calibri" w:hAnsi="Calibri"/>
          <w:b w:val="0"/>
          <w:i w:val="0"/>
          <w:sz w:val="22"/>
        </w:rPr>
        <w:t>, 299–313. https://doi.org/10.1017/S0140525X07001975</w:t>
      </w:r>
    </w:p>
    <w:p>
      <w:r>
        <w:rPr>
          <w:rFonts w:ascii="Calibri" w:hAnsi="Calibri"/>
          <w:b w:val="0"/>
          <w:i w:val="0"/>
          <w:sz w:val="22"/>
        </w:rPr>
        <w:t xml:space="preserve">Taylor, S. E., Klein, L. C., Lewis, B. P., Gruenewald, T. L., Gurung, R. A. R., &amp; Updegraff, J. A. (2000). Biobehavioral responses to stress in females: Tend-and-befriend, not fight-or-flight. </w:t>
      </w:r>
      <w:r>
        <w:rPr>
          <w:rFonts w:ascii="Calibri" w:hAnsi="Calibri"/>
          <w:b w:val="0"/>
          <w:i/>
          <w:sz w:val="22"/>
        </w:rPr>
        <w:t>Psychological Review, 107</w:t>
      </w:r>
      <w:r>
        <w:rPr>
          <w:rFonts w:ascii="Calibri" w:hAnsi="Calibri"/>
          <w:b w:val="0"/>
          <w:i w:val="0"/>
          <w:sz w:val="22"/>
        </w:rPr>
        <w:t>, 411–429. https://doi.org/10.1037/0033-295X.107.3.411</w:t>
      </w:r>
    </w:p>
    <w:p>
      <w:r>
        <w:rPr>
          <w:rFonts w:ascii="Calibri" w:hAnsi="Calibri"/>
          <w:b w:val="0"/>
          <w:i w:val="0"/>
          <w:sz w:val="22"/>
        </w:rPr>
        <w:t xml:space="preserve">Torre, J. B., &amp; Lieberman, M. D. (2018). Putting feelings into words: Affect labeling as implicit emotion regulation. </w:t>
      </w:r>
      <w:r>
        <w:rPr>
          <w:rFonts w:ascii="Calibri" w:hAnsi="Calibri"/>
          <w:b w:val="0"/>
          <w:i/>
          <w:sz w:val="22"/>
        </w:rPr>
        <w:t>Emotion Review, 10</w:t>
      </w:r>
      <w:r>
        <w:rPr>
          <w:rFonts w:ascii="Calibri" w:hAnsi="Calibri"/>
          <w:b w:val="0"/>
          <w:i w:val="0"/>
          <w:sz w:val="22"/>
        </w:rPr>
        <w:t>, 116–124. https://doi.org/10.1177/1754073917742706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12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abstractNum w:abstractNumId="11">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2">
    <w:abstractNumId w:val="11"/>
  </w:num>
  <w:abstractNum w:abstractNumId="1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3">
    <w:abstractNumId w:val="12"/>
  </w:num>
  <w:abstractNum w:abstractNumId="13">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4">
    <w:abstractNumId w:val="13"/>
  </w:num>
  <w:abstractNum w:abstractNumId="14">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5">
    <w:abstractNumId w:val="14"/>
  </w:num>
  <w:abstractNum w:abstractNumId="15">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6">
    <w:abstractNumId w:val="15"/>
  </w:num>
  <w:abstractNum w:abstractNumId="16">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7">
    <w:abstractNumId w:val="16"/>
  </w:num>
  <w:abstractNum w:abstractNumId="17">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8">
    <w:abstractNumId w:val="17"/>
  </w:num>
  <w:abstractNum w:abstractNumId="18">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9">
    <w:abstractNumId w:val="18"/>
  </w:num>
  <w:abstractNum w:abstractNumId="1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0">
    <w:abstractNumId w:val="19"/>
  </w:num>
  <w:abstractNum w:abstractNumId="20">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1">
    <w:abstractNumId w:val="20"/>
  </w:num>
  <w:abstractNum w:abstractNumId="21">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2">
    <w:abstractNumId w:val="21"/>
  </w:num>
  <w:abstractNum w:abstractNumId="2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3">
    <w:abstractNumId w:val="22"/>
  </w:num>
  <w:abstractNum w:abstractNumId="23">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4">
    <w:abstractNumId w:val="23"/>
  </w:num>
  <w:abstractNum w:abstractNumId="24">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Emotion, Stress &amp; Coping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