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i w:val="0"/>
          <w:color w:val="0B2545"/>
          <w:sz w:val="44"/>
        </w:rPr>
        <w:t>Chapter 12 — Emotion, Stress &amp; Coping</w:t>
      </w:r>
    </w:p>
    <w:p>
      <w:pPr>
        <w:spacing w:after="200"/>
      </w:pPr>
      <w:r>
        <w:rPr>
          <w:rFonts w:ascii="Calibri" w:hAnsi="Calibri"/>
          <w:b w:val="0"/>
          <w:i w:val="0"/>
          <w:color w:val="555555"/>
          <w:sz w:val="26"/>
        </w:rPr>
        <w:t>Spine Seeds — for instructor edit</w:t>
      </w:r>
    </w:p>
    <w:p>
      <w:pPr>
        <w:spacing w:before="0" w:after="160"/>
      </w:pPr>
      <w:r>
        <w:rPr>
          <w:rFonts w:ascii="Calibri" w:hAnsi="Calibri"/>
          <w:b w:val="0"/>
          <w:i w:val="0"/>
          <w:color w:val="555555"/>
          <w:sz w:val="20"/>
        </w:rPr>
        <w:t>Drafted 2026-07-26. Nine decisions. Nothing here is prose for the book.</w:t>
      </w:r>
    </w:p>
    <w:tbl>
      <w:tblPr>
        <w:tblW w:type="auto" w:w="0"/>
        <w:jc w:val="center"/>
        <w:tblLayout w:type="fixed"/>
        <w:tblLook w:firstColumn="1" w:firstRow="1" w:lastColumn="0" w:lastRow="0" w:noHBand="0" w:noVBand="1" w:val="04A0"/>
        <w:tblBorders>
          <w:top w:val="single" w:sz="6" w:color="BBBBBB"/>
          <w:left w:val="single" w:sz="6" w:color="BBBBBB"/>
          <w:bottom w:val="single" w:sz="6" w:color="BBBBBB"/>
          <w:right w:val="single" w:sz="6" w:color="BBBBBB"/>
          <w:insideH w:val="single" w:sz="6" w:color="BBBBBB"/>
          <w:insideV w:val="single" w:sz="6" w:color="BBBBBB"/>
        </w:tblBorders>
        <w:tblLayout w:type="fixed"/>
      </w:tblPr>
      <w:tblGrid>
        <w:gridCol w:w="9360"/>
      </w:tblGrid>
      <w:tr>
        <w:tc>
          <w:tcPr>
            <w:tcW w:type="dxa" w:w="9360"/>
            <w:shd w:val="clear" w:color="auto" w:fill="E8EEF4"/>
          </w:tcPr>
          <w:p>
            <w:pPr>
              <w:spacing w:after="60"/>
            </w:pPr>
            <w:r>
              <w:rPr>
                <w:rFonts w:ascii="Calibri" w:hAnsi="Calibri"/>
                <w:b/>
                <w:i w:val="0"/>
                <w:color w:val="0B2545"/>
                <w:sz w:val="20"/>
              </w:rPr>
              <w:t>How to use this</w:t>
            </w:r>
          </w:p>
          <w:p>
            <w:pPr>
              <w:spacing w:after="60"/>
            </w:pPr>
            <w:r>
              <w:rPr>
                <w:rFonts w:ascii="Calibri" w:hAnsi="Calibri"/>
                <w:b w:val="0"/>
                <w:i w:val="0"/>
                <w:color w:val="111111"/>
                <w:sz w:val="20"/>
              </w:rPr>
              <w:t>Edit in place. Cross out what is wrong, rewrite the payoff lines in your own words, and mark each decision keep, cut, or change. When it comes back I draft prose against it.</w:t>
            </w:r>
          </w:p>
          <w:p>
            <w:pPr>
              <w:spacing w:after="60"/>
            </w:pPr>
            <w:r>
              <w:rPr>
                <w:rFonts w:ascii="Calibri" w:hAnsi="Calibri"/>
                <w:b w:val="0"/>
                <w:i/>
                <w:color w:val="111111"/>
                <w:sz w:val="20"/>
              </w:rPr>
              <w:t>The drafted payoff lines are not proposals to approve. They exist so you have something to react to instead of authoring cold. Rewriting one is the expected outcome, not a correction.</w:t>
            </w:r>
          </w:p>
          <w:p>
            <w:pPr>
              <w:spacing w:after="60"/>
            </w:pPr>
            <w:r>
              <w:rPr>
                <w:rFonts w:ascii="Calibri" w:hAnsi="Calibri"/>
                <w:b w:val="0"/>
                <w:i w:val="0"/>
                <w:color w:val="111111"/>
                <w:sz w:val="20"/>
              </w:rPr>
              <w:t>Single-packet format at your direction. Everything I could decide myself is in Recorded, Not Asked near the end rather than in a box.</w:t>
            </w:r>
          </w:p>
        </w:tc>
      </w:tr>
    </w:tbl>
    <w:p>
      <w:pPr>
        <w:spacing w:after="40"/>
      </w:pPr>
    </w:p>
    <w:p>
      <w:pPr>
        <w:pStyle w:val="Heading1"/>
        <w:spacing w:before="280" w:after="80"/>
      </w:pPr>
      <w:r>
        <w:rPr>
          <w:rFonts w:ascii="Calibri" w:hAnsi="Calibri"/>
          <w:color w:val="0B2545"/>
          <w:sz w:val="32"/>
        </w:rPr>
        <w:t>The nine decisions</w:t>
      </w:r>
    </w:p>
    <w:p>
      <w:pPr>
        <w:spacing w:before="0" w:after="120"/>
      </w:pPr>
      <w:r>
        <w:rPr>
          <w:rFonts w:ascii="Calibri" w:hAnsi="Calibri"/>
          <w:b w:val="0"/>
          <w:i w:val="0"/>
          <w:color w:val="555555"/>
          <w:sz w:val="20"/>
        </w:rPr>
        <w:t>Scope before you start. Page order follows the chapter, not this list.</w:t>
      </w:r>
    </w:p>
    <w:tbl>
      <w:tblPr>
        <w:tblW w:type="auto" w:w="0"/>
        <w:jc w:val="center"/>
        <w:tblLayout w:type="fixed"/>
        <w:tblLook w:firstColumn="1" w:firstRow="1" w:lastColumn="0" w:lastRow="0" w:noHBand="0" w:noVBand="1" w:val="04A0"/>
        <w:tblBorders>
          <w:top w:val="single" w:sz="6" w:color="BBBBBB"/>
          <w:left w:val="single" w:sz="6" w:color="BBBBBB"/>
          <w:bottom w:val="single" w:sz="6" w:color="BBBBBB"/>
          <w:right w:val="single" w:sz="6" w:color="BBBBBB"/>
          <w:insideH w:val="single" w:sz="6" w:color="BBBBBB"/>
          <w:insideV w:val="single" w:sz="6" w:color="BBBBBB"/>
        </w:tblBorders>
        <w:tblLayout w:type="fixed"/>
      </w:tblPr>
      <w:tblGrid>
        <w:gridCol w:w="576"/>
        <w:gridCol w:w="5040"/>
        <w:gridCol w:w="3744"/>
      </w:tblGrid>
      <w:tr>
        <w:trPr>
          <w:tblHeader/>
        </w:trPr>
        <w:tc>
          <w:tcPr>
            <w:tcW w:type="dxa" w:w="576"/>
            <w:shd w:val="clear" w:color="auto" w:fill="E4E9EF"/>
          </w:tcPr>
          <w:p>
            <w:pPr>
              <w:spacing w:after="40"/>
            </w:pPr>
            <w:r>
              <w:rPr>
                <w:rFonts w:ascii="Calibri" w:hAnsi="Calibri"/>
                <w:b/>
                <w:i w:val="0"/>
                <w:color w:val="0B2545"/>
                <w:sz w:val="19"/>
              </w:rPr>
              <w:t>#</w:t>
            </w:r>
          </w:p>
        </w:tc>
        <w:tc>
          <w:tcPr>
            <w:tcW w:type="dxa" w:w="5040"/>
            <w:shd w:val="clear" w:color="auto" w:fill="E4E9EF"/>
          </w:tcPr>
          <w:p>
            <w:pPr>
              <w:spacing w:after="40"/>
            </w:pPr>
            <w:r>
              <w:rPr>
                <w:rFonts w:ascii="Calibri" w:hAnsi="Calibri"/>
                <w:b/>
                <w:i w:val="0"/>
                <w:color w:val="0B2545"/>
                <w:sz w:val="19"/>
              </w:rPr>
              <w:t>Decision</w:t>
            </w:r>
          </w:p>
        </w:tc>
        <w:tc>
          <w:tcPr>
            <w:tcW w:type="dxa" w:w="3744"/>
            <w:shd w:val="clear" w:color="auto" w:fill="E4E9EF"/>
          </w:tcPr>
          <w:p>
            <w:pPr>
              <w:spacing w:after="40"/>
            </w:pPr>
            <w:r>
              <w:rPr>
                <w:rFonts w:ascii="Calibri" w:hAnsi="Calibri"/>
                <w:b/>
                <w:i w:val="0"/>
                <w:color w:val="0B2545"/>
                <w:sz w:val="19"/>
              </w:rPr>
              <w:t>Why it is yours</w:t>
            </w:r>
          </w:p>
        </w:tc>
      </w:tr>
      <w:tr>
        <w:tc>
          <w:tcPr>
            <w:tcW w:type="dxa" w:w="576"/>
          </w:tcPr>
          <w:p>
            <w:pPr>
              <w:spacing w:after="40"/>
            </w:pPr>
            <w:r>
              <w:rPr>
                <w:rFonts w:ascii="Calibri" w:hAnsi="Calibri"/>
                <w:b w:val="0"/>
                <w:i w:val="0"/>
                <w:color w:val="111111"/>
                <w:sz w:val="19"/>
              </w:rPr>
              <w:t>1</w:t>
            </w:r>
          </w:p>
        </w:tc>
        <w:tc>
          <w:tcPr>
            <w:tcW w:type="dxa" w:w="5040"/>
          </w:tcPr>
          <w:p>
            <w:pPr>
              <w:spacing w:after="40"/>
            </w:pPr>
            <w:r>
              <w:rPr>
                <w:rFonts w:ascii="Calibri" w:hAnsi="Calibri"/>
                <w:b w:val="0"/>
                <w:i w:val="0"/>
                <w:color w:val="111111"/>
                <w:sz w:val="19"/>
              </w:rPr>
              <w:t>Spine question wording</w:t>
            </w:r>
          </w:p>
        </w:tc>
        <w:tc>
          <w:tcPr>
            <w:tcW w:type="dxa" w:w="3744"/>
          </w:tcPr>
          <w:p>
            <w:pPr>
              <w:spacing w:after="40"/>
            </w:pPr>
            <w:r>
              <w:rPr>
                <w:rFonts w:ascii="Calibri" w:hAnsi="Calibri"/>
                <w:b w:val="0"/>
                <w:i w:val="0"/>
                <w:color w:val="111111"/>
                <w:sz w:val="19"/>
              </w:rPr>
              <w:t>Register and student framing</w:t>
            </w:r>
          </w:p>
        </w:tc>
      </w:tr>
      <w:tr>
        <w:tc>
          <w:tcPr>
            <w:tcW w:type="dxa" w:w="576"/>
          </w:tcPr>
          <w:p>
            <w:pPr>
              <w:spacing w:after="40"/>
            </w:pPr>
            <w:r>
              <w:rPr>
                <w:rFonts w:ascii="Calibri" w:hAnsi="Calibri"/>
                <w:b w:val="0"/>
                <w:i w:val="0"/>
                <w:color w:val="111111"/>
                <w:sz w:val="19"/>
              </w:rPr>
              <w:t>2</w:t>
            </w:r>
          </w:p>
        </w:tc>
        <w:tc>
          <w:tcPr>
            <w:tcW w:type="dxa" w:w="5040"/>
          </w:tcPr>
          <w:p>
            <w:pPr>
              <w:spacing w:after="40"/>
            </w:pPr>
            <w:r>
              <w:rPr>
                <w:rFonts w:ascii="Calibri" w:hAnsi="Calibri"/>
                <w:b w:val="0"/>
                <w:i w:val="0"/>
                <w:color w:val="111111"/>
                <w:sz w:val="19"/>
              </w:rPr>
              <w:t>Chapter engine sentence</w:t>
            </w:r>
          </w:p>
        </w:tc>
        <w:tc>
          <w:tcPr>
            <w:tcW w:type="dxa" w:w="3744"/>
          </w:tcPr>
          <w:p>
            <w:pPr>
              <w:spacing w:after="40"/>
            </w:pPr>
            <w:r>
              <w:rPr>
                <w:rFonts w:ascii="Calibri" w:hAnsi="Calibri"/>
                <w:b w:val="0"/>
                <w:i w:val="0"/>
                <w:color w:val="111111"/>
                <w:sz w:val="19"/>
              </w:rPr>
              <w:t>Voice</w:t>
            </w:r>
          </w:p>
        </w:tc>
      </w:tr>
      <w:tr>
        <w:tc>
          <w:tcPr>
            <w:tcW w:type="dxa" w:w="576"/>
          </w:tcPr>
          <w:p>
            <w:pPr>
              <w:spacing w:after="40"/>
            </w:pPr>
            <w:r>
              <w:rPr>
                <w:rFonts w:ascii="Calibri" w:hAnsi="Calibri"/>
                <w:b w:val="0"/>
                <w:i w:val="0"/>
                <w:color w:val="111111"/>
                <w:sz w:val="19"/>
              </w:rPr>
              <w:t>3</w:t>
            </w:r>
          </w:p>
        </w:tc>
        <w:tc>
          <w:tcPr>
            <w:tcW w:type="dxa" w:w="5040"/>
          </w:tcPr>
          <w:p>
            <w:pPr>
              <w:spacing w:after="40"/>
            </w:pPr>
            <w:r>
              <w:rPr>
                <w:rFonts w:ascii="Calibri" w:hAnsi="Calibri"/>
                <w:b w:val="0"/>
                <w:i w:val="0"/>
                <w:color w:val="111111"/>
                <w:sz w:val="19"/>
              </w:rPr>
              <w:t>Social buffering thread — install it?</w:t>
            </w:r>
          </w:p>
        </w:tc>
        <w:tc>
          <w:tcPr>
            <w:tcW w:type="dxa" w:w="3744"/>
          </w:tcPr>
          <w:p>
            <w:pPr>
              <w:spacing w:after="40"/>
            </w:pPr>
            <w:r>
              <w:rPr>
                <w:rFonts w:ascii="Calibri" w:hAnsi="Calibri"/>
                <w:b w:val="0"/>
                <w:i w:val="0"/>
                <w:color w:val="111111"/>
                <w:sz w:val="19"/>
              </w:rPr>
              <w:t>Adding a thread</w:t>
            </w:r>
          </w:p>
        </w:tc>
      </w:tr>
      <w:tr>
        <w:tc>
          <w:tcPr>
            <w:tcW w:type="dxa" w:w="576"/>
          </w:tcPr>
          <w:p>
            <w:pPr>
              <w:spacing w:after="40"/>
            </w:pPr>
            <w:r>
              <w:rPr>
                <w:rFonts w:ascii="Calibri" w:hAnsi="Calibri"/>
                <w:b w:val="0"/>
                <w:i w:val="0"/>
                <w:color w:val="111111"/>
                <w:sz w:val="19"/>
              </w:rPr>
              <w:t>4</w:t>
            </w:r>
          </w:p>
        </w:tc>
        <w:tc>
          <w:tcPr>
            <w:tcW w:type="dxa" w:w="5040"/>
          </w:tcPr>
          <w:p>
            <w:pPr>
              <w:spacing w:after="40"/>
            </w:pPr>
            <w:r>
              <w:rPr>
                <w:rFonts w:ascii="Calibri" w:hAnsi="Calibri"/>
                <w:b w:val="0"/>
                <w:i w:val="0"/>
                <w:color w:val="111111"/>
                <w:sz w:val="19"/>
              </w:rPr>
              <w:t>Compression thread — install it?</w:t>
            </w:r>
          </w:p>
        </w:tc>
        <w:tc>
          <w:tcPr>
            <w:tcW w:type="dxa" w:w="3744"/>
          </w:tcPr>
          <w:p>
            <w:pPr>
              <w:spacing w:after="40"/>
            </w:pPr>
            <w:r>
              <w:rPr>
                <w:rFonts w:ascii="Calibri" w:hAnsi="Calibri"/>
                <w:b w:val="0"/>
                <w:i w:val="0"/>
                <w:color w:val="111111"/>
                <w:sz w:val="19"/>
              </w:rPr>
              <w:t>Adding a thread</w:t>
            </w:r>
          </w:p>
        </w:tc>
      </w:tr>
      <w:tr>
        <w:tc>
          <w:tcPr>
            <w:tcW w:type="dxa" w:w="576"/>
          </w:tcPr>
          <w:p>
            <w:pPr>
              <w:spacing w:after="40"/>
            </w:pPr>
            <w:r>
              <w:rPr>
                <w:rFonts w:ascii="Calibri" w:hAnsi="Calibri"/>
                <w:b w:val="0"/>
                <w:i w:val="0"/>
                <w:color w:val="111111"/>
                <w:sz w:val="19"/>
              </w:rPr>
              <w:t>5</w:t>
            </w:r>
          </w:p>
        </w:tc>
        <w:tc>
          <w:tcPr>
            <w:tcW w:type="dxa" w:w="5040"/>
          </w:tcPr>
          <w:p>
            <w:pPr>
              <w:spacing w:after="40"/>
            </w:pPr>
            <w:r>
              <w:rPr>
                <w:rFonts w:ascii="Calibri" w:hAnsi="Calibri"/>
                <w:b w:val="0"/>
                <w:i w:val="0"/>
                <w:color w:val="111111"/>
                <w:sz w:val="19"/>
              </w:rPr>
              <w:t>Action-readiness — name it or leave it implicit?</w:t>
            </w:r>
          </w:p>
        </w:tc>
        <w:tc>
          <w:tcPr>
            <w:tcW w:type="dxa" w:w="3744"/>
          </w:tcPr>
          <w:p>
            <w:pPr>
              <w:spacing w:after="40"/>
            </w:pPr>
            <w:r>
              <w:rPr>
                <w:rFonts w:ascii="Calibri" w:hAnsi="Calibri"/>
                <w:b w:val="0"/>
                <w:i w:val="0"/>
                <w:color w:val="111111"/>
                <w:sz w:val="19"/>
              </w:rPr>
              <w:t>Adding a thread</w:t>
            </w:r>
          </w:p>
        </w:tc>
      </w:tr>
      <w:tr>
        <w:tc>
          <w:tcPr>
            <w:tcW w:type="dxa" w:w="576"/>
          </w:tcPr>
          <w:p>
            <w:pPr>
              <w:spacing w:after="40"/>
            </w:pPr>
            <w:r>
              <w:rPr>
                <w:rFonts w:ascii="Calibri" w:hAnsi="Calibri"/>
                <w:b w:val="0"/>
                <w:i w:val="0"/>
                <w:color w:val="111111"/>
                <w:sz w:val="19"/>
              </w:rPr>
              <w:t>6</w:t>
            </w:r>
          </w:p>
        </w:tc>
        <w:tc>
          <w:tcPr>
            <w:tcW w:type="dxa" w:w="5040"/>
          </w:tcPr>
          <w:p>
            <w:pPr>
              <w:spacing w:after="40"/>
            </w:pPr>
            <w:r>
              <w:rPr>
                <w:rFonts w:ascii="Calibri" w:hAnsi="Calibri"/>
                <w:b w:val="0"/>
                <w:i w:val="0"/>
                <w:color w:val="111111"/>
                <w:sz w:val="19"/>
              </w:rPr>
              <w:t>The Patient S.M. payoff line</w:t>
            </w:r>
          </w:p>
        </w:tc>
        <w:tc>
          <w:tcPr>
            <w:tcW w:type="dxa" w:w="3744"/>
          </w:tcPr>
          <w:p>
            <w:pPr>
              <w:spacing w:after="40"/>
            </w:pPr>
            <w:r>
              <w:rPr>
                <w:rFonts w:ascii="Calibri" w:hAnsi="Calibri"/>
                <w:b w:val="0"/>
                <w:i w:val="0"/>
                <w:color w:val="111111"/>
                <w:sz w:val="19"/>
              </w:rPr>
              <w:t>Sits on a high-severity must-correct</w:t>
            </w:r>
          </w:p>
        </w:tc>
      </w:tr>
      <w:tr>
        <w:tc>
          <w:tcPr>
            <w:tcW w:type="dxa" w:w="576"/>
          </w:tcPr>
          <w:p>
            <w:pPr>
              <w:spacing w:after="40"/>
            </w:pPr>
            <w:r>
              <w:rPr>
                <w:rFonts w:ascii="Calibri" w:hAnsi="Calibri"/>
                <w:b w:val="0"/>
                <w:i w:val="0"/>
                <w:color w:val="111111"/>
                <w:sz w:val="19"/>
              </w:rPr>
              <w:t>7</w:t>
            </w:r>
          </w:p>
        </w:tc>
        <w:tc>
          <w:tcPr>
            <w:tcW w:type="dxa" w:w="5040"/>
          </w:tcPr>
          <w:p>
            <w:pPr>
              <w:spacing w:after="40"/>
            </w:pPr>
            <w:r>
              <w:rPr>
                <w:rFonts w:ascii="Calibri" w:hAnsi="Calibri"/>
                <w:b w:val="0"/>
                <w:i w:val="0"/>
                <w:color w:val="111111"/>
                <w:sz w:val="19"/>
              </w:rPr>
              <w:t>Seven prunes, 184 words</w:t>
            </w:r>
          </w:p>
        </w:tc>
        <w:tc>
          <w:tcPr>
            <w:tcW w:type="dxa" w:w="3744"/>
          </w:tcPr>
          <w:p>
            <w:pPr>
              <w:spacing w:after="40"/>
            </w:pPr>
            <w:r>
              <w:rPr>
                <w:rFonts w:ascii="Calibri" w:hAnsi="Calibri"/>
                <w:b w:val="0"/>
                <w:i w:val="0"/>
                <w:color w:val="111111"/>
                <w:sz w:val="19"/>
              </w:rPr>
              <w:t>Every prune is yours</w:t>
            </w:r>
          </w:p>
        </w:tc>
      </w:tr>
      <w:tr>
        <w:tc>
          <w:tcPr>
            <w:tcW w:type="dxa" w:w="576"/>
          </w:tcPr>
          <w:p>
            <w:pPr>
              <w:spacing w:after="40"/>
            </w:pPr>
            <w:r>
              <w:rPr>
                <w:rFonts w:ascii="Calibri" w:hAnsi="Calibri"/>
                <w:b w:val="0"/>
                <w:i w:val="0"/>
                <w:color w:val="111111"/>
                <w:sz w:val="19"/>
              </w:rPr>
              <w:t>8</w:t>
            </w:r>
          </w:p>
        </w:tc>
        <w:tc>
          <w:tcPr>
            <w:tcW w:type="dxa" w:w="5040"/>
          </w:tcPr>
          <w:p>
            <w:pPr>
              <w:spacing w:after="40"/>
            </w:pPr>
            <w:r>
              <w:rPr>
                <w:rFonts w:ascii="Calibri" w:hAnsi="Calibri"/>
                <w:b w:val="0"/>
                <w:i w:val="0"/>
                <w:color w:val="111111"/>
                <w:sz w:val="19"/>
              </w:rPr>
              <w:t>Cognitive light cone must-preserve conflict</w:t>
            </w:r>
          </w:p>
        </w:tc>
        <w:tc>
          <w:tcPr>
            <w:tcW w:type="dxa" w:w="3744"/>
          </w:tcPr>
          <w:p>
            <w:pPr>
              <w:spacing w:after="40"/>
            </w:pPr>
            <w:r>
              <w:rPr>
                <w:rFonts w:ascii="Calibri" w:hAnsi="Calibri"/>
                <w:b w:val="0"/>
                <w:i w:val="0"/>
                <w:color w:val="111111"/>
                <w:sz w:val="19"/>
              </w:rPr>
              <w:t>Must-preserve, plus a spine amendment</w:t>
            </w:r>
          </w:p>
        </w:tc>
      </w:tr>
      <w:tr>
        <w:tc>
          <w:tcPr>
            <w:tcW w:type="dxa" w:w="576"/>
          </w:tcPr>
          <w:p>
            <w:pPr>
              <w:spacing w:after="40"/>
            </w:pPr>
            <w:r>
              <w:rPr>
                <w:rFonts w:ascii="Calibri" w:hAnsi="Calibri"/>
                <w:b w:val="0"/>
                <w:i w:val="0"/>
                <w:color w:val="111111"/>
                <w:sz w:val="19"/>
              </w:rPr>
              <w:t>9</w:t>
            </w:r>
          </w:p>
        </w:tc>
        <w:tc>
          <w:tcPr>
            <w:tcW w:type="dxa" w:w="5040"/>
          </w:tcPr>
          <w:p>
            <w:pPr>
              <w:spacing w:after="40"/>
            </w:pPr>
            <w:r>
              <w:rPr>
                <w:rFonts w:ascii="Calibri" w:hAnsi="Calibri"/>
                <w:b w:val="0"/>
                <w:i w:val="0"/>
                <w:color w:val="111111"/>
                <w:sz w:val="19"/>
              </w:rPr>
              <w:t>Net +136 words against a protocol rule</w:t>
            </w:r>
          </w:p>
        </w:tc>
        <w:tc>
          <w:tcPr>
            <w:tcW w:type="dxa" w:w="3744"/>
          </w:tcPr>
          <w:p>
            <w:pPr>
              <w:spacing w:after="40"/>
            </w:pPr>
            <w:r>
              <w:rPr>
                <w:rFonts w:ascii="Calibri" w:hAnsi="Calibri"/>
                <w:b w:val="0"/>
                <w:i w:val="0"/>
                <w:color w:val="111111"/>
                <w:sz w:val="19"/>
              </w:rPr>
              <w:t>Scope</w:t>
            </w:r>
          </w:p>
        </w:tc>
      </w:tr>
    </w:tbl>
    <w:p>
      <w:pPr>
        <w:spacing w:after="80"/>
      </w:pPr>
    </w:p>
    <w:p>
      <w:pPr>
        <w:pStyle w:val="Heading1"/>
        <w:spacing w:before="280" w:after="80"/>
      </w:pPr>
      <w:r>
        <w:rPr>
          <w:rFonts w:ascii="Calibri" w:hAnsi="Calibri"/>
          <w:color w:val="0B2545"/>
          <w:sz w:val="32"/>
        </w:rPr>
        <w:t>Why this chapter needs seeds — and why the reason is not Chapter 11's</w:t>
      </w:r>
    </w:p>
    <w:p>
      <w:pPr>
        <w:spacing w:before="0" w:after="120"/>
      </w:pPr>
      <w:r>
        <w:rPr>
          <w:rFonts w:ascii="Calibri" w:hAnsi="Calibri"/>
          <w:b w:val="0"/>
          <w:i w:val="0"/>
          <w:color w:val="111111"/>
          <w:sz w:val="21"/>
        </w:rPr>
        <w:t>Chapter 11 was a construct inventory: four Layer 3 threads scored zero in a chapter the spine assigns them to. Chapter 12 is not that. Its threads are present and mostly well taught.</w:t>
      </w:r>
    </w:p>
    <w:p>
      <w:pPr>
        <w:pStyle w:val="Heading2"/>
        <w:spacing w:before="280" w:after="80"/>
      </w:pPr>
      <w:r>
        <w:rPr>
          <w:rFonts w:ascii="Calibri" w:hAnsi="Calibri"/>
          <w:color w:val="0B2545"/>
          <w:sz w:val="26"/>
        </w:rPr>
        <w:t>Thread-count diagnostic</w:t>
      </w:r>
    </w:p>
    <w:tbl>
      <w:tblPr>
        <w:tblW w:type="auto" w:w="0"/>
        <w:jc w:val="center"/>
        <w:tblLayout w:type="fixed"/>
        <w:tblLook w:firstColumn="1" w:firstRow="1" w:lastColumn="0" w:lastRow="0" w:noHBand="0" w:noVBand="1" w:val="04A0"/>
        <w:tblBorders>
          <w:top w:val="single" w:sz="6" w:color="BBBBBB"/>
          <w:left w:val="single" w:sz="6" w:color="BBBBBB"/>
          <w:bottom w:val="single" w:sz="6" w:color="BBBBBB"/>
          <w:right w:val="single" w:sz="6" w:color="BBBBBB"/>
          <w:insideH w:val="single" w:sz="6" w:color="BBBBBB"/>
          <w:insideV w:val="single" w:sz="6" w:color="BBBBBB"/>
        </w:tblBorders>
        <w:tblLayout w:type="fixed"/>
      </w:tblPr>
      <w:tblGrid>
        <w:gridCol w:w="4176"/>
        <w:gridCol w:w="1296"/>
        <w:gridCol w:w="3888"/>
      </w:tblGrid>
      <w:tr>
        <w:trPr>
          <w:tblHeader/>
        </w:trPr>
        <w:tc>
          <w:tcPr>
            <w:tcW w:type="dxa" w:w="4176"/>
            <w:shd w:val="clear" w:color="auto" w:fill="E4E9EF"/>
          </w:tcPr>
          <w:p>
            <w:pPr>
              <w:spacing w:after="40"/>
            </w:pPr>
            <w:r>
              <w:rPr>
                <w:rFonts w:ascii="Calibri" w:hAnsi="Calibri"/>
                <w:b/>
                <w:i w:val="0"/>
                <w:color w:val="0B2545"/>
                <w:sz w:val="19"/>
              </w:rPr>
              <w:t>Layer 3 thread</w:t>
            </w:r>
          </w:p>
        </w:tc>
        <w:tc>
          <w:tcPr>
            <w:tcW w:type="dxa" w:w="1296"/>
            <w:shd w:val="clear" w:color="auto" w:fill="E4E9EF"/>
          </w:tcPr>
          <w:p>
            <w:pPr>
              <w:spacing w:after="40"/>
            </w:pPr>
            <w:r>
              <w:rPr>
                <w:rFonts w:ascii="Calibri" w:hAnsi="Calibri"/>
                <w:b/>
                <w:i w:val="0"/>
                <w:color w:val="0B2545"/>
                <w:sz w:val="19"/>
              </w:rPr>
              <w:t>Count</w:t>
            </w:r>
          </w:p>
        </w:tc>
        <w:tc>
          <w:tcPr>
            <w:tcW w:type="dxa" w:w="3888"/>
            <w:shd w:val="clear" w:color="auto" w:fill="E4E9EF"/>
          </w:tcPr>
          <w:p>
            <w:pPr>
              <w:spacing w:after="40"/>
            </w:pPr>
            <w:r>
              <w:rPr>
                <w:rFonts w:ascii="Calibri" w:hAnsi="Calibri"/>
                <w:b/>
                <w:i w:val="0"/>
                <w:color w:val="0B2545"/>
                <w:sz w:val="19"/>
              </w:rPr>
              <w:t>Status</w:t>
            </w:r>
          </w:p>
        </w:tc>
      </w:tr>
      <w:tr>
        <w:tc>
          <w:tcPr>
            <w:tcW w:type="dxa" w:w="4176"/>
          </w:tcPr>
          <w:p>
            <w:pPr>
              <w:spacing w:after="40"/>
            </w:pPr>
            <w:r>
              <w:rPr>
                <w:rFonts w:ascii="Calibri" w:hAnsi="Calibri"/>
                <w:b w:val="0"/>
                <w:i w:val="0"/>
                <w:color w:val="111111"/>
                <w:sz w:val="19"/>
              </w:rPr>
              <w:t>allostatic load / allostasis</w:t>
            </w:r>
          </w:p>
        </w:tc>
        <w:tc>
          <w:tcPr>
            <w:tcW w:type="dxa" w:w="1296"/>
          </w:tcPr>
          <w:p>
            <w:pPr>
              <w:spacing w:after="40"/>
            </w:pPr>
            <w:r>
              <w:rPr>
                <w:rFonts w:ascii="Calibri" w:hAnsi="Calibri"/>
                <w:b w:val="0"/>
                <w:i w:val="0"/>
                <w:color w:val="111111"/>
                <w:sz w:val="19"/>
              </w:rPr>
              <w:t>13 / 13</w:t>
            </w:r>
          </w:p>
        </w:tc>
        <w:tc>
          <w:tcPr>
            <w:tcW w:type="dxa" w:w="3888"/>
          </w:tcPr>
          <w:p>
            <w:pPr>
              <w:spacing w:after="40"/>
            </w:pPr>
            <w:r>
              <w:rPr>
                <w:rFonts w:ascii="Calibri" w:hAnsi="Calibri"/>
                <w:b w:val="0"/>
                <w:i w:val="0"/>
                <w:color w:val="111111"/>
                <w:sz w:val="19"/>
              </w:rPr>
              <w:t>present, well taught</w:t>
            </w:r>
          </w:p>
        </w:tc>
      </w:tr>
      <w:tr>
        <w:tc>
          <w:tcPr>
            <w:tcW w:type="dxa" w:w="4176"/>
          </w:tcPr>
          <w:p>
            <w:pPr>
              <w:spacing w:after="40"/>
            </w:pPr>
            <w:r>
              <w:rPr>
                <w:rFonts w:ascii="Calibri" w:hAnsi="Calibri"/>
                <w:b w:val="0"/>
                <w:i w:val="0"/>
                <w:color w:val="111111"/>
                <w:sz w:val="19"/>
              </w:rPr>
              <w:t>appraisal</w:t>
            </w:r>
          </w:p>
        </w:tc>
        <w:tc>
          <w:tcPr>
            <w:tcW w:type="dxa" w:w="1296"/>
          </w:tcPr>
          <w:p>
            <w:pPr>
              <w:spacing w:after="40"/>
            </w:pPr>
            <w:r>
              <w:rPr>
                <w:rFonts w:ascii="Calibri" w:hAnsi="Calibri"/>
                <w:b w:val="0"/>
                <w:i w:val="0"/>
                <w:color w:val="111111"/>
                <w:sz w:val="19"/>
              </w:rPr>
              <w:t>18</w:t>
            </w:r>
          </w:p>
        </w:tc>
        <w:tc>
          <w:tcPr>
            <w:tcW w:type="dxa" w:w="3888"/>
          </w:tcPr>
          <w:p>
            <w:pPr>
              <w:spacing w:after="40"/>
            </w:pPr>
            <w:r>
              <w:rPr>
                <w:rFonts w:ascii="Calibri" w:hAnsi="Calibri"/>
                <w:b w:val="0"/>
                <w:i w:val="0"/>
                <w:color w:val="111111"/>
                <w:sz w:val="19"/>
              </w:rPr>
              <w:t>present, well taught</w:t>
            </w:r>
          </w:p>
        </w:tc>
      </w:tr>
      <w:tr>
        <w:tc>
          <w:tcPr>
            <w:tcW w:type="dxa" w:w="4176"/>
          </w:tcPr>
          <w:p>
            <w:pPr>
              <w:spacing w:after="40"/>
            </w:pPr>
            <w:r>
              <w:rPr>
                <w:rFonts w:ascii="Calibri" w:hAnsi="Calibri"/>
                <w:b w:val="0"/>
                <w:i w:val="0"/>
                <w:color w:val="111111"/>
                <w:sz w:val="19"/>
              </w:rPr>
              <w:t>core affect</w:t>
            </w:r>
          </w:p>
        </w:tc>
        <w:tc>
          <w:tcPr>
            <w:tcW w:type="dxa" w:w="1296"/>
          </w:tcPr>
          <w:p>
            <w:pPr>
              <w:spacing w:after="40"/>
            </w:pPr>
            <w:r>
              <w:rPr>
                <w:rFonts w:ascii="Calibri" w:hAnsi="Calibri"/>
                <w:b w:val="0"/>
                <w:i w:val="0"/>
                <w:color w:val="111111"/>
                <w:sz w:val="19"/>
              </w:rPr>
              <w:t>13</w:t>
            </w:r>
          </w:p>
        </w:tc>
        <w:tc>
          <w:tcPr>
            <w:tcW w:type="dxa" w:w="3888"/>
          </w:tcPr>
          <w:p>
            <w:pPr>
              <w:spacing w:after="40"/>
            </w:pPr>
            <w:r>
              <w:rPr>
                <w:rFonts w:ascii="Calibri" w:hAnsi="Calibri"/>
                <w:b w:val="0"/>
                <w:i w:val="0"/>
                <w:color w:val="111111"/>
                <w:sz w:val="19"/>
              </w:rPr>
              <w:t>present, well taught</w:t>
            </w:r>
          </w:p>
        </w:tc>
      </w:tr>
      <w:tr>
        <w:tc>
          <w:tcPr>
            <w:tcW w:type="dxa" w:w="4176"/>
          </w:tcPr>
          <w:p>
            <w:pPr>
              <w:spacing w:after="40"/>
            </w:pPr>
            <w:r>
              <w:rPr>
                <w:rFonts w:ascii="Calibri" w:hAnsi="Calibri"/>
                <w:b w:val="0"/>
                <w:i w:val="0"/>
                <w:color w:val="111111"/>
                <w:sz w:val="19"/>
              </w:rPr>
              <w:t>amygdala / Patient S.M.</w:t>
            </w:r>
          </w:p>
        </w:tc>
        <w:tc>
          <w:tcPr>
            <w:tcW w:type="dxa" w:w="1296"/>
          </w:tcPr>
          <w:p>
            <w:pPr>
              <w:spacing w:after="40"/>
            </w:pPr>
            <w:r>
              <w:rPr>
                <w:rFonts w:ascii="Calibri" w:hAnsi="Calibri"/>
                <w:b w:val="0"/>
                <w:i w:val="0"/>
                <w:color w:val="111111"/>
                <w:sz w:val="19"/>
              </w:rPr>
              <w:t>13 / 6</w:t>
            </w:r>
          </w:p>
        </w:tc>
        <w:tc>
          <w:tcPr>
            <w:tcW w:type="dxa" w:w="3888"/>
          </w:tcPr>
          <w:p>
            <w:pPr>
              <w:spacing w:after="40"/>
            </w:pPr>
            <w:r>
              <w:rPr>
                <w:rFonts w:ascii="Calibri" w:hAnsi="Calibri"/>
                <w:b w:val="0"/>
                <w:i w:val="0"/>
                <w:color w:val="111111"/>
                <w:sz w:val="19"/>
              </w:rPr>
              <w:t>present; CO2 boundary installed</w:t>
            </w:r>
          </w:p>
        </w:tc>
      </w:tr>
      <w:tr>
        <w:tc>
          <w:tcPr>
            <w:tcW w:type="dxa" w:w="4176"/>
          </w:tcPr>
          <w:p>
            <w:pPr>
              <w:spacing w:after="40"/>
            </w:pPr>
            <w:r>
              <w:rPr>
                <w:rFonts w:ascii="Calibri" w:hAnsi="Calibri"/>
                <w:b w:val="0"/>
                <w:i w:val="0"/>
                <w:color w:val="111111"/>
                <w:sz w:val="19"/>
              </w:rPr>
              <w:t>Barrett / constructionism</w:t>
            </w:r>
          </w:p>
        </w:tc>
        <w:tc>
          <w:tcPr>
            <w:tcW w:type="dxa" w:w="1296"/>
          </w:tcPr>
          <w:p>
            <w:pPr>
              <w:spacing w:after="40"/>
            </w:pPr>
            <w:r>
              <w:rPr>
                <w:rFonts w:ascii="Calibri" w:hAnsi="Calibri"/>
                <w:b w:val="0"/>
                <w:i w:val="0"/>
                <w:color w:val="111111"/>
                <w:sz w:val="19"/>
              </w:rPr>
              <w:t>6</w:t>
            </w:r>
          </w:p>
        </w:tc>
        <w:tc>
          <w:tcPr>
            <w:tcW w:type="dxa" w:w="3888"/>
          </w:tcPr>
          <w:p>
            <w:pPr>
              <w:spacing w:after="40"/>
            </w:pPr>
            <w:r>
              <w:rPr>
                <w:rFonts w:ascii="Calibri" w:hAnsi="Calibri"/>
                <w:b w:val="0"/>
                <w:i w:val="0"/>
                <w:color w:val="111111"/>
                <w:sz w:val="19"/>
              </w:rPr>
              <w:t>present; named once as chosen lens</w:t>
            </w:r>
          </w:p>
        </w:tc>
      </w:tr>
      <w:tr>
        <w:tc>
          <w:tcPr>
            <w:tcW w:type="dxa" w:w="4176"/>
          </w:tcPr>
          <w:p>
            <w:pPr>
              <w:spacing w:after="40"/>
            </w:pPr>
            <w:r>
              <w:rPr>
                <w:rFonts w:ascii="Calibri" w:hAnsi="Calibri"/>
                <w:b w:val="0"/>
                <w:i w:val="0"/>
                <w:color w:val="111111"/>
                <w:sz w:val="19"/>
              </w:rPr>
              <w:t>cognitive light cone</w:t>
            </w:r>
          </w:p>
        </w:tc>
        <w:tc>
          <w:tcPr>
            <w:tcW w:type="dxa" w:w="1296"/>
          </w:tcPr>
          <w:p>
            <w:pPr>
              <w:spacing w:after="40"/>
            </w:pPr>
            <w:r>
              <w:rPr>
                <w:rFonts w:ascii="Calibri" w:hAnsi="Calibri"/>
                <w:b w:val="0"/>
                <w:i w:val="0"/>
                <w:color w:val="111111"/>
                <w:sz w:val="19"/>
              </w:rPr>
              <w:t>5</w:t>
            </w:r>
          </w:p>
        </w:tc>
        <w:tc>
          <w:tcPr>
            <w:tcW w:type="dxa" w:w="3888"/>
          </w:tcPr>
          <w:p>
            <w:pPr>
              <w:spacing w:after="40"/>
            </w:pPr>
            <w:r>
              <w:rPr>
                <w:rFonts w:ascii="Calibri" w:hAnsi="Calibri"/>
                <w:b w:val="0"/>
                <w:i w:val="0"/>
                <w:color w:val="111111"/>
                <w:sz w:val="19"/>
              </w:rPr>
              <w:t>present; now attributed to Levin (2019)</w:t>
            </w:r>
          </w:p>
        </w:tc>
      </w:tr>
      <w:tr>
        <w:tc>
          <w:tcPr>
            <w:tcW w:type="dxa" w:w="4176"/>
          </w:tcPr>
          <w:p>
            <w:pPr>
              <w:spacing w:after="40"/>
            </w:pPr>
            <w:r>
              <w:rPr>
                <w:rFonts w:ascii="Calibri" w:hAnsi="Calibri"/>
                <w:b w:val="0"/>
                <w:i w:val="0"/>
                <w:color w:val="111111"/>
                <w:sz w:val="19"/>
              </w:rPr>
              <w:t>hedonic adaptation</w:t>
            </w:r>
          </w:p>
        </w:tc>
        <w:tc>
          <w:tcPr>
            <w:tcW w:type="dxa" w:w="1296"/>
          </w:tcPr>
          <w:p>
            <w:pPr>
              <w:spacing w:after="40"/>
            </w:pPr>
            <w:r>
              <w:rPr>
                <w:rFonts w:ascii="Calibri" w:hAnsi="Calibri"/>
                <w:b w:val="0"/>
                <w:i w:val="0"/>
                <w:color w:val="111111"/>
                <w:sz w:val="19"/>
              </w:rPr>
              <w:t>4</w:t>
            </w:r>
          </w:p>
        </w:tc>
        <w:tc>
          <w:tcPr>
            <w:tcW w:type="dxa" w:w="3888"/>
          </w:tcPr>
          <w:p>
            <w:pPr>
              <w:spacing w:after="40"/>
            </w:pPr>
            <w:r>
              <w:rPr>
                <w:rFonts w:ascii="Calibri" w:hAnsi="Calibri"/>
                <w:b w:val="0"/>
                <w:i w:val="0"/>
                <w:color w:val="111111"/>
                <w:sz w:val="19"/>
              </w:rPr>
              <w:t>present; descriptive only, correctly</w:t>
            </w:r>
          </w:p>
        </w:tc>
      </w:tr>
      <w:tr>
        <w:tc>
          <w:tcPr>
            <w:tcW w:type="dxa" w:w="4176"/>
          </w:tcPr>
          <w:p>
            <w:pPr>
              <w:spacing w:after="40"/>
            </w:pPr>
            <w:r>
              <w:rPr>
                <w:rFonts w:ascii="Calibri" w:hAnsi="Calibri"/>
                <w:b/>
                <w:i w:val="0"/>
                <w:color w:val="111111"/>
                <w:sz w:val="19"/>
              </w:rPr>
              <w:t>action-readiness / action tendency</w:t>
            </w:r>
          </w:p>
        </w:tc>
        <w:tc>
          <w:tcPr>
            <w:tcW w:type="dxa" w:w="1296"/>
          </w:tcPr>
          <w:p>
            <w:pPr>
              <w:spacing w:after="40"/>
            </w:pPr>
            <w:r>
              <w:rPr>
                <w:rFonts w:ascii="Calibri" w:hAnsi="Calibri"/>
                <w:b/>
                <w:i w:val="0"/>
                <w:color w:val="111111"/>
                <w:sz w:val="19"/>
              </w:rPr>
              <w:t>1 / 2</w:t>
            </w:r>
          </w:p>
        </w:tc>
        <w:tc>
          <w:tcPr>
            <w:tcW w:type="dxa" w:w="3888"/>
          </w:tcPr>
          <w:p>
            <w:pPr>
              <w:spacing w:after="40"/>
            </w:pPr>
            <w:r>
              <w:rPr>
                <w:rFonts w:ascii="Calibri" w:hAnsi="Calibri"/>
                <w:b/>
                <w:i w:val="0"/>
                <w:color w:val="111111"/>
                <w:sz w:val="19"/>
              </w:rPr>
              <w:t>table cell and review answer only</w:t>
            </w:r>
          </w:p>
        </w:tc>
      </w:tr>
      <w:tr>
        <w:tc>
          <w:tcPr>
            <w:tcW w:type="dxa" w:w="4176"/>
          </w:tcPr>
          <w:p>
            <w:pPr>
              <w:spacing w:after="40"/>
            </w:pPr>
            <w:r>
              <w:rPr>
                <w:rFonts w:ascii="Calibri" w:hAnsi="Calibri"/>
                <w:b/>
                <w:i w:val="0"/>
                <w:color w:val="111111"/>
                <w:sz w:val="19"/>
              </w:rPr>
              <w:t>mattering</w:t>
            </w:r>
          </w:p>
        </w:tc>
        <w:tc>
          <w:tcPr>
            <w:tcW w:type="dxa" w:w="1296"/>
          </w:tcPr>
          <w:p>
            <w:pPr>
              <w:spacing w:after="40"/>
            </w:pPr>
            <w:r>
              <w:rPr>
                <w:rFonts w:ascii="Calibri" w:hAnsi="Calibri"/>
                <w:b/>
                <w:i w:val="0"/>
                <w:color w:val="111111"/>
                <w:sz w:val="19"/>
              </w:rPr>
              <w:t>1</w:t>
            </w:r>
          </w:p>
        </w:tc>
        <w:tc>
          <w:tcPr>
            <w:tcW w:type="dxa" w:w="3888"/>
          </w:tcPr>
          <w:p>
            <w:pPr>
              <w:spacing w:after="40"/>
            </w:pPr>
            <w:r>
              <w:rPr>
                <w:rFonts w:ascii="Calibri" w:hAnsi="Calibri"/>
                <w:b/>
                <w:i w:val="0"/>
                <w:color w:val="111111"/>
                <w:sz w:val="19"/>
              </w:rPr>
              <w:t>appears only inside a disclaimer</w:t>
            </w:r>
          </w:p>
        </w:tc>
      </w:tr>
      <w:tr>
        <w:tc>
          <w:tcPr>
            <w:tcW w:type="dxa" w:w="4176"/>
          </w:tcPr>
          <w:p>
            <w:pPr>
              <w:spacing w:after="40"/>
            </w:pPr>
            <w:r>
              <w:rPr>
                <w:rFonts w:ascii="Calibri" w:hAnsi="Calibri"/>
                <w:b/>
                <w:i w:val="0"/>
                <w:color w:val="111111"/>
                <w:sz w:val="19"/>
              </w:rPr>
              <w:t>compression / lossy</w:t>
            </w:r>
          </w:p>
        </w:tc>
        <w:tc>
          <w:tcPr>
            <w:tcW w:type="dxa" w:w="1296"/>
          </w:tcPr>
          <w:p>
            <w:pPr>
              <w:spacing w:after="40"/>
            </w:pPr>
            <w:r>
              <w:rPr>
                <w:rFonts w:ascii="Calibri" w:hAnsi="Calibri"/>
                <w:b/>
                <w:i w:val="0"/>
                <w:color w:val="111111"/>
                <w:sz w:val="19"/>
              </w:rPr>
              <w:t>0</w:t>
            </w:r>
          </w:p>
        </w:tc>
        <w:tc>
          <w:tcPr>
            <w:tcW w:type="dxa" w:w="3888"/>
          </w:tcPr>
          <w:p>
            <w:pPr>
              <w:spacing w:after="40"/>
            </w:pPr>
            <w:r>
              <w:rPr>
                <w:rFonts w:ascii="Calibri" w:hAnsi="Calibri"/>
                <w:b/>
                <w:i w:val="0"/>
                <w:color w:val="111111"/>
                <w:sz w:val="19"/>
              </w:rPr>
              <w:t>spine's central lens; section 7 wants it everywhere</w:t>
            </w:r>
          </w:p>
        </w:tc>
      </w:tr>
      <w:tr>
        <w:tc>
          <w:tcPr>
            <w:tcW w:type="dxa" w:w="4176"/>
          </w:tcPr>
          <w:p>
            <w:pPr>
              <w:spacing w:after="40"/>
            </w:pPr>
            <w:r>
              <w:rPr>
                <w:rFonts w:ascii="Calibri" w:hAnsi="Calibri"/>
                <w:b/>
                <w:i w:val="0"/>
                <w:color w:val="111111"/>
                <w:sz w:val="19"/>
              </w:rPr>
              <w:t>belonging</w:t>
            </w:r>
          </w:p>
        </w:tc>
        <w:tc>
          <w:tcPr>
            <w:tcW w:type="dxa" w:w="1296"/>
          </w:tcPr>
          <w:p>
            <w:pPr>
              <w:spacing w:after="40"/>
            </w:pPr>
            <w:r>
              <w:rPr>
                <w:rFonts w:ascii="Calibri" w:hAnsi="Calibri"/>
                <w:b/>
                <w:i w:val="0"/>
                <w:color w:val="111111"/>
                <w:sz w:val="19"/>
              </w:rPr>
              <w:t>0</w:t>
            </w:r>
          </w:p>
        </w:tc>
        <w:tc>
          <w:tcPr>
            <w:tcW w:type="dxa" w:w="3888"/>
          </w:tcPr>
          <w:p>
            <w:pPr>
              <w:spacing w:after="40"/>
            </w:pPr>
            <w:r>
              <w:rPr>
                <w:rFonts w:ascii="Calibri" w:hAnsi="Calibri"/>
                <w:b/>
                <w:i w:val="0"/>
                <w:color w:val="111111"/>
                <w:sz w:val="19"/>
              </w:rPr>
              <w:t>the Chapter 11 thread this chapter reconnects</w:t>
            </w:r>
          </w:p>
        </w:tc>
      </w:tr>
      <w:tr>
        <w:tc>
          <w:tcPr>
            <w:tcW w:type="dxa" w:w="4176"/>
          </w:tcPr>
          <w:p>
            <w:pPr>
              <w:spacing w:after="40"/>
            </w:pPr>
            <w:r>
              <w:rPr>
                <w:rFonts w:ascii="Calibri" w:hAnsi="Calibri"/>
                <w:b/>
                <w:i w:val="0"/>
                <w:color w:val="111111"/>
                <w:sz w:val="19"/>
              </w:rPr>
              <w:t>calibration</w:t>
            </w:r>
          </w:p>
        </w:tc>
        <w:tc>
          <w:tcPr>
            <w:tcW w:type="dxa" w:w="1296"/>
          </w:tcPr>
          <w:p>
            <w:pPr>
              <w:spacing w:after="40"/>
            </w:pPr>
            <w:r>
              <w:rPr>
                <w:rFonts w:ascii="Calibri" w:hAnsi="Calibri"/>
                <w:b/>
                <w:i w:val="0"/>
                <w:color w:val="111111"/>
                <w:sz w:val="19"/>
              </w:rPr>
              <w:t>0</w:t>
            </w:r>
          </w:p>
        </w:tc>
        <w:tc>
          <w:tcPr>
            <w:tcW w:type="dxa" w:w="3888"/>
          </w:tcPr>
          <w:p>
            <w:pPr>
              <w:spacing w:after="40"/>
            </w:pPr>
            <w:r>
              <w:rPr>
                <w:rFonts w:ascii="Calibri" w:hAnsi="Calibri"/>
                <w:b w:val="0"/>
                <w:i w:val="0"/>
                <w:color w:val="111111"/>
                <w:sz w:val="19"/>
              </w:rPr>
            </w:r>
          </w:p>
        </w:tc>
      </w:tr>
      <w:tr>
        <w:tc>
          <w:tcPr>
            <w:tcW w:type="dxa" w:w="4176"/>
          </w:tcPr>
          <w:p>
            <w:pPr>
              <w:spacing w:after="40"/>
            </w:pPr>
            <w:r>
              <w:rPr>
                <w:rFonts w:ascii="Calibri" w:hAnsi="Calibri"/>
                <w:b/>
                <w:i w:val="0"/>
                <w:color w:val="111111"/>
                <w:sz w:val="19"/>
              </w:rPr>
              <w:t>social baseline / Coan</w:t>
            </w:r>
          </w:p>
        </w:tc>
        <w:tc>
          <w:tcPr>
            <w:tcW w:type="dxa" w:w="1296"/>
          </w:tcPr>
          <w:p>
            <w:pPr>
              <w:spacing w:after="40"/>
            </w:pPr>
            <w:r>
              <w:rPr>
                <w:rFonts w:ascii="Calibri" w:hAnsi="Calibri"/>
                <w:b/>
                <w:i w:val="0"/>
                <w:color w:val="111111"/>
                <w:sz w:val="19"/>
              </w:rPr>
              <w:t>0</w:t>
            </w:r>
          </w:p>
        </w:tc>
        <w:tc>
          <w:tcPr>
            <w:tcW w:type="dxa" w:w="3888"/>
          </w:tcPr>
          <w:p>
            <w:pPr>
              <w:spacing w:after="40"/>
            </w:pPr>
            <w:r>
              <w:rPr>
                <w:rFonts w:ascii="Calibri" w:hAnsi="Calibri"/>
                <w:b/>
                <w:i w:val="0"/>
                <w:color w:val="111111"/>
                <w:sz w:val="19"/>
              </w:rPr>
              <w:t>expected; promoted 2026-07-25</w:t>
            </w:r>
          </w:p>
        </w:tc>
      </w:tr>
      <w:tr>
        <w:tc>
          <w:tcPr>
            <w:tcW w:type="dxa" w:w="4176"/>
          </w:tcPr>
          <w:p>
            <w:pPr>
              <w:spacing w:after="40"/>
            </w:pPr>
            <w:r>
              <w:rPr>
                <w:rFonts w:ascii="Calibri" w:hAnsi="Calibri"/>
                <w:b w:val="0"/>
                <w:i w:val="0"/>
                <w:color w:val="111111"/>
                <w:sz w:val="19"/>
              </w:rPr>
              <w:t>dopamine</w:t>
            </w:r>
          </w:p>
        </w:tc>
        <w:tc>
          <w:tcPr>
            <w:tcW w:type="dxa" w:w="1296"/>
          </w:tcPr>
          <w:p>
            <w:pPr>
              <w:spacing w:after="40"/>
            </w:pPr>
            <w:r>
              <w:rPr>
                <w:rFonts w:ascii="Calibri" w:hAnsi="Calibri"/>
                <w:b w:val="0"/>
                <w:i w:val="0"/>
                <w:color w:val="111111"/>
                <w:sz w:val="19"/>
              </w:rPr>
              <w:t>0</w:t>
            </w:r>
          </w:p>
        </w:tc>
        <w:tc>
          <w:tcPr>
            <w:tcW w:type="dxa" w:w="3888"/>
          </w:tcPr>
          <w:p>
            <w:pPr>
              <w:spacing w:after="40"/>
            </w:pPr>
            <w:r>
              <w:rPr>
                <w:rFonts w:ascii="Calibri" w:hAnsi="Calibri"/>
                <w:b w:val="0"/>
                <w:i w:val="0"/>
                <w:color w:val="111111"/>
                <w:sz w:val="19"/>
              </w:rPr>
              <w:t>correctly absent — see Finding 3</w:t>
            </w:r>
          </w:p>
        </w:tc>
      </w:tr>
    </w:tbl>
    <w:p>
      <w:pPr>
        <w:spacing w:after="80"/>
      </w:pPr>
    </w:p>
    <w:p>
      <w:pPr>
        <w:pStyle w:val="Heading2"/>
        <w:spacing w:before="280" w:after="80"/>
      </w:pPr>
      <w:r>
        <w:rPr>
          <w:rFonts w:ascii="Calibri" w:hAnsi="Calibri"/>
          <w:color w:val="0B2545"/>
          <w:sz w:val="26"/>
        </w:rPr>
        <w:t>The finding: the payoff stopped arriving</w:t>
      </w:r>
    </w:p>
    <w:p>
      <w:pPr>
        <w:spacing w:before="0" w:after="120"/>
      </w:pPr>
      <w:r>
        <w:rPr>
          <w:rFonts w:ascii="Calibri" w:hAnsi="Calibri"/>
          <w:b w:val="0"/>
          <w:i w:val="0"/>
          <w:color w:val="111111"/>
          <w:sz w:val="21"/>
        </w:rPr>
        <w:t xml:space="preserve">The repair pass ran the day after the audit and cut the chapter from 11,050 words to 6,120. Body prose fell from about 6,198 to </w:t>
      </w:r>
      <w:r>
        <w:rPr>
          <w:rFonts w:ascii="Calibri" w:hAnsi="Calibri"/>
          <w:b/>
          <w:i w:val="0"/>
          <w:color w:val="111111"/>
          <w:sz w:val="21"/>
        </w:rPr>
        <w:t>3,653</w:t>
      </w:r>
      <w:r>
        <w:rPr>
          <w:rFonts w:ascii="Calibri" w:hAnsi="Calibri"/>
          <w:b w:val="0"/>
          <w:i w:val="0"/>
          <w:color w:val="111111"/>
          <w:sz w:val="21"/>
        </w:rPr>
        <w:t xml:space="preserve"> — the low end of the 3,500 to 5,000 target, not over it. What survived is disproportionately boundary prose.</w:t>
      </w:r>
    </w:p>
    <w:p>
      <w:pPr>
        <w:spacing w:before="0" w:after="120"/>
      </w:pPr>
      <w:r>
        <w:rPr>
          <w:rFonts w:ascii="Calibri" w:hAnsi="Calibri"/>
          <w:b w:val="0"/>
          <w:i w:val="0"/>
          <w:color w:val="111111"/>
          <w:sz w:val="21"/>
        </w:rPr>
        <w:t xml:space="preserve">Forty per cent of body paragraphs now end on a negation, against 25 per cent for Chapter 11 and 22 per cent for Chapter 8. </w:t>
      </w:r>
      <w:r>
        <w:rPr>
          <w:rFonts w:ascii="Calibri" w:hAnsi="Calibri"/>
          <w:b/>
          <w:i w:val="0"/>
          <w:color w:val="111111"/>
          <w:sz w:val="21"/>
        </w:rPr>
        <w:t>That proxy overstates the problem by about half and should not be quoted as it stands.</w:t>
      </w:r>
      <w:r>
        <w:rPr>
          <w:rFonts w:ascii="Calibri" w:hAnsi="Calibri"/>
          <w:b w:val="0"/>
          <w:i w:val="0"/>
          <w:color w:val="111111"/>
          <w:sz w:val="21"/>
        </w:rPr>
        <w:t xml:space="preserve"> Hand-checking, six of eleven flagged paragraphs are correctly calibrated, because in this chapter a negation is often the teaching content. “Core affect is not a specific emotion” is the concept, not a hedge on it. “It is not a single fear button” arrives after a positive claim and is a good line. Five are genuine failures, and they fail identically: the paragraph never states its conclusion.</w:t>
      </w:r>
    </w:p>
    <w:tbl>
      <w:tblPr>
        <w:tblW w:type="auto" w:w="0"/>
        <w:jc w:val="center"/>
        <w:tblLayout w:type="fixed"/>
        <w:tblLook w:firstColumn="1" w:firstRow="1" w:lastColumn="0" w:lastRow="0" w:noHBand="0" w:noVBand="1" w:val="04A0"/>
        <w:tblBorders>
          <w:top w:val="single" w:sz="6" w:color="BBBBBB"/>
          <w:left w:val="single" w:sz="6" w:color="BBBBBB"/>
          <w:bottom w:val="single" w:sz="6" w:color="BBBBBB"/>
          <w:right w:val="single" w:sz="6" w:color="BBBBBB"/>
          <w:insideH w:val="single" w:sz="6" w:color="BBBBBB"/>
          <w:insideV w:val="single" w:sz="6" w:color="BBBBBB"/>
        </w:tblBorders>
        <w:tblLayout w:type="fixed"/>
      </w:tblPr>
      <w:tblGrid>
        <w:gridCol w:w="792"/>
        <w:gridCol w:w="2304"/>
        <w:gridCol w:w="6263"/>
      </w:tblGrid>
      <w:tr>
        <w:trPr>
          <w:tblHeader/>
        </w:trPr>
        <w:tc>
          <w:tcPr>
            <w:tcW w:type="dxa" w:w="792"/>
            <w:shd w:val="clear" w:color="auto" w:fill="E4E9EF"/>
          </w:tcPr>
          <w:p>
            <w:pPr>
              <w:spacing w:after="40"/>
            </w:pPr>
            <w:r>
              <w:rPr>
                <w:rFonts w:ascii="Calibri" w:hAnsi="Calibri"/>
                <w:b/>
                <w:i w:val="0"/>
                <w:color w:val="0B2545"/>
                <w:sz w:val="19"/>
              </w:rPr>
              <w:t>Line</w:t>
            </w:r>
          </w:p>
        </w:tc>
        <w:tc>
          <w:tcPr>
            <w:tcW w:type="dxa" w:w="2304"/>
            <w:shd w:val="clear" w:color="auto" w:fill="E4E9EF"/>
          </w:tcPr>
          <w:p>
            <w:pPr>
              <w:spacing w:after="40"/>
            </w:pPr>
            <w:r>
              <w:rPr>
                <w:rFonts w:ascii="Calibri" w:hAnsi="Calibri"/>
                <w:b/>
                <w:i w:val="0"/>
                <w:color w:val="0B2545"/>
                <w:sz w:val="19"/>
              </w:rPr>
              <w:t>Paragraph</w:t>
            </w:r>
          </w:p>
        </w:tc>
        <w:tc>
          <w:tcPr>
            <w:tcW w:type="dxa" w:w="6264"/>
            <w:shd w:val="clear" w:color="auto" w:fill="E4E9EF"/>
          </w:tcPr>
          <w:p>
            <w:pPr>
              <w:spacing w:after="40"/>
            </w:pPr>
            <w:r>
              <w:rPr>
                <w:rFonts w:ascii="Calibri" w:hAnsi="Calibri"/>
                <w:b/>
                <w:i w:val="0"/>
                <w:color w:val="0B2545"/>
                <w:sz w:val="19"/>
              </w:rPr>
              <w:t>How it fails</w:t>
            </w:r>
          </w:p>
        </w:tc>
      </w:tr>
      <w:tr>
        <w:tc>
          <w:tcPr>
            <w:tcW w:type="dxa" w:w="792"/>
          </w:tcPr>
          <w:p>
            <w:pPr>
              <w:spacing w:after="40"/>
            </w:pPr>
            <w:r>
              <w:rPr>
                <w:rFonts w:ascii="Calibri" w:hAnsi="Calibri"/>
                <w:b w:val="0"/>
                <w:i w:val="0"/>
                <w:color w:val="111111"/>
                <w:sz w:val="19"/>
              </w:rPr>
              <w:t>L55</w:t>
            </w:r>
          </w:p>
        </w:tc>
        <w:tc>
          <w:tcPr>
            <w:tcW w:type="dxa" w:w="2304"/>
          </w:tcPr>
          <w:p>
            <w:pPr>
              <w:spacing w:after="40"/>
            </w:pPr>
            <w:r>
              <w:rPr>
                <w:rFonts w:ascii="Calibri" w:hAnsi="Calibri"/>
                <w:b w:val="0"/>
                <w:i w:val="0"/>
                <w:color w:val="111111"/>
                <w:sz w:val="19"/>
              </w:rPr>
              <w:t>body budget</w:t>
            </w:r>
          </w:p>
        </w:tc>
        <w:tc>
          <w:tcPr>
            <w:tcW w:type="dxa" w:w="6264"/>
          </w:tcPr>
          <w:p>
            <w:pPr>
              <w:spacing w:after="40"/>
            </w:pPr>
            <w:r>
              <w:rPr>
                <w:rFonts w:ascii="Calibri" w:hAnsi="Calibri"/>
                <w:b w:val="0"/>
                <w:i w:val="0"/>
                <w:color w:val="111111"/>
                <w:sz w:val="19"/>
              </w:rPr>
              <w:t>Four sentences, three about what the metaphor is not. A student learns the tank is not real, four times, and never learns what the metaphor is for.</w:t>
            </w:r>
          </w:p>
        </w:tc>
      </w:tr>
      <w:tr>
        <w:tc>
          <w:tcPr>
            <w:tcW w:type="dxa" w:w="792"/>
          </w:tcPr>
          <w:p>
            <w:pPr>
              <w:spacing w:after="40"/>
            </w:pPr>
            <w:r>
              <w:rPr>
                <w:rFonts w:ascii="Calibri" w:hAnsi="Calibri"/>
                <w:b w:val="0"/>
                <w:i w:val="0"/>
                <w:color w:val="111111"/>
                <w:sz w:val="19"/>
              </w:rPr>
              <w:t>L76</w:t>
            </w:r>
          </w:p>
        </w:tc>
        <w:tc>
          <w:tcPr>
            <w:tcW w:type="dxa" w:w="2304"/>
          </w:tcPr>
          <w:p>
            <w:pPr>
              <w:spacing w:after="40"/>
            </w:pPr>
            <w:r>
              <w:rPr>
                <w:rFonts w:ascii="Calibri" w:hAnsi="Calibri"/>
                <w:b w:val="0"/>
                <w:i w:val="0"/>
                <w:color w:val="111111"/>
                <w:sz w:val="19"/>
              </w:rPr>
              <w:t>sleep, hunger, isolation</w:t>
            </w:r>
          </w:p>
        </w:tc>
        <w:tc>
          <w:tcPr>
            <w:tcW w:type="dxa" w:w="6264"/>
          </w:tcPr>
          <w:p>
            <w:pPr>
              <w:spacing w:after="40"/>
            </w:pPr>
            <w:r>
              <w:rPr>
                <w:rFonts w:ascii="Calibri" w:hAnsi="Calibri"/>
                <w:b w:val="0"/>
                <w:i w:val="0"/>
                <w:color w:val="111111"/>
                <w:sz w:val="19"/>
              </w:rPr>
              <w:t>Hedged before the claim lands, then a study, then closes on not turning fatigue into a diagnosis.</w:t>
            </w:r>
          </w:p>
        </w:tc>
      </w:tr>
      <w:tr>
        <w:tc>
          <w:tcPr>
            <w:tcW w:type="dxa" w:w="792"/>
          </w:tcPr>
          <w:p>
            <w:pPr>
              <w:spacing w:after="40"/>
            </w:pPr>
            <w:r>
              <w:rPr>
                <w:rFonts w:ascii="Calibri" w:hAnsi="Calibri"/>
                <w:b w:val="0"/>
                <w:i w:val="0"/>
                <w:color w:val="111111"/>
                <w:sz w:val="19"/>
              </w:rPr>
              <w:t>L88</w:t>
            </w:r>
          </w:p>
        </w:tc>
        <w:tc>
          <w:tcPr>
            <w:tcW w:type="dxa" w:w="2304"/>
          </w:tcPr>
          <w:p>
            <w:pPr>
              <w:spacing w:after="40"/>
            </w:pPr>
            <w:r>
              <w:rPr>
                <w:rFonts w:ascii="Calibri" w:hAnsi="Calibri"/>
                <w:b w:val="0"/>
                <w:i w:val="0"/>
                <w:color w:val="111111"/>
                <w:sz w:val="19"/>
              </w:rPr>
              <w:t>constructionism boundary</w:t>
            </w:r>
          </w:p>
        </w:tc>
        <w:tc>
          <w:tcPr>
            <w:tcW w:type="dxa" w:w="6264"/>
          </w:tcPr>
          <w:p>
            <w:pPr>
              <w:spacing w:after="40"/>
            </w:pPr>
            <w:r>
              <w:rPr>
                <w:rFonts w:ascii="Calibri" w:hAnsi="Calibri"/>
                <w:b w:val="0"/>
                <w:i w:val="0"/>
                <w:color w:val="111111"/>
                <w:sz w:val="19"/>
              </w:rPr>
              <w:t>Entirely meta — about the chapter's epistemics, not about emotion — and ends by announcing it will not repeat itself.</w:t>
            </w:r>
          </w:p>
        </w:tc>
      </w:tr>
      <w:tr>
        <w:tc>
          <w:tcPr>
            <w:tcW w:type="dxa" w:w="792"/>
          </w:tcPr>
          <w:p>
            <w:pPr>
              <w:spacing w:after="40"/>
            </w:pPr>
            <w:r>
              <w:rPr>
                <w:rFonts w:ascii="Calibri" w:hAnsi="Calibri"/>
                <w:b w:val="0"/>
                <w:i w:val="0"/>
                <w:color w:val="111111"/>
                <w:sz w:val="19"/>
              </w:rPr>
              <w:t>L121</w:t>
            </w:r>
          </w:p>
        </w:tc>
        <w:tc>
          <w:tcPr>
            <w:tcW w:type="dxa" w:w="2304"/>
          </w:tcPr>
          <w:p>
            <w:pPr>
              <w:spacing w:after="40"/>
            </w:pPr>
            <w:r>
              <w:rPr>
                <w:rFonts w:ascii="Calibri" w:hAnsi="Calibri"/>
                <w:b w:val="0"/>
                <w:i w:val="0"/>
                <w:color w:val="111111"/>
                <w:sz w:val="19"/>
              </w:rPr>
              <w:t>journaling, friendship, therapy</w:t>
            </w:r>
          </w:p>
        </w:tc>
        <w:tc>
          <w:tcPr>
            <w:tcW w:type="dxa" w:w="6264"/>
          </w:tcPr>
          <w:p>
            <w:pPr>
              <w:spacing w:after="40"/>
            </w:pPr>
            <w:r>
              <w:rPr>
                <w:rFonts w:ascii="Calibri" w:hAnsi="Calibri"/>
                <w:b w:val="0"/>
                <w:i w:val="0"/>
                <w:color w:val="111111"/>
                <w:sz w:val="19"/>
              </w:rPr>
              <w:t>Two sentences, both negative. Never says what those things do.</w:t>
            </w:r>
          </w:p>
        </w:tc>
      </w:tr>
      <w:tr>
        <w:tc>
          <w:tcPr>
            <w:tcW w:type="dxa" w:w="792"/>
          </w:tcPr>
          <w:p>
            <w:pPr>
              <w:spacing w:after="40"/>
            </w:pPr>
            <w:r>
              <w:rPr>
                <w:rFonts w:ascii="Calibri" w:hAnsi="Calibri"/>
                <w:b w:val="0"/>
                <w:i w:val="0"/>
                <w:color w:val="111111"/>
                <w:sz w:val="19"/>
              </w:rPr>
              <w:t>L177</w:t>
            </w:r>
          </w:p>
        </w:tc>
        <w:tc>
          <w:tcPr>
            <w:tcW w:type="dxa" w:w="2304"/>
          </w:tcPr>
          <w:p>
            <w:pPr>
              <w:spacing w:after="40"/>
            </w:pPr>
            <w:r>
              <w:rPr>
                <w:rFonts w:ascii="Calibri" w:hAnsi="Calibri"/>
                <w:b w:val="0"/>
                <w:i w:val="0"/>
                <w:color w:val="111111"/>
                <w:sz w:val="19"/>
              </w:rPr>
              <w:t>oxytocin and Heinrichs</w:t>
            </w:r>
          </w:p>
        </w:tc>
        <w:tc>
          <w:tcPr>
            <w:tcW w:type="dxa" w:w="6264"/>
          </w:tcPr>
          <w:p>
            <w:pPr>
              <w:spacing w:after="40"/>
            </w:pPr>
            <w:r>
              <w:rPr>
                <w:rFonts w:ascii="Calibri" w:hAnsi="Calibri"/>
                <w:b w:val="0"/>
                <w:i w:val="0"/>
                <w:color w:val="111111"/>
                <w:sz w:val="19"/>
              </w:rPr>
              <w:t>Ends by dismantling its own evidence. Section 4 then says social support helps, with no mechanism.</w:t>
            </w:r>
          </w:p>
        </w:tc>
      </w:tr>
    </w:tbl>
    <w:p>
      <w:pPr>
        <w:spacing w:after="80"/>
      </w:pPr>
    </w:p>
    <w:p>
      <w:pPr>
        <w:spacing w:before="0" w:after="120"/>
      </w:pPr>
      <w:r>
        <w:rPr>
          <w:rFonts w:ascii="Calibri" w:hAnsi="Calibri"/>
          <w:b w:val="0"/>
          <w:i w:val="0"/>
          <w:color w:val="111111"/>
          <w:sz w:val="21"/>
        </w:rPr>
        <w:t>Two of these violate the AGENTS style rule against epistemological throat-clearing close to verbatim, ending on what a study does not establish.</w:t>
      </w:r>
    </w:p>
    <w:p>
      <w:pPr>
        <w:pStyle w:val="Heading2"/>
        <w:spacing w:before="280" w:after="80"/>
      </w:pPr>
      <w:r>
        <w:rPr>
          <w:rFonts w:ascii="Calibri" w:hAnsi="Calibri"/>
          <w:color w:val="0B2545"/>
          <w:sz w:val="26"/>
        </w:rPr>
        <w:t>Root cause — it changes the fix</w:t>
      </w:r>
    </w:p>
    <w:p>
      <w:pPr>
        <w:spacing w:before="0" w:after="120"/>
      </w:pPr>
      <w:r>
        <w:rPr>
          <w:rFonts w:ascii="Calibri" w:hAnsi="Calibri"/>
          <w:b w:val="0"/>
          <w:i w:val="0"/>
          <w:color w:val="111111"/>
          <w:sz w:val="21"/>
        </w:rPr>
        <w:t xml:space="preserve">The audit's own revision constraints say: </w:t>
      </w:r>
      <w:r>
        <w:rPr>
          <w:rFonts w:ascii="Calibri" w:hAnsi="Calibri"/>
          <w:b w:val="0"/>
          <w:i/>
          <w:color w:val="111111"/>
          <w:sz w:val="21"/>
        </w:rPr>
        <w:t>do not remove body budget or the cognitive light cone without replacing their teaching functions.</w:t>
      </w:r>
      <w:r>
        <w:rPr>
          <w:rFonts w:ascii="Calibri" w:hAnsi="Calibri"/>
          <w:b w:val="0"/>
          <w:i w:val="0"/>
          <w:color w:val="111111"/>
          <w:sz w:val="21"/>
        </w:rPr>
        <w:t xml:space="preserve"> The repair pass correctly removed three overclaims — the body-budget mechanism claim, social support predicting mortality, and the post-finals explanation — and replaced none of their teaching functions.</w:t>
      </w:r>
    </w:p>
    <w:p>
      <w:pPr>
        <w:spacing w:before="0" w:after="120"/>
      </w:pPr>
      <w:r>
        <w:rPr>
          <w:rFonts w:ascii="Calibri" w:hAnsi="Calibri"/>
          <w:b/>
          <w:i w:val="0"/>
          <w:color w:val="111111"/>
          <w:sz w:val="21"/>
        </w:rPr>
        <w:t>So the fix is drafting payoffs, not deleting caveats.</w:t>
      </w:r>
      <w:r>
        <w:rPr>
          <w:rFonts w:ascii="Calibri" w:hAnsi="Calibri"/>
          <w:b w:val="0"/>
          <w:i w:val="0"/>
          <w:color w:val="111111"/>
          <w:sz w:val="21"/>
        </w:rPr>
        <w:t xml:space="preserve"> That is why this packet has no register section: the work rides inside the payoff-line field the protocol already specifies. Recorded as a general rule in AGENTS, under Audits are diagnostic, not authoritative.</w:t>
      </w:r>
    </w:p>
    <w:p>
      <w:pPr>
        <w:pStyle w:val="Heading1"/>
        <w:spacing w:before="280" w:after="80"/>
      </w:pPr>
      <w:r>
        <w:rPr>
          <w:rFonts w:ascii="Calibri" w:hAnsi="Calibri"/>
          <w:color w:val="0B2545"/>
          <w:sz w:val="32"/>
        </w:rPr>
        <w:t>Findings that are not seeds</w:t>
      </w:r>
    </w:p>
    <w:tbl>
      <w:tblPr>
        <w:tblW w:type="auto" w:w="0"/>
        <w:jc w:val="center"/>
        <w:tblLayout w:type="fixed"/>
        <w:tblLook w:firstColumn="1" w:firstRow="1" w:lastColumn="0" w:lastRow="0" w:noHBand="0" w:noVBand="1" w:val="04A0"/>
        <w:tblBorders>
          <w:top w:val="single" w:sz="6" w:color="BBBBBB"/>
          <w:left w:val="single" w:sz="6" w:color="BBBBBB"/>
          <w:bottom w:val="single" w:sz="6" w:color="BBBBBB"/>
          <w:right w:val="single" w:sz="6" w:color="BBBBBB"/>
          <w:insideH w:val="single" w:sz="6" w:color="BBBBBB"/>
          <w:insideV w:val="single" w:sz="6" w:color="BBBBBB"/>
        </w:tblBorders>
        <w:tblLayout w:type="fixed"/>
      </w:tblPr>
      <w:tblGrid>
        <w:gridCol w:w="9360"/>
      </w:tblGrid>
      <w:tr>
        <w:tc>
          <w:tcPr>
            <w:tcW w:type="dxa" w:w="9360"/>
            <w:shd w:val="clear" w:color="auto" w:fill="EDF4EC"/>
          </w:tcPr>
          <w:p>
            <w:pPr>
              <w:spacing w:after="60"/>
            </w:pPr>
            <w:r>
              <w:rPr>
                <w:rFonts w:ascii="Calibri" w:hAnsi="Calibri"/>
                <w:b/>
                <w:i w:val="0"/>
                <w:color w:val="0B2545"/>
                <w:sz w:val="20"/>
              </w:rPr>
              <w:t>FINDING 1 — the social baseline anchor was the wrong study, and the search found better</w:t>
            </w:r>
          </w:p>
          <w:p>
            <w:pPr>
              <w:spacing w:after="60"/>
            </w:pPr>
            <w:r>
              <w:rPr>
                <w:rFonts w:ascii="Calibri" w:hAnsi="Calibri"/>
                <w:b w:val="0"/>
                <w:i w:val="0"/>
                <w:color w:val="111111"/>
                <w:sz w:val="20"/>
              </w:rPr>
              <w:t>The spine names Coan, Schaefer and Davidson (2006) as the anchor. It is 16 married women, almost all white, highly satisfied, one city. Introducing it would land three paragraphs after this chapter tells students a 37-person oxytocin experiment does not establish a general mechanism — the Chapter 11 Asch inconsistency in reverse.</w:t>
            </w:r>
          </w:p>
          <w:p>
            <w:pPr>
              <w:spacing w:after="60"/>
            </w:pPr>
            <w:r>
              <w:rPr>
                <w:rFonts w:ascii="Calibri" w:hAnsi="Calibri"/>
                <w:b/>
                <w:i w:val="0"/>
                <w:color w:val="111111"/>
                <w:sz w:val="20"/>
              </w:rPr>
              <w:t>Selected instead: Hostinar, Sullivan and Gunnar (2014), Psychological Bulletin 140(1), 256–282.</w:t>
            </w:r>
            <w:r>
              <w:rPr>
                <w:rFonts w:ascii="Calibri" w:hAnsi="Calibri"/>
                <w:b w:val="0"/>
                <w:i w:val="0"/>
                <w:color w:val="111111"/>
                <w:sz w:val="20"/>
              </w:rPr>
              <w:t xml:space="preserve"> A translational review of social buffering of the HPA axis across animal models and human studies, infancy to adulthood. Review-level rather than one small study; HPA, which Section 3 already teaches and Chapter 3 introduced; developmental, so it is the bridge this chapter already promises; and it names oxytocin systems as a putative mediator, which turns the orphaned Heinrichs paragraph from a debunk into a small study bounded by a review.</w:t>
            </w:r>
          </w:p>
          <w:p>
            <w:pPr>
              <w:spacing w:after="60"/>
            </w:pPr>
            <w:r>
              <w:rPr>
                <w:rFonts w:ascii="Calibri" w:hAnsi="Calibri"/>
                <w:b w:val="0"/>
                <w:i w:val="0"/>
                <w:color w:val="111111"/>
                <w:sz w:val="20"/>
              </w:rPr>
              <w:t>Available if you would rather have an effect size than a review: Thorsteinsson and James (1999), 22 studies, 56 effect sizes, N=1,167, reduced reactivity across heart rate, both blood pressures, and cortisol. Strongest causal warrant here; no mechanism story, so it makes the claim true without making it memorable.</w:t>
            </w:r>
          </w:p>
          <w:p>
            <w:pPr>
              <w:spacing w:after="60"/>
            </w:pPr>
            <w:r>
              <w:rPr>
                <w:rFonts w:ascii="Calibri" w:hAnsi="Calibri"/>
                <w:b w:val="0"/>
                <w:i w:val="0"/>
                <w:color w:val="111111"/>
                <w:sz w:val="20"/>
              </w:rPr>
              <w:t>Rejected: Coan et al. (2017) fMRI, n=110 — best findings for this audience, but adds an imaging paradigm to a chapter already carrying a lesion case and two fMRI claims, in the one section the audit flagged for thin citation. Beckes and Sbarra (2022) — the authors' own framing is that evidence is mounting, which tells you the payoff is thin. Hostinar, Johnson and Gunnar (2015) — parental buffering losing potency at mid-puberty is striking for readers who just came through it, but N=40 and 41 and the adolescent result is a null at that size.</w:t>
            </w:r>
          </w:p>
        </w:tc>
      </w:tr>
    </w:tbl>
    <w:p>
      <w:pPr>
        <w:spacing w:after="40"/>
      </w:pPr>
    </w:p>
    <w:tbl>
      <w:tblPr>
        <w:tblW w:type="auto" w:w="0"/>
        <w:jc w:val="center"/>
        <w:tblLayout w:type="fixed"/>
        <w:tblLook w:firstColumn="1" w:firstRow="1" w:lastColumn="0" w:lastRow="0" w:noHBand="0" w:noVBand="1" w:val="04A0"/>
        <w:tblBorders>
          <w:top w:val="single" w:sz="6" w:color="BBBBBB"/>
          <w:left w:val="single" w:sz="6" w:color="BBBBBB"/>
          <w:bottom w:val="single" w:sz="6" w:color="BBBBBB"/>
          <w:right w:val="single" w:sz="6" w:color="BBBBBB"/>
          <w:insideH w:val="single" w:sz="6" w:color="BBBBBB"/>
          <w:insideV w:val="single" w:sz="6" w:color="BBBBBB"/>
        </w:tblBorders>
        <w:tblLayout w:type="fixed"/>
      </w:tblPr>
      <w:tblGrid>
        <w:gridCol w:w="9360"/>
      </w:tblGrid>
      <w:tr>
        <w:tc>
          <w:tcPr>
            <w:tcW w:type="dxa" w:w="9360"/>
            <w:shd w:val="clear" w:color="auto" w:fill="EDF4EC"/>
          </w:tcPr>
          <w:p>
            <w:pPr>
              <w:spacing w:after="60"/>
            </w:pPr>
            <w:r>
              <w:rPr>
                <w:rFonts w:ascii="Calibri" w:hAnsi="Calibri"/>
                <w:b/>
                <w:i w:val="0"/>
                <w:color w:val="0B2545"/>
                <w:sz w:val="20"/>
              </w:rPr>
              <w:t>FINDING 2 — the chapter promises this material twice and cannot keep the promise</w:t>
            </w:r>
          </w:p>
          <w:p>
            <w:pPr>
              <w:spacing w:after="60"/>
            </w:pPr>
            <w:r>
              <w:rPr>
                <w:rFonts w:ascii="Calibri" w:hAnsi="Calibri"/>
                <w:b w:val="0"/>
                <w:i w:val="0"/>
                <w:color w:val="111111"/>
                <w:sz w:val="20"/>
              </w:rPr>
              <w:t>Where This Fits says Chapter 10 showed how relationships can support regulation across development. The Connections table says the same. Chapter 10 does deliver a version, in your voice:</w:t>
            </w:r>
          </w:p>
          <w:p>
            <w:pPr>
              <w:spacing w:after="60"/>
            </w:pPr>
            <w:r>
              <w:rPr>
                <w:rFonts w:ascii="Calibri" w:hAnsi="Calibri"/>
                <w:b w:val="0"/>
                <w:i/>
                <w:color w:val="111111"/>
                <w:sz w:val="20"/>
              </w:rPr>
              <w:t>For a while, the caregiver's regulated body is the infant's regulation system, borrowed from the outside. Over months and years, the child internalizes capacities that were first shared.</w:t>
            </w:r>
          </w:p>
          <w:p>
            <w:pPr>
              <w:spacing w:after="60"/>
            </w:pPr>
            <w:r>
              <w:rPr>
                <w:rFonts w:ascii="Calibri" w:hAnsi="Calibri"/>
                <w:b w:val="0"/>
                <w:i w:val="0"/>
                <w:color w:val="111111"/>
                <w:sz w:val="20"/>
              </w:rPr>
              <w:t>That sentence is social baseline theory, for infants. The gap is not a missing thread. It is a missing continuation — which makes this a repair, not an addition.</w:t>
            </w:r>
          </w:p>
        </w:tc>
      </w:tr>
    </w:tbl>
    <w:p>
      <w:pPr>
        <w:spacing w:after="40"/>
      </w:pPr>
    </w:p>
    <w:tbl>
      <w:tblPr>
        <w:tblW w:type="auto" w:w="0"/>
        <w:jc w:val="center"/>
        <w:tblLayout w:type="fixed"/>
        <w:tblLook w:firstColumn="1" w:firstRow="1" w:lastColumn="0" w:lastRow="0" w:noHBand="0" w:noVBand="1" w:val="04A0"/>
        <w:tblBorders>
          <w:top w:val="single" w:sz="6" w:color="BBBBBB"/>
          <w:left w:val="single" w:sz="6" w:color="BBBBBB"/>
          <w:bottom w:val="single" w:sz="6" w:color="BBBBBB"/>
          <w:right w:val="single" w:sz="6" w:color="BBBBBB"/>
          <w:insideH w:val="single" w:sz="6" w:color="BBBBBB"/>
          <w:insideV w:val="single" w:sz="6" w:color="BBBBBB"/>
        </w:tblBorders>
        <w:tblLayout w:type="fixed"/>
      </w:tblPr>
      <w:tblGrid>
        <w:gridCol w:w="9360"/>
      </w:tblGrid>
      <w:tr>
        <w:tc>
          <w:tcPr>
            <w:tcW w:type="dxa" w:w="9360"/>
            <w:shd w:val="clear" w:color="auto" w:fill="E8EEF4"/>
          </w:tcPr>
          <w:p>
            <w:pPr>
              <w:spacing w:after="60"/>
            </w:pPr>
            <w:r>
              <w:rPr>
                <w:rFonts w:ascii="Calibri" w:hAnsi="Calibri"/>
                <w:b/>
                <w:i w:val="0"/>
                <w:color w:val="0B2545"/>
                <w:sz w:val="20"/>
              </w:rPr>
              <w:t>FINDING 3 — the spine's own Chapter 12 note overclaims relative to its own drafting rules</w:t>
            </w:r>
          </w:p>
          <w:p>
            <w:pPr>
              <w:spacing w:after="60"/>
            </w:pPr>
            <w:r>
              <w:rPr>
                <w:rFonts w:ascii="Calibri" w:hAnsi="Calibri"/>
                <w:b w:val="0"/>
                <w:i w:val="0"/>
                <w:color w:val="111111"/>
                <w:sz w:val="20"/>
              </w:rPr>
              <w:t>The hedonic-treadmill note prescribes the dopamine anticipation mechanism. The spine's section 7 forbids generalizing dopamine reward-prediction error to other emotional systems, and the audit lists that exact mechanism under must-correct. The chapter chose section 7 and is right. The spine note needs amending, not the chapter. Not routed as a decision because it changes nothing here — flagged so it is not re-proposed next pass.</w:t>
            </w:r>
          </w:p>
        </w:tc>
      </w:tr>
    </w:tbl>
    <w:p>
      <w:pPr>
        <w:spacing w:after="40"/>
      </w:pPr>
    </w:p>
    <w:tbl>
      <w:tblPr>
        <w:tblW w:type="auto" w:w="0"/>
        <w:jc w:val="center"/>
        <w:tblLayout w:type="fixed"/>
        <w:tblLook w:firstColumn="1" w:firstRow="1" w:lastColumn="0" w:lastRow="0" w:noHBand="0" w:noVBand="1" w:val="04A0"/>
        <w:tblBorders>
          <w:top w:val="single" w:sz="6" w:color="BBBBBB"/>
          <w:left w:val="single" w:sz="6" w:color="BBBBBB"/>
          <w:bottom w:val="single" w:sz="6" w:color="BBBBBB"/>
          <w:right w:val="single" w:sz="6" w:color="BBBBBB"/>
          <w:insideH w:val="single" w:sz="6" w:color="BBBBBB"/>
          <w:insideV w:val="single" w:sz="6" w:color="BBBBBB"/>
        </w:tblBorders>
        <w:tblLayout w:type="fixed"/>
      </w:tblPr>
      <w:tblGrid>
        <w:gridCol w:w="9360"/>
      </w:tblGrid>
      <w:tr>
        <w:tc>
          <w:tcPr>
            <w:tcW w:type="dxa" w:w="9360"/>
            <w:shd w:val="clear" w:color="auto" w:fill="E8EEF4"/>
          </w:tcPr>
          <w:p>
            <w:pPr>
              <w:spacing w:after="60"/>
            </w:pPr>
            <w:r>
              <w:rPr>
                <w:rFonts w:ascii="Calibri" w:hAnsi="Calibri"/>
                <w:b/>
                <w:i w:val="0"/>
                <w:color w:val="0B2545"/>
                <w:sz w:val="20"/>
              </w:rPr>
              <w:t>FINDING 4 — Grupe and Nitschke verifies, and should still be declined</w:t>
            </w:r>
          </w:p>
          <w:p>
            <w:pPr>
              <w:spacing w:after="60"/>
            </w:pPr>
            <w:r>
              <w:rPr>
                <w:rFonts w:ascii="Calibri" w:hAnsi="Calibri"/>
                <w:b w:val="0"/>
                <w:i w:val="0"/>
                <w:color w:val="111111"/>
                <w:sz w:val="20"/>
              </w:rPr>
              <w:t>The spine flags it verify before citing. It verifies: Grupe and Nitschke (2013), Nature Reviews Neuroscience 14, 488–501, real and well cited. But it is about pathological anxiety, so using it here imports the diagnostic frame the audit's Chapter 13 bridge explicitly bars. Recommend closing the flag by declining it in Chapter 12 and noting it as a Chapter 13 candidate. A check that cleared the citation and failed the use.</w:t>
            </w:r>
          </w:p>
        </w:tc>
      </w:tr>
    </w:tbl>
    <w:p>
      <w:pPr>
        <w:spacing w:after="40"/>
      </w:pPr>
    </w:p>
    <w:tbl>
      <w:tblPr>
        <w:tblW w:type="auto" w:w="0"/>
        <w:jc w:val="center"/>
        <w:tblLayout w:type="fixed"/>
        <w:tblLook w:firstColumn="1" w:firstRow="1" w:lastColumn="0" w:lastRow="0" w:noHBand="0" w:noVBand="1" w:val="04A0"/>
        <w:tblBorders>
          <w:top w:val="single" w:sz="6" w:color="BBBBBB"/>
          <w:left w:val="single" w:sz="6" w:color="BBBBBB"/>
          <w:bottom w:val="single" w:sz="6" w:color="BBBBBB"/>
          <w:right w:val="single" w:sz="6" w:color="BBBBBB"/>
          <w:insideH w:val="single" w:sz="6" w:color="BBBBBB"/>
          <w:insideV w:val="single" w:sz="6" w:color="BBBBBB"/>
        </w:tblBorders>
        <w:tblLayout w:type="fixed"/>
      </w:tblPr>
      <w:tblGrid>
        <w:gridCol w:w="9360"/>
      </w:tblGrid>
      <w:tr>
        <w:tc>
          <w:tcPr>
            <w:tcW w:type="dxa" w:w="9360"/>
            <w:shd w:val="clear" w:color="auto" w:fill="EDF4EC"/>
          </w:tcPr>
          <w:p>
            <w:pPr>
              <w:spacing w:after="60"/>
            </w:pPr>
            <w:r>
              <w:rPr>
                <w:rFonts w:ascii="Calibri" w:hAnsi="Calibri"/>
                <w:b/>
                <w:i w:val="0"/>
                <w:color w:val="0B2545"/>
                <w:sz w:val="20"/>
              </w:rPr>
              <w:t>FINDING 5 — Levin (2019) is real, which makes two of our documents stale</w:t>
            </w:r>
          </w:p>
          <w:p>
            <w:pPr>
              <w:spacing w:after="60"/>
            </w:pPr>
            <w:r>
              <w:rPr>
                <w:rFonts w:ascii="Calibri" w:hAnsi="Calibri"/>
                <w:b w:val="0"/>
                <w:i w:val="0"/>
                <w:color w:val="111111"/>
                <w:sz w:val="20"/>
              </w:rPr>
              <w:t>Levin defines cognitive light cone as the outer spatial and temporal boundary of the largest goal a system can work toward. So the audit's requirement that the term keep its course-specific label, and the spine's description of it as a course metaphor and not a standard research term, are both overtaken by a correct attribution. See Decision 8.</w:t>
            </w:r>
          </w:p>
        </w:tc>
      </w:tr>
    </w:tbl>
    <w:p>
      <w:pPr>
        <w:spacing w:after="40"/>
      </w:pPr>
    </w:p>
    <w:p>
      <w:pPr>
        <w:pStyle w:val="Heading1"/>
        <w:spacing w:before="280" w:after="80"/>
      </w:pPr>
      <w:r>
        <w:rPr>
          <w:rFonts w:ascii="Calibri" w:hAnsi="Calibri"/>
          <w:color w:val="0B2545"/>
          <w:sz w:val="32"/>
        </w:rPr>
        <w:t>Chapter level</w:t>
      </w:r>
    </w:p>
    <w:p>
      <w:pPr>
        <w:pStyle w:val="Heading2"/>
        <w:spacing w:before="280" w:after="80"/>
      </w:pPr>
      <w:r>
        <w:rPr>
          <w:rFonts w:ascii="Calibri" w:hAnsi="Calibri"/>
          <w:color w:val="0B2545"/>
          <w:sz w:val="26"/>
        </w:rPr>
        <w:t>The spine question</w:t>
      </w:r>
    </w:p>
    <w:p>
      <w:pPr>
        <w:spacing w:before="0" w:after="120"/>
      </w:pPr>
      <w:r>
        <w:rPr>
          <w:rFonts w:ascii="Calibri" w:hAnsi="Calibri"/>
          <w:b w:val="0"/>
          <w:i w:val="0"/>
          <w:color w:val="111111"/>
          <w:sz w:val="21"/>
        </w:rPr>
        <w:t xml:space="preserve">From the spine: </w:t>
      </w:r>
      <w:r>
        <w:rPr>
          <w:rFonts w:ascii="Calibri" w:hAnsi="Calibri"/>
          <w:b/>
          <w:i/>
          <w:color w:val="111111"/>
          <w:sz w:val="21"/>
        </w:rPr>
        <w:t>How does the body decide what matters?</w:t>
      </w:r>
    </w:p>
    <w:p>
      <w:pPr>
        <w:spacing w:before="0" w:after="120"/>
      </w:pPr>
      <w:r>
        <w:rPr>
          <w:rFonts w:ascii="Calibri" w:hAnsi="Calibri"/>
          <w:b w:val="0"/>
          <w:i w:val="0"/>
          <w:color w:val="111111"/>
          <w:sz w:val="21"/>
        </w:rPr>
        <w:t>Unlike Chapter 11's, this one has no abstraction problem — matters is student language and it is the chapter's own thread word. Its weakness is coverage: it frames Sections 1 and 2 cleanly and leaves stress and coping to follow on. Two alternatives keep the claim and add the second clause that earned its keep in Chapter 11:</w:t>
      </w:r>
    </w:p>
    <w:p>
      <w:pPr>
        <w:pStyle w:val="ListBullet"/>
        <w:spacing w:before="0" w:after="60"/>
        <w:ind w:left="720"/>
      </w:pPr>
      <w:r>
        <w:rPr>
          <w:rFonts w:ascii="Calibri" w:hAnsi="Calibri"/>
          <w:b w:val="0"/>
          <w:i/>
          <w:color w:val="111111"/>
          <w:sz w:val="21"/>
        </w:rPr>
        <w:t>How does your body decide what matters — and why won't it always stand down?</w:t>
      </w:r>
    </w:p>
    <w:p>
      <w:pPr>
        <w:pStyle w:val="ListBullet"/>
        <w:spacing w:before="0" w:after="60"/>
        <w:ind w:left="720"/>
      </w:pPr>
      <w:r>
        <w:rPr>
          <w:rFonts w:ascii="Calibri" w:hAnsi="Calibri"/>
          <w:b w:val="0"/>
          <w:i/>
          <w:color w:val="111111"/>
          <w:sz w:val="21"/>
        </w:rPr>
        <w:t>Why does your body react to things that haven't happened yet?</w:t>
      </w:r>
    </w:p>
    <w:tbl>
      <w:tblPr>
        <w:tblW w:type="auto" w:w="0"/>
        <w:jc w:val="center"/>
        <w:tblLayout w:type="fixed"/>
        <w:tblLook w:firstColumn="1" w:firstRow="1" w:lastColumn="0" w:lastRow="0" w:noHBand="0" w:noVBand="1" w:val="04A0"/>
        <w:tblBorders>
          <w:top w:val="single" w:sz="8" w:color="D9A93C"/>
          <w:left w:val="single" w:sz="8" w:color="D9A93C"/>
          <w:bottom w:val="single" w:sz="8" w:color="D9A93C"/>
          <w:right w:val="single" w:sz="8" w:color="D9A93C"/>
          <w:insideH w:val="single" w:sz="8" w:color="D9A93C"/>
          <w:insideV w:val="single" w:sz="8" w:color="D9A93C"/>
        </w:tblBorders>
        <w:tblLayout w:type="fixed"/>
      </w:tblPr>
      <w:tblGrid>
        <w:gridCol w:w="9360"/>
      </w:tblGrid>
      <w:tr>
        <w:trPr>
          <w:cantSplit/>
        </w:trPr>
        <w:tc>
          <w:tcPr>
            <w:tcW w:type="dxa" w:w="9360"/>
            <w:shd w:val="clear" w:color="auto" w:fill="FFF3D6"/>
          </w:tcPr>
          <w:p>
            <w:pPr>
              <w:keepNext/>
              <w:spacing w:after="80"/>
            </w:pPr>
            <w:r>
              <w:rPr>
                <w:rFonts w:ascii="Calibri" w:hAnsi="Calibri"/>
                <w:b/>
                <w:i w:val="0"/>
                <w:color w:val="0B2545"/>
                <w:sz w:val="21"/>
              </w:rPr>
              <w:t>DECISION 1 — Spine question wording</w:t>
            </w:r>
          </w:p>
          <w:p>
            <w:pPr>
              <w:keepNext/>
              <w:spacing w:after="60"/>
            </w:pPr>
            <w:r>
              <w:rPr>
                <w:rFonts w:ascii="Calibri" w:hAnsi="Calibri"/>
                <w:b w:val="0"/>
                <w:i w:val="0"/>
                <w:color w:val="111111"/>
                <w:sz w:val="20"/>
              </w:rPr>
              <w:t>Keep the spine's wording, take one of the alternatives, or write your own.</w:t>
            </w:r>
          </w:p>
          <w:p>
            <w:pPr>
              <w:keepNext/>
              <w:spacing w:after="60"/>
            </w:pPr>
            <w:r>
              <w:rPr>
                <w:rFonts w:ascii="Calibri" w:hAnsi="Calibri"/>
                <w:b w:val="0"/>
                <w:i w:val="0"/>
                <w:color w:val="111111"/>
                <w:sz w:val="20"/>
              </w:rPr>
              <w:t>It lands at the end of the smoke-alarm opener. The audit protects that opener, so the question sharpens its last paragraph rather than replacing it.</w:t>
            </w:r>
          </w:p>
        </w:tc>
      </w:tr>
      <w:tr>
        <w:trPr>
          <w:cantSplit/>
        </w:trPr>
        <w:tc>
          <w:tcPr>
            <w:tcW w:type="dxa" w:w="9360"/>
            <w:shd w:val="clear" w:color="auto" w:fill="FFFFFF"/>
          </w:tcPr>
          <w:p>
            <w:pPr>
              <w:spacing w:after="40"/>
            </w:pPr>
            <w:r>
              <w:rPr>
                <w:rFonts w:ascii="Calibri" w:hAnsi="Calibri"/>
                <w:b/>
                <w:i w:val="0"/>
                <w:color w:val="555555"/>
                <w:sz w:val="18"/>
              </w:rPr>
              <w:t>Your answer:</w:t>
            </w:r>
          </w:p>
          <w:p>
            <w:pPr>
              <w:spacing w:after="200"/>
            </w:pPr>
            <w:r>
              <w:rPr>
                <w:rFonts w:ascii="Calibri" w:hAnsi="Calibri"/>
                <w:b w:val="0"/>
                <w:i w:val="0"/>
                <w:color w:val="111111"/>
                <w:sz w:val="20"/>
              </w:rPr>
            </w:r>
          </w:p>
          <w:p>
            <w:pPr>
              <w:spacing w:after="200"/>
            </w:pPr>
            <w:r>
              <w:rPr>
                <w:rFonts w:ascii="Calibri" w:hAnsi="Calibri"/>
                <w:b w:val="0"/>
                <w:i w:val="0"/>
                <w:color w:val="111111"/>
                <w:sz w:val="20"/>
              </w:rPr>
            </w:r>
          </w:p>
          <w:p>
            <w:pPr>
              <w:spacing w:after="200"/>
            </w:pPr>
            <w:r>
              <w:rPr>
                <w:rFonts w:ascii="Calibri" w:hAnsi="Calibri"/>
                <w:b w:val="0"/>
                <w:i w:val="0"/>
                <w:color w:val="111111"/>
                <w:sz w:val="20"/>
              </w:rPr>
            </w:r>
          </w:p>
        </w:tc>
      </w:tr>
    </w:tbl>
    <w:p>
      <w:pPr>
        <w:spacing w:after="80"/>
      </w:pPr>
    </w:p>
    <w:p>
      <w:pPr>
        <w:pStyle w:val="Heading2"/>
        <w:spacing w:before="280" w:after="80"/>
      </w:pPr>
      <w:r>
        <w:rPr>
          <w:rFonts w:ascii="Calibri" w:hAnsi="Calibri"/>
          <w:color w:val="0B2545"/>
          <w:sz w:val="26"/>
        </w:rPr>
        <w:t>The one-sentence chapter engine</w:t>
      </w:r>
    </w:p>
    <w:p>
      <w:pPr>
        <w:spacing w:before="0" w:after="120"/>
      </w:pPr>
      <w:r>
        <w:rPr>
          <w:rFonts w:ascii="Calibri" w:hAnsi="Calibri"/>
          <w:b w:val="0"/>
          <w:i w:val="0"/>
          <w:color w:val="111111"/>
          <w:sz w:val="21"/>
        </w:rPr>
        <w:t>Every section should be traceable to this. If a passage cannot be, it is catalog.</w:t>
      </w:r>
    </w:p>
    <w:p>
      <w:pPr>
        <w:spacing w:before="0" w:after="120"/>
        <w:ind w:left="432"/>
      </w:pPr>
      <w:r>
        <w:rPr>
          <w:rFonts w:ascii="Calibri" w:hAnsi="Calibri"/>
          <w:b/>
          <w:i/>
          <w:color w:val="111111"/>
          <w:sz w:val="21"/>
        </w:rPr>
        <w:t>Nothing about you gets to wait for certainty. Your body prepares for what matters before you have decided what matters — and what you feel is that preparation.</w:t>
      </w:r>
    </w:p>
    <w:p>
      <w:pPr>
        <w:spacing w:before="0" w:after="120"/>
      </w:pPr>
      <w:r>
        <w:rPr>
          <w:rFonts w:ascii="Calibri" w:hAnsi="Calibri"/>
          <w:b w:val="0"/>
          <w:i w:val="0"/>
          <w:color w:val="111111"/>
          <w:sz w:val="21"/>
        </w:rPr>
        <w:t>It maps all four sections: anticipatory regulation, the same preparation categorized into a specific emotion, preparation that never gets called off, and deciding what to do with it. It also answers the spine question by reframing it — the body decides before you do.</w:t>
      </w:r>
    </w:p>
    <w:tbl>
      <w:tblPr>
        <w:tblW w:type="auto" w:w="0"/>
        <w:jc w:val="center"/>
        <w:tblLayout w:type="fixed"/>
        <w:tblLook w:firstColumn="1" w:firstRow="1" w:lastColumn="0" w:lastRow="0" w:noHBand="0" w:noVBand="1" w:val="04A0"/>
        <w:tblBorders>
          <w:top w:val="single" w:sz="8" w:color="D9A93C"/>
          <w:left w:val="single" w:sz="8" w:color="D9A93C"/>
          <w:bottom w:val="single" w:sz="8" w:color="D9A93C"/>
          <w:right w:val="single" w:sz="8" w:color="D9A93C"/>
          <w:insideH w:val="single" w:sz="8" w:color="D9A93C"/>
          <w:insideV w:val="single" w:sz="8" w:color="D9A93C"/>
        </w:tblBorders>
        <w:tblLayout w:type="fixed"/>
      </w:tblPr>
      <w:tblGrid>
        <w:gridCol w:w="9360"/>
      </w:tblGrid>
      <w:tr>
        <w:trPr>
          <w:cantSplit/>
        </w:trPr>
        <w:tc>
          <w:tcPr>
            <w:tcW w:type="dxa" w:w="9360"/>
            <w:shd w:val="clear" w:color="auto" w:fill="FFF3D6"/>
          </w:tcPr>
          <w:p>
            <w:pPr>
              <w:keepNext/>
              <w:spacing w:after="80"/>
            </w:pPr>
            <w:r>
              <w:rPr>
                <w:rFonts w:ascii="Calibri" w:hAnsi="Calibri"/>
                <w:b/>
                <w:i w:val="0"/>
                <w:color w:val="0B2545"/>
                <w:sz w:val="21"/>
              </w:rPr>
              <w:t>DECISION 2 — Chapter engine sentence</w:t>
            </w:r>
          </w:p>
          <w:p>
            <w:pPr>
              <w:keepNext/>
              <w:spacing w:after="60"/>
            </w:pPr>
            <w:r>
              <w:rPr>
                <w:rFonts w:ascii="Calibri" w:hAnsi="Calibri"/>
                <w:b w:val="0"/>
                <w:i w:val="0"/>
                <w:color w:val="111111"/>
                <w:sz w:val="20"/>
              </w:rPr>
              <w:t>Does this sound like you? Rewrite it if not.</w:t>
            </w:r>
          </w:p>
        </w:tc>
      </w:tr>
      <w:tr>
        <w:trPr>
          <w:cantSplit/>
        </w:trPr>
        <w:tc>
          <w:tcPr>
            <w:tcW w:type="dxa" w:w="9360"/>
            <w:shd w:val="clear" w:color="auto" w:fill="FFFFFF"/>
          </w:tcPr>
          <w:p>
            <w:pPr>
              <w:spacing w:after="40"/>
            </w:pPr>
            <w:r>
              <w:rPr>
                <w:rFonts w:ascii="Calibri" w:hAnsi="Calibri"/>
                <w:b/>
                <w:i w:val="0"/>
                <w:color w:val="555555"/>
                <w:sz w:val="18"/>
              </w:rPr>
              <w:t>Your answer:</w:t>
            </w:r>
          </w:p>
          <w:p>
            <w:pPr>
              <w:spacing w:after="200"/>
            </w:pPr>
            <w:r>
              <w:rPr>
                <w:rFonts w:ascii="Calibri" w:hAnsi="Calibri"/>
                <w:b w:val="0"/>
                <w:i w:val="0"/>
                <w:color w:val="111111"/>
                <w:sz w:val="20"/>
              </w:rPr>
            </w:r>
          </w:p>
          <w:p>
            <w:pPr>
              <w:spacing w:after="200"/>
            </w:pPr>
            <w:r>
              <w:rPr>
                <w:rFonts w:ascii="Calibri" w:hAnsi="Calibri"/>
                <w:b w:val="0"/>
                <w:i w:val="0"/>
                <w:color w:val="111111"/>
                <w:sz w:val="20"/>
              </w:rPr>
            </w:r>
          </w:p>
          <w:p>
            <w:pPr>
              <w:spacing w:after="200"/>
            </w:pPr>
            <w:r>
              <w:rPr>
                <w:rFonts w:ascii="Calibri" w:hAnsi="Calibri"/>
                <w:b w:val="0"/>
                <w:i w:val="0"/>
                <w:color w:val="111111"/>
                <w:sz w:val="20"/>
              </w:rPr>
            </w:r>
          </w:p>
        </w:tc>
      </w:tr>
    </w:tbl>
    <w:p>
      <w:pPr>
        <w:spacing w:after="80"/>
      </w:pPr>
    </w:p>
    <w:p>
      <w:pPr>
        <w:pStyle w:val="Heading1"/>
        <w:spacing w:before="280" w:after="80"/>
      </w:pPr>
      <w:r>
        <w:rPr>
          <w:rFonts w:ascii="Calibri" w:hAnsi="Calibri"/>
          <w:color w:val="0B2545"/>
          <w:sz w:val="32"/>
        </w:rPr>
        <w:t>Section seeds</w:t>
      </w:r>
    </w:p>
    <w:p>
      <w:pPr>
        <w:pStyle w:val="Heading2"/>
        <w:spacing w:before="280" w:after="80"/>
      </w:pPr>
      <w:r>
        <w:rPr>
          <w:rFonts w:ascii="Calibri" w:hAnsi="Calibri"/>
          <w:color w:val="0B2545"/>
          <w:sz w:val="26"/>
        </w:rPr>
        <w:t>Opener — “Emotions happen to you”</w:t>
      </w:r>
    </w:p>
    <w:tbl>
      <w:tblPr>
        <w:tblW w:type="auto" w:w="0"/>
        <w:jc w:val="center"/>
        <w:tblLayout w:type="fixed"/>
        <w:tblLook w:firstColumn="1" w:firstRow="1" w:lastColumn="0" w:lastRow="0" w:noHBand="0" w:noVBand="1" w:val="04A0"/>
        <w:tblBorders>
          <w:top w:val="single" w:sz="6" w:color="CCCCCC"/>
          <w:left w:val="single" w:sz="6" w:color="CCCCCC"/>
          <w:bottom w:val="single" w:sz="6" w:color="CCCCCC"/>
          <w:right w:val="single" w:sz="6" w:color="CCCCCC"/>
          <w:insideH w:val="single" w:sz="6" w:color="CCCCCC"/>
          <w:insideV w:val="single" w:sz="6" w:color="CCCCCC"/>
        </w:tblBorders>
        <w:tblLayout w:type="fixed"/>
      </w:tblPr>
      <w:tblGrid>
        <w:gridCol w:w="1872"/>
        <w:gridCol w:w="7488"/>
      </w:tblGrid>
      <w:tr>
        <w:trPr>
          <w:cantSplit/>
        </w:trPr>
        <w:tc>
          <w:tcPr>
            <w:tcW w:type="dxa" w:w="1872"/>
            <w:shd w:val="clear" w:color="auto" w:fill="F7F7F5"/>
          </w:tcPr>
          <w:p>
            <w:pPr>
              <w:spacing w:after="40"/>
            </w:pPr>
            <w:r>
              <w:rPr>
                <w:rFonts w:ascii="Calibri" w:hAnsi="Calibri"/>
                <w:b/>
                <w:i w:val="0"/>
                <w:color w:val="0B2545"/>
                <w:sz w:val="19"/>
              </w:rPr>
              <w:t>Spine claim</w:t>
            </w:r>
          </w:p>
        </w:tc>
        <w:tc>
          <w:tcPr>
            <w:tcW w:type="dxa" w:w="7488"/>
          </w:tcPr>
          <w:p>
            <w:pPr>
              <w:spacing w:after="40"/>
            </w:pPr>
            <w:r>
              <w:rPr>
                <w:rFonts w:ascii="Calibri" w:hAnsi="Calibri"/>
                <w:b w:val="0"/>
                <w:i w:val="0"/>
                <w:color w:val="111111"/>
                <w:sz w:val="20"/>
              </w:rPr>
              <w:t>The reflex model is right about the speed and wrong about the history. Something decides the alarm is worth sounding, and that something has been learning for years.</w:t>
            </w:r>
          </w:p>
        </w:tc>
      </w:tr>
      <w:tr>
        <w:trPr>
          <w:cantSplit/>
        </w:trPr>
        <w:tc>
          <w:tcPr>
            <w:tcW w:type="dxa" w:w="1872"/>
            <w:shd w:val="clear" w:color="auto" w:fill="F7F7F5"/>
          </w:tcPr>
          <w:p>
            <w:pPr>
              <w:spacing w:after="40"/>
            </w:pPr>
            <w:r>
              <w:rPr>
                <w:rFonts w:ascii="Calibri" w:hAnsi="Calibri"/>
                <w:b/>
                <w:i w:val="0"/>
                <w:color w:val="0B2545"/>
                <w:sz w:val="19"/>
              </w:rPr>
              <w:t>Lead with</w:t>
            </w:r>
          </w:p>
        </w:tc>
        <w:tc>
          <w:tcPr>
            <w:tcW w:type="dxa" w:w="7488"/>
          </w:tcPr>
          <w:p>
            <w:pPr>
              <w:spacing w:after="40"/>
            </w:pPr>
            <w:r>
              <w:rPr>
                <w:rFonts w:ascii="Calibri" w:hAnsi="Calibri"/>
                <w:b w:val="0"/>
                <w:i w:val="0"/>
                <w:color w:val="111111"/>
                <w:sz w:val="20"/>
              </w:rPr>
              <w:t>The smoke alarm, unchanged. The audit protects the image, the direct address, and the constructed-does-not-mean-chosen distinction. It is already the best cold open in the chapter.</w:t>
            </w:r>
          </w:p>
        </w:tc>
      </w:tr>
      <w:tr>
        <w:trPr>
          <w:cantSplit/>
        </w:trPr>
        <w:tc>
          <w:tcPr>
            <w:tcW w:type="dxa" w:w="1872"/>
            <w:shd w:val="clear" w:color="auto" w:fill="F7F7F5"/>
          </w:tcPr>
          <w:p>
            <w:pPr>
              <w:spacing w:after="40"/>
            </w:pPr>
            <w:r>
              <w:rPr>
                <w:rFonts w:ascii="Calibri" w:hAnsi="Calibri"/>
                <w:b/>
                <w:i w:val="0"/>
                <w:color w:val="0B2545"/>
                <w:sz w:val="19"/>
              </w:rPr>
              <w:t>Arc</w:t>
            </w:r>
          </w:p>
        </w:tc>
        <w:tc>
          <w:tcPr>
            <w:tcW w:type="dxa" w:w="7488"/>
          </w:tcPr>
          <w:p>
            <w:pPr>
              <w:spacing w:after="40"/>
            </w:pPr>
            <w:r>
              <w:rPr>
                <w:rFonts w:ascii="Calibri" w:hAnsi="Calibri"/>
                <w:b w:val="0"/>
                <w:i w:val="0"/>
                <w:color w:val="111111"/>
                <w:sz w:val="20"/>
              </w:rPr>
              <w:t>Event fires a circuit, out comes a feeling → same event, two people, two feelings → it is not reacting to the world but to what the world might mean.</w:t>
            </w:r>
          </w:p>
        </w:tc>
      </w:tr>
      <w:tr>
        <w:trPr>
          <w:cantSplit/>
        </w:trPr>
        <w:tc>
          <w:tcPr>
            <w:tcW w:type="dxa" w:w="1872"/>
            <w:shd w:val="clear" w:color="auto" w:fill="F7F7F5"/>
          </w:tcPr>
          <w:p>
            <w:pPr>
              <w:spacing w:after="40"/>
            </w:pPr>
            <w:r>
              <w:rPr>
                <w:rFonts w:ascii="Calibri" w:hAnsi="Calibri"/>
                <w:b/>
                <w:i w:val="0"/>
                <w:color w:val="0B2545"/>
                <w:sz w:val="19"/>
              </w:rPr>
              <w:t>Payoff line</w:t>
            </w:r>
          </w:p>
        </w:tc>
        <w:tc>
          <w:tcPr>
            <w:tcW w:type="dxa" w:w="7488"/>
          </w:tcPr>
          <w:p>
            <w:pPr>
              <w:spacing w:after="40"/>
            </w:pPr>
            <w:r>
              <w:rPr>
                <w:rFonts w:ascii="Calibri" w:hAnsi="Calibri"/>
                <w:b w:val="0"/>
                <w:i/>
                <w:color w:val="111111"/>
                <w:sz w:val="20"/>
              </w:rPr>
              <w:t>The alarm in your kitchen reacts to smoke. You react to what smoke might mean — and nobody arrives at that with the same history.</w:t>
            </w:r>
          </w:p>
        </w:tc>
      </w:tr>
      <w:tr>
        <w:trPr>
          <w:cantSplit/>
        </w:trPr>
        <w:tc>
          <w:tcPr>
            <w:tcW w:type="dxa" w:w="1872"/>
            <w:shd w:val="clear" w:color="auto" w:fill="F7F7F5"/>
          </w:tcPr>
          <w:p>
            <w:pPr>
              <w:spacing w:after="40"/>
            </w:pPr>
            <w:r>
              <w:rPr>
                <w:rFonts w:ascii="Calibri" w:hAnsi="Calibri"/>
                <w:b/>
                <w:i w:val="0"/>
                <w:color w:val="0B2545"/>
                <w:sz w:val="19"/>
              </w:rPr>
              <w:t>Prune</w:t>
            </w:r>
          </w:p>
        </w:tc>
        <w:tc>
          <w:tcPr>
            <w:tcW w:type="dxa" w:w="7488"/>
          </w:tcPr>
          <w:p>
            <w:pPr>
              <w:spacing w:after="40"/>
            </w:pPr>
            <w:r>
              <w:rPr>
                <w:rFonts w:ascii="Calibri" w:hAnsi="Calibri"/>
                <w:b w:val="0"/>
                <w:i w:val="0"/>
                <w:color w:val="111111"/>
                <w:sz w:val="20"/>
              </w:rPr>
              <w:t>None. This section is 283 words and earns them.</w:t>
            </w:r>
          </w:p>
        </w:tc>
      </w:tr>
      <w:tr>
        <w:trPr>
          <w:cantSplit/>
        </w:trPr>
        <w:tc>
          <w:tcPr>
            <w:tcW w:type="dxa" w:w="1872"/>
            <w:shd w:val="clear" w:color="auto" w:fill="F7F7F5"/>
          </w:tcPr>
          <w:p>
            <w:pPr>
              <w:spacing w:after="40"/>
            </w:pPr>
            <w:r>
              <w:rPr>
                <w:rFonts w:ascii="Calibri" w:hAnsi="Calibri"/>
                <w:b/>
                <w:i w:val="0"/>
                <w:color w:val="0B2545"/>
                <w:sz w:val="19"/>
              </w:rPr>
              <w:t>Watch</w:t>
            </w:r>
          </w:p>
        </w:tc>
        <w:tc>
          <w:tcPr>
            <w:tcW w:type="dxa" w:w="7488"/>
          </w:tcPr>
          <w:p>
            <w:pPr>
              <w:spacing w:after="40"/>
            </w:pPr>
            <w:r>
              <w:rPr>
                <w:rFonts w:ascii="Calibri" w:hAnsi="Calibri"/>
                <w:b w:val="0"/>
                <w:i w:val="0"/>
                <w:color w:val="111111"/>
                <w:sz w:val="20"/>
              </w:rPr>
              <w:t>Must-preserve. Do not restore “emotions are constructed predictions, not hardwired triggers” — the spine's section 7 bars presenting construction as settled, and the removed version asserted it.</w:t>
            </w:r>
          </w:p>
        </w:tc>
      </w:tr>
    </w:tbl>
    <w:p>
      <w:pPr>
        <w:spacing w:after="80"/>
      </w:pPr>
    </w:p>
    <w:p>
      <w:pPr>
        <w:pStyle w:val="Heading2"/>
        <w:spacing w:before="280" w:after="80"/>
      </w:pPr>
      <w:r>
        <w:rPr>
          <w:rFonts w:ascii="Calibri" w:hAnsi="Calibri"/>
          <w:color w:val="0B2545"/>
          <w:sz w:val="26"/>
        </w:rPr>
        <w:t>Section 1 — The Regulated Body</w:t>
      </w:r>
    </w:p>
    <w:tbl>
      <w:tblPr>
        <w:tblW w:type="auto" w:w="0"/>
        <w:jc w:val="center"/>
        <w:tblLayout w:type="fixed"/>
        <w:tblLook w:firstColumn="1" w:firstRow="1" w:lastColumn="0" w:lastRow="0" w:noHBand="0" w:noVBand="1" w:val="04A0"/>
        <w:tblBorders>
          <w:top w:val="single" w:sz="6" w:color="CCCCCC"/>
          <w:left w:val="single" w:sz="6" w:color="CCCCCC"/>
          <w:bottom w:val="single" w:sz="6" w:color="CCCCCC"/>
          <w:right w:val="single" w:sz="6" w:color="CCCCCC"/>
          <w:insideH w:val="single" w:sz="6" w:color="CCCCCC"/>
          <w:insideV w:val="single" w:sz="6" w:color="CCCCCC"/>
        </w:tblBorders>
        <w:tblLayout w:type="fixed"/>
      </w:tblPr>
      <w:tblGrid>
        <w:gridCol w:w="1872"/>
        <w:gridCol w:w="7488"/>
      </w:tblGrid>
      <w:tr>
        <w:trPr>
          <w:cantSplit/>
        </w:trPr>
        <w:tc>
          <w:tcPr>
            <w:tcW w:type="dxa" w:w="1872"/>
            <w:shd w:val="clear" w:color="auto" w:fill="F7F7F5"/>
          </w:tcPr>
          <w:p>
            <w:pPr>
              <w:spacing w:after="40"/>
            </w:pPr>
            <w:r>
              <w:rPr>
                <w:rFonts w:ascii="Calibri" w:hAnsi="Calibri"/>
                <w:b/>
                <w:i w:val="0"/>
                <w:color w:val="0B2545"/>
                <w:sz w:val="19"/>
              </w:rPr>
              <w:t>Spine claim</w:t>
            </w:r>
          </w:p>
        </w:tc>
        <w:tc>
          <w:tcPr>
            <w:tcW w:type="dxa" w:w="7488"/>
          </w:tcPr>
          <w:p>
            <w:pPr>
              <w:spacing w:after="40"/>
            </w:pPr>
            <w:r>
              <w:rPr>
                <w:rFonts w:ascii="Calibri" w:hAnsi="Calibri"/>
                <w:b w:val="0"/>
                <w:i w:val="0"/>
                <w:color w:val="111111"/>
                <w:sz w:val="20"/>
              </w:rPr>
              <w:t>Regulation runs ahead of need. Allostasis is prediction pointed inward — the machinery Chapter 4 aimed at perception and Chapter 8 at memory, aimed at the body. This is where the compression lens installs.</w:t>
            </w:r>
          </w:p>
        </w:tc>
      </w:tr>
      <w:tr>
        <w:trPr>
          <w:cantSplit/>
        </w:trPr>
        <w:tc>
          <w:tcPr>
            <w:tcW w:type="dxa" w:w="1872"/>
            <w:shd w:val="clear" w:color="auto" w:fill="F7F7F5"/>
          </w:tcPr>
          <w:p>
            <w:pPr>
              <w:spacing w:after="40"/>
            </w:pPr>
            <w:r>
              <w:rPr>
                <w:rFonts w:ascii="Calibri" w:hAnsi="Calibri"/>
                <w:b/>
                <w:i w:val="0"/>
                <w:color w:val="0B2545"/>
                <w:sz w:val="19"/>
              </w:rPr>
              <w:t>Lead with</w:t>
            </w:r>
          </w:p>
        </w:tc>
        <w:tc>
          <w:tcPr>
            <w:tcW w:type="dxa" w:w="7488"/>
          </w:tcPr>
          <w:p>
            <w:pPr>
              <w:spacing w:after="40"/>
            </w:pPr>
            <w:r>
              <w:rPr>
                <w:rFonts w:ascii="Calibri" w:hAnsi="Calibri"/>
                <w:b w:val="0"/>
                <w:i w:val="0"/>
                <w:color w:val="111111"/>
                <w:sz w:val="20"/>
              </w:rPr>
              <w:t>The thermostat that learns your schedule, with its verbs back (Reclaim 2). It currently arrives after two paragraphs of definition.</w:t>
            </w:r>
          </w:p>
        </w:tc>
      </w:tr>
      <w:tr>
        <w:trPr>
          <w:cantSplit/>
        </w:trPr>
        <w:tc>
          <w:tcPr>
            <w:tcW w:type="dxa" w:w="1872"/>
            <w:shd w:val="clear" w:color="auto" w:fill="F7F7F5"/>
          </w:tcPr>
          <w:p>
            <w:pPr>
              <w:spacing w:after="40"/>
            </w:pPr>
            <w:r>
              <w:rPr>
                <w:rFonts w:ascii="Calibri" w:hAnsi="Calibri"/>
                <w:b/>
                <w:i w:val="0"/>
                <w:color w:val="0B2545"/>
                <w:sz w:val="19"/>
              </w:rPr>
              <w:t>Arc</w:t>
            </w:r>
          </w:p>
        </w:tc>
        <w:tc>
          <w:tcPr>
            <w:tcW w:type="dxa" w:w="7488"/>
          </w:tcPr>
          <w:p>
            <w:pPr>
              <w:spacing w:after="40"/>
            </w:pPr>
            <w:r>
              <w:rPr>
                <w:rFonts w:ascii="Calibri" w:hAnsi="Calibri"/>
                <w:b w:val="0"/>
                <w:i w:val="0"/>
                <w:color w:val="111111"/>
                <w:sz w:val="20"/>
              </w:rPr>
              <w:t>You assume the body corrects errors → it moves first, before the error → feeling is part of getting ready, not a report on what happened.</w:t>
            </w:r>
          </w:p>
        </w:tc>
      </w:tr>
      <w:tr>
        <w:trPr>
          <w:cantSplit/>
        </w:trPr>
        <w:tc>
          <w:tcPr>
            <w:tcW w:type="dxa" w:w="1872"/>
            <w:shd w:val="clear" w:color="auto" w:fill="F7F7F5"/>
          </w:tcPr>
          <w:p>
            <w:pPr>
              <w:spacing w:after="40"/>
            </w:pPr>
            <w:r>
              <w:rPr>
                <w:rFonts w:ascii="Calibri" w:hAnsi="Calibri"/>
                <w:b/>
                <w:i w:val="0"/>
                <w:color w:val="0B2545"/>
                <w:sz w:val="19"/>
              </w:rPr>
              <w:t>Payoff line</w:t>
            </w:r>
          </w:p>
        </w:tc>
        <w:tc>
          <w:tcPr>
            <w:tcW w:type="dxa" w:w="7488"/>
          </w:tcPr>
          <w:p>
            <w:pPr>
              <w:spacing w:after="40"/>
            </w:pPr>
            <w:r>
              <w:rPr>
                <w:rFonts w:ascii="Calibri" w:hAnsi="Calibri"/>
                <w:b w:val="0"/>
                <w:i/>
                <w:color w:val="111111"/>
                <w:sz w:val="20"/>
              </w:rPr>
              <w:t>By the time you feel anything, your body has already moved. Feeling is not the report on what happened — it is part of getting ready for what might.</w:t>
            </w:r>
          </w:p>
        </w:tc>
      </w:tr>
      <w:tr>
        <w:trPr>
          <w:cantSplit/>
        </w:trPr>
        <w:tc>
          <w:tcPr>
            <w:tcW w:type="dxa" w:w="1872"/>
            <w:shd w:val="clear" w:color="auto" w:fill="F7F7F5"/>
          </w:tcPr>
          <w:p>
            <w:pPr>
              <w:spacing w:after="40"/>
            </w:pPr>
            <w:r>
              <w:rPr>
                <w:rFonts w:ascii="Calibri" w:hAnsi="Calibri"/>
                <w:b/>
                <w:i w:val="0"/>
                <w:color w:val="0B2545"/>
                <w:sz w:val="19"/>
              </w:rPr>
              <w:t>Compression seam</w:t>
            </w:r>
          </w:p>
        </w:tc>
        <w:tc>
          <w:tcPr>
            <w:tcW w:type="dxa" w:w="7488"/>
          </w:tcPr>
          <w:p>
            <w:pPr>
              <w:spacing w:after="40"/>
            </w:pPr>
            <w:r>
              <w:rPr>
                <w:rFonts w:ascii="Calibri" w:hAnsi="Calibri"/>
                <w:b w:val="0"/>
                <w:i/>
                <w:color w:val="111111"/>
                <w:sz w:val="20"/>
              </w:rPr>
              <w:t>Two numbers — pleasant or not, wound up or not — standing in for everything happening in a body. That is a summary, and summaries leave things out. It is also why you can be certain you feel terrible and have no idea why.</w:t>
            </w:r>
            <w:r>
              <w:rPr>
                <w:rFonts w:ascii="Calibri" w:hAnsi="Calibri"/>
                <w:b/>
                <w:i w:val="0"/>
                <w:color w:val="111111"/>
                <w:sz w:val="20"/>
              </w:rPr>
              <w:t xml:space="preserve">  (Decision 4)</w:t>
            </w:r>
          </w:p>
        </w:tc>
      </w:tr>
      <w:tr>
        <w:trPr>
          <w:cantSplit/>
        </w:trPr>
        <w:tc>
          <w:tcPr>
            <w:tcW w:type="dxa" w:w="1872"/>
            <w:shd w:val="clear" w:color="auto" w:fill="F7F7F5"/>
          </w:tcPr>
          <w:p>
            <w:pPr>
              <w:spacing w:after="40"/>
            </w:pPr>
            <w:r>
              <w:rPr>
                <w:rFonts w:ascii="Calibri" w:hAnsi="Calibri"/>
                <w:b/>
                <w:i w:val="0"/>
                <w:color w:val="0B2545"/>
                <w:sz w:val="19"/>
              </w:rPr>
              <w:t>Prune</w:t>
            </w:r>
          </w:p>
        </w:tc>
        <w:tc>
          <w:tcPr>
            <w:tcW w:type="dxa" w:w="7488"/>
          </w:tcPr>
          <w:p>
            <w:pPr>
              <w:spacing w:after="40"/>
            </w:pPr>
            <w:r>
              <w:rPr>
                <w:rFonts w:ascii="Calibri" w:hAnsi="Calibri"/>
                <w:b w:val="0"/>
                <w:i w:val="0"/>
                <w:color w:val="111111"/>
                <w:sz w:val="20"/>
              </w:rPr>
              <w:t>P2 — the two interchangeability examples at L55, 22 words. P7 — L69's closing sentence, 17 words; it restates the sentence before it.</w:t>
            </w:r>
          </w:p>
        </w:tc>
      </w:tr>
      <w:tr>
        <w:trPr>
          <w:cantSplit/>
        </w:trPr>
        <w:tc>
          <w:tcPr>
            <w:tcW w:type="dxa" w:w="1872"/>
            <w:shd w:val="clear" w:color="auto" w:fill="F7F7F5"/>
          </w:tcPr>
          <w:p>
            <w:pPr>
              <w:spacing w:after="40"/>
            </w:pPr>
            <w:r>
              <w:rPr>
                <w:rFonts w:ascii="Calibri" w:hAnsi="Calibri"/>
                <w:b/>
                <w:i w:val="0"/>
                <w:color w:val="0B2545"/>
                <w:sz w:val="19"/>
              </w:rPr>
              <w:t>Watch</w:t>
            </w:r>
          </w:p>
        </w:tc>
        <w:tc>
          <w:tcPr>
            <w:tcW w:type="dxa" w:w="7488"/>
          </w:tcPr>
          <w:p>
            <w:pPr>
              <w:spacing w:after="40"/>
            </w:pPr>
            <w:r>
              <w:rPr>
                <w:rFonts w:ascii="Calibri" w:hAnsi="Calibri"/>
                <w:b w:val="0"/>
                <w:i w:val="0"/>
                <w:color w:val="111111"/>
                <w:sz w:val="20"/>
              </w:rPr>
              <w:t>Body budget is a metaphor and nothing else. The must-preserve ledger, the figure 12.1 decision, and the must-not-happen list all bar one measurable currency, one literal tank, and quasi-diagnostic use. The compression seam must describe core affect as a summary, never as a meter. Reclaim 2 touches a must-preserve row.</w:t>
            </w:r>
          </w:p>
        </w:tc>
      </w:tr>
    </w:tbl>
    <w:p>
      <w:pPr>
        <w:spacing w:after="80"/>
      </w:pPr>
    </w:p>
    <w:p>
      <w:pPr>
        <w:pStyle w:val="Heading2"/>
        <w:spacing w:before="280" w:after="80"/>
      </w:pPr>
      <w:r>
        <w:rPr>
          <w:rFonts w:ascii="Calibri" w:hAnsi="Calibri"/>
          <w:color w:val="0B2545"/>
          <w:sz w:val="26"/>
        </w:rPr>
        <w:t>Section 2 — How Does a Feeling Become an Emotion?</w:t>
      </w:r>
    </w:p>
    <w:tbl>
      <w:tblPr>
        <w:tblW w:type="auto" w:w="0"/>
        <w:jc w:val="center"/>
        <w:tblLayout w:type="fixed"/>
        <w:tblLook w:firstColumn="1" w:firstRow="1" w:lastColumn="0" w:lastRow="0" w:noHBand="0" w:noVBand="1" w:val="04A0"/>
        <w:tblBorders>
          <w:top w:val="single" w:sz="6" w:color="CCCCCC"/>
          <w:left w:val="single" w:sz="6" w:color="CCCCCC"/>
          <w:bottom w:val="single" w:sz="6" w:color="CCCCCC"/>
          <w:right w:val="single" w:sz="6" w:color="CCCCCC"/>
          <w:insideH w:val="single" w:sz="6" w:color="CCCCCC"/>
          <w:insideV w:val="single" w:sz="6" w:color="CCCCCC"/>
        </w:tblBorders>
        <w:tblLayout w:type="fixed"/>
      </w:tblPr>
      <w:tblGrid>
        <w:gridCol w:w="1872"/>
        <w:gridCol w:w="7488"/>
      </w:tblGrid>
      <w:tr>
        <w:trPr>
          <w:cantSplit/>
        </w:trPr>
        <w:tc>
          <w:tcPr>
            <w:tcW w:type="dxa" w:w="1872"/>
            <w:shd w:val="clear" w:color="auto" w:fill="F7F7F5"/>
          </w:tcPr>
          <w:p>
            <w:pPr>
              <w:spacing w:after="40"/>
            </w:pPr>
            <w:r>
              <w:rPr>
                <w:rFonts w:ascii="Calibri" w:hAnsi="Calibri"/>
                <w:b/>
                <w:i w:val="0"/>
                <w:color w:val="0B2545"/>
                <w:sz w:val="19"/>
              </w:rPr>
              <w:t>Spine claim</w:t>
            </w:r>
          </w:p>
        </w:tc>
        <w:tc>
          <w:tcPr>
            <w:tcW w:type="dxa" w:w="7488"/>
          </w:tcPr>
          <w:p>
            <w:pPr>
              <w:spacing w:after="40"/>
            </w:pPr>
            <w:r>
              <w:rPr>
                <w:rFonts w:ascii="Calibri" w:hAnsi="Calibri"/>
                <w:b w:val="0"/>
                <w:i w:val="0"/>
                <w:color w:val="111111"/>
                <w:sz w:val="20"/>
              </w:rPr>
              <w:t>The same bodily state becomes different emotions depending on which concept the brain brings to it — and the concept changes what you do next. The spine's formulation: concepts predict meaning, emotions predict mattering.</w:t>
            </w:r>
          </w:p>
        </w:tc>
      </w:tr>
      <w:tr>
        <w:trPr>
          <w:cantSplit/>
        </w:trPr>
        <w:tc>
          <w:tcPr>
            <w:tcW w:type="dxa" w:w="1872"/>
            <w:shd w:val="clear" w:color="auto" w:fill="F7F7F5"/>
          </w:tcPr>
          <w:p>
            <w:pPr>
              <w:spacing w:after="40"/>
            </w:pPr>
            <w:r>
              <w:rPr>
                <w:rFonts w:ascii="Calibri" w:hAnsi="Calibri"/>
                <w:b/>
                <w:i w:val="0"/>
                <w:color w:val="0B2545"/>
                <w:sz w:val="19"/>
              </w:rPr>
              <w:t>Lead with</w:t>
            </w:r>
          </w:p>
        </w:tc>
        <w:tc>
          <w:tcPr>
            <w:tcW w:type="dxa" w:w="7488"/>
          </w:tcPr>
          <w:p>
            <w:pPr>
              <w:spacing w:after="40"/>
            </w:pPr>
            <w:r>
              <w:rPr>
                <w:rFonts w:ascii="Calibri" w:hAnsi="Calibri"/>
                <w:b w:val="0"/>
                <w:i w:val="0"/>
                <w:color w:val="111111"/>
                <w:sz w:val="20"/>
              </w:rPr>
              <w:t>The granularity examples. Anxious, frustrated and disappointed currently arrive at the end of the section, after the theory table and Patient S.M. They are the concrete hook and they are in the wrong position.</w:t>
            </w:r>
          </w:p>
        </w:tc>
      </w:tr>
      <w:tr>
        <w:trPr>
          <w:cantSplit/>
        </w:trPr>
        <w:tc>
          <w:tcPr>
            <w:tcW w:type="dxa" w:w="1872"/>
            <w:shd w:val="clear" w:color="auto" w:fill="F7F7F5"/>
          </w:tcPr>
          <w:p>
            <w:pPr>
              <w:spacing w:after="40"/>
            </w:pPr>
            <w:r>
              <w:rPr>
                <w:rFonts w:ascii="Calibri" w:hAnsi="Calibri"/>
                <w:b/>
                <w:i w:val="0"/>
                <w:color w:val="0B2545"/>
                <w:sz w:val="19"/>
              </w:rPr>
              <w:t>Arc</w:t>
            </w:r>
          </w:p>
        </w:tc>
        <w:tc>
          <w:tcPr>
            <w:tcW w:type="dxa" w:w="7488"/>
          </w:tcPr>
          <w:p>
            <w:pPr>
              <w:spacing w:after="40"/>
            </w:pPr>
            <w:r>
              <w:rPr>
                <w:rFonts w:ascii="Calibri" w:hAnsi="Calibri"/>
                <w:b w:val="0"/>
                <w:i w:val="0"/>
                <w:color w:val="111111"/>
                <w:sz w:val="20"/>
              </w:rPr>
              <w:t>You have a feeling and a word for it → the word changes the action → precision is not vocabulary, it is a different instruction.</w:t>
            </w:r>
          </w:p>
        </w:tc>
      </w:tr>
      <w:tr>
        <w:trPr>
          <w:cantSplit/>
        </w:trPr>
        <w:tc>
          <w:tcPr>
            <w:tcW w:type="dxa" w:w="1872"/>
            <w:shd w:val="clear" w:color="auto" w:fill="F7F7F5"/>
          </w:tcPr>
          <w:p>
            <w:pPr>
              <w:spacing w:after="40"/>
            </w:pPr>
            <w:r>
              <w:rPr>
                <w:rFonts w:ascii="Calibri" w:hAnsi="Calibri"/>
                <w:b/>
                <w:i w:val="0"/>
                <w:color w:val="0B2545"/>
                <w:sz w:val="19"/>
              </w:rPr>
              <w:t>Payoff line</w:t>
            </w:r>
          </w:p>
        </w:tc>
        <w:tc>
          <w:tcPr>
            <w:tcW w:type="dxa" w:w="7488"/>
          </w:tcPr>
          <w:p>
            <w:pPr>
              <w:spacing w:after="40"/>
            </w:pPr>
            <w:r>
              <w:rPr>
                <w:rFonts w:ascii="Calibri" w:hAnsi="Calibri"/>
                <w:b w:val="0"/>
                <w:i/>
                <w:color w:val="111111"/>
                <w:sz w:val="20"/>
              </w:rPr>
              <w:t>“I feel bad” tells you nothing about what to do next. “I'm disappointed” tells you to revise an expectation. “I'm frustrated” tells you to change the approach. Same discomfort, different instructions.</w:t>
            </w:r>
          </w:p>
        </w:tc>
      </w:tr>
      <w:tr>
        <w:trPr>
          <w:cantSplit/>
        </w:trPr>
        <w:tc>
          <w:tcPr>
            <w:tcW w:type="dxa" w:w="1872"/>
            <w:shd w:val="clear" w:color="auto" w:fill="F7F7F5"/>
          </w:tcPr>
          <w:p>
            <w:pPr>
              <w:spacing w:after="40"/>
            </w:pPr>
            <w:r>
              <w:rPr>
                <w:rFonts w:ascii="Calibri" w:hAnsi="Calibri"/>
                <w:b/>
                <w:i w:val="0"/>
                <w:color w:val="0B2545"/>
                <w:sz w:val="19"/>
              </w:rPr>
              <w:t>Action-readiness</w:t>
            </w:r>
          </w:p>
        </w:tc>
        <w:tc>
          <w:tcPr>
            <w:tcW w:type="dxa" w:w="7488"/>
          </w:tcPr>
          <w:p>
            <w:pPr>
              <w:spacing w:after="40"/>
            </w:pPr>
            <w:r>
              <w:rPr>
                <w:rFonts w:ascii="Calibri" w:hAnsi="Calibri"/>
                <w:b w:val="0"/>
                <w:i w:val="0"/>
                <w:color w:val="111111"/>
                <w:sz w:val="20"/>
              </w:rPr>
              <w:t xml:space="preserve">The payoff line already carries it — instructions is the action-readiness claim in student language. One further sentence if you want it named: </w:t>
            </w:r>
            <w:r>
              <w:rPr>
                <w:rFonts w:ascii="Calibri" w:hAnsi="Calibri"/>
                <w:b w:val="0"/>
                <w:i/>
                <w:color w:val="111111"/>
                <w:sz w:val="20"/>
              </w:rPr>
              <w:t>Every emotion arrives with something already leaning: fear toward getting out, anger toward pushing back, shame toward getting small.</w:t>
            </w:r>
            <w:r>
              <w:rPr>
                <w:rFonts w:ascii="Calibri" w:hAnsi="Calibri"/>
                <w:b/>
                <w:i w:val="0"/>
                <w:color w:val="111111"/>
                <w:sz w:val="20"/>
              </w:rPr>
              <w:t xml:space="preserve">  (Decision 5)</w:t>
            </w:r>
          </w:p>
        </w:tc>
      </w:tr>
      <w:tr>
        <w:trPr>
          <w:cantSplit/>
        </w:trPr>
        <w:tc>
          <w:tcPr>
            <w:tcW w:type="dxa" w:w="1872"/>
            <w:shd w:val="clear" w:color="auto" w:fill="F7F7F5"/>
          </w:tcPr>
          <w:p>
            <w:pPr>
              <w:spacing w:after="40"/>
            </w:pPr>
            <w:r>
              <w:rPr>
                <w:rFonts w:ascii="Calibri" w:hAnsi="Calibri"/>
                <w:b/>
                <w:i w:val="0"/>
                <w:color w:val="0B2545"/>
                <w:sz w:val="19"/>
              </w:rPr>
              <w:t>Prune</w:t>
            </w:r>
          </w:p>
        </w:tc>
        <w:tc>
          <w:tcPr>
            <w:tcW w:type="dxa" w:w="7488"/>
          </w:tcPr>
          <w:p>
            <w:pPr>
              <w:spacing w:after="40"/>
            </w:pPr>
            <w:r>
              <w:rPr>
                <w:rFonts w:ascii="Calibri" w:hAnsi="Calibri"/>
                <w:b w:val="0"/>
                <w:i w:val="0"/>
                <w:color w:val="111111"/>
                <w:sz w:val="20"/>
              </w:rPr>
              <w:t>P1 — L88 entire, 59 words. The largest single prune and the one with a consequence; see Decision 7.</w:t>
            </w:r>
          </w:p>
        </w:tc>
      </w:tr>
      <w:tr>
        <w:trPr>
          <w:cantSplit/>
        </w:trPr>
        <w:tc>
          <w:tcPr>
            <w:tcW w:type="dxa" w:w="1872"/>
            <w:shd w:val="clear" w:color="auto" w:fill="F7F7F5"/>
          </w:tcPr>
          <w:p>
            <w:pPr>
              <w:spacing w:after="40"/>
            </w:pPr>
            <w:r>
              <w:rPr>
                <w:rFonts w:ascii="Calibri" w:hAnsi="Calibri"/>
                <w:b/>
                <w:i w:val="0"/>
                <w:color w:val="0B2545"/>
                <w:sz w:val="19"/>
              </w:rPr>
              <w:t>Watch</w:t>
            </w:r>
          </w:p>
        </w:tc>
        <w:tc>
          <w:tcPr>
            <w:tcW w:type="dxa" w:w="7488"/>
          </w:tcPr>
          <w:p>
            <w:pPr>
              <w:spacing w:after="40"/>
            </w:pPr>
            <w:r>
              <w:rPr>
                <w:rFonts w:ascii="Calibri" w:hAnsi="Calibri"/>
                <w:b w:val="0"/>
                <w:i w:val="0"/>
                <w:color w:val="111111"/>
                <w:sz w:val="20"/>
              </w:rPr>
              <w:t>Section 7: do not say emotion and cognition are separate systems; do not say concepts are explicit and emotions implicit; do not present construction as settled. Constructionism must be named once as the chapter's chosen lens — if P1 goes, that has to land somewhere else.</w:t>
            </w:r>
          </w:p>
        </w:tc>
      </w:tr>
    </w:tbl>
    <w:p>
      <w:pPr>
        <w:spacing w:after="80"/>
      </w:pPr>
    </w:p>
    <w:p>
      <w:pPr>
        <w:pStyle w:val="Heading2"/>
        <w:spacing w:before="280" w:after="80"/>
      </w:pPr>
      <w:r>
        <w:rPr>
          <w:rFonts w:ascii="Calibri" w:hAnsi="Calibri"/>
          <w:color w:val="0B2545"/>
          <w:sz w:val="26"/>
        </w:rPr>
        <w:t>Section 2, Classic Study — Patient S.M.</w:t>
      </w:r>
    </w:p>
    <w:tbl>
      <w:tblPr>
        <w:tblW w:type="auto" w:w="0"/>
        <w:jc w:val="center"/>
        <w:tblLayout w:type="fixed"/>
        <w:tblLook w:firstColumn="1" w:firstRow="1" w:lastColumn="0" w:lastRow="0" w:noHBand="0" w:noVBand="1" w:val="04A0"/>
        <w:tblBorders>
          <w:top w:val="single" w:sz="6" w:color="CCCCCC"/>
          <w:left w:val="single" w:sz="6" w:color="CCCCCC"/>
          <w:bottom w:val="single" w:sz="6" w:color="CCCCCC"/>
          <w:right w:val="single" w:sz="6" w:color="CCCCCC"/>
          <w:insideH w:val="single" w:sz="6" w:color="CCCCCC"/>
          <w:insideV w:val="single" w:sz="6" w:color="CCCCCC"/>
        </w:tblBorders>
        <w:tblLayout w:type="fixed"/>
      </w:tblPr>
      <w:tblGrid>
        <w:gridCol w:w="1872"/>
        <w:gridCol w:w="7488"/>
      </w:tblGrid>
      <w:tr>
        <w:trPr>
          <w:cantSplit/>
        </w:trPr>
        <w:tc>
          <w:tcPr>
            <w:tcW w:type="dxa" w:w="1872"/>
            <w:shd w:val="clear" w:color="auto" w:fill="F7F7F5"/>
          </w:tcPr>
          <w:p>
            <w:pPr>
              <w:spacing w:after="40"/>
            </w:pPr>
            <w:r>
              <w:rPr>
                <w:rFonts w:ascii="Calibri" w:hAnsi="Calibri"/>
                <w:b/>
                <w:i w:val="0"/>
                <w:color w:val="0B2545"/>
                <w:sz w:val="19"/>
              </w:rPr>
              <w:t>Spine claim</w:t>
            </w:r>
          </w:p>
        </w:tc>
        <w:tc>
          <w:tcPr>
            <w:tcW w:type="dxa" w:w="7488"/>
          </w:tcPr>
          <w:p>
            <w:pPr>
              <w:spacing w:after="40"/>
            </w:pPr>
            <w:r>
              <w:rPr>
                <w:rFonts w:ascii="Calibri" w:hAnsi="Calibri"/>
                <w:b w:val="0"/>
                <w:i w:val="0"/>
                <w:color w:val="111111"/>
                <w:sz w:val="20"/>
              </w:rPr>
              <w:t>The case separates knowing from minding. She can state that a situation should be frightening without the state arriving.</w:t>
            </w:r>
          </w:p>
        </w:tc>
      </w:tr>
      <w:tr>
        <w:trPr>
          <w:cantSplit/>
        </w:trPr>
        <w:tc>
          <w:tcPr>
            <w:tcW w:type="dxa" w:w="1872"/>
            <w:shd w:val="clear" w:color="auto" w:fill="F7F7F5"/>
          </w:tcPr>
          <w:p>
            <w:pPr>
              <w:spacing w:after="40"/>
            </w:pPr>
            <w:r>
              <w:rPr>
                <w:rFonts w:ascii="Calibri" w:hAnsi="Calibri"/>
                <w:b/>
                <w:i w:val="0"/>
                <w:color w:val="0B2545"/>
                <w:sz w:val="19"/>
              </w:rPr>
              <w:t>Lead with</w:t>
            </w:r>
          </w:p>
        </w:tc>
        <w:tc>
          <w:tcPr>
            <w:tcW w:type="dxa" w:w="7488"/>
          </w:tcPr>
          <w:p>
            <w:pPr>
              <w:spacing w:after="40"/>
            </w:pPr>
            <w:r>
              <w:rPr>
                <w:rFonts w:ascii="Calibri" w:hAnsi="Calibri"/>
                <w:b w:val="0"/>
                <w:i w:val="0"/>
                <w:color w:val="111111"/>
                <w:sz w:val="20"/>
              </w:rPr>
              <w:t>The snakes. The walkthrough currently opens on a question about bilateral damage.</w:t>
            </w:r>
          </w:p>
        </w:tc>
      </w:tr>
      <w:tr>
        <w:trPr>
          <w:cantSplit/>
        </w:trPr>
        <w:tc>
          <w:tcPr>
            <w:tcW w:type="dxa" w:w="1872"/>
            <w:shd w:val="clear" w:color="auto" w:fill="F7F7F5"/>
          </w:tcPr>
          <w:p>
            <w:pPr>
              <w:spacing w:after="40"/>
            </w:pPr>
            <w:r>
              <w:rPr>
                <w:rFonts w:ascii="Calibri" w:hAnsi="Calibri"/>
                <w:b/>
                <w:i w:val="0"/>
                <w:color w:val="0B2545"/>
                <w:sz w:val="19"/>
              </w:rPr>
              <w:t>Arc</w:t>
            </w:r>
          </w:p>
        </w:tc>
        <w:tc>
          <w:tcPr>
            <w:tcW w:type="dxa" w:w="7488"/>
          </w:tcPr>
          <w:p>
            <w:pPr>
              <w:spacing w:after="40"/>
            </w:pPr>
            <w:r>
              <w:rPr>
                <w:rFonts w:ascii="Calibri" w:hAnsi="Calibri"/>
                <w:b w:val="0"/>
                <w:i w:val="0"/>
                <w:color w:val="111111"/>
                <w:sz w:val="20"/>
              </w:rPr>
              <w:t>She knows the facts → nothing follows from them → and then CO2 produced fear anyway, so there is more than one route in.</w:t>
            </w:r>
          </w:p>
        </w:tc>
      </w:tr>
      <w:tr>
        <w:trPr>
          <w:cantSplit/>
        </w:trPr>
        <w:tc>
          <w:tcPr>
            <w:tcW w:type="dxa" w:w="1872"/>
            <w:shd w:val="clear" w:color="auto" w:fill="F7F7F5"/>
          </w:tcPr>
          <w:p>
            <w:pPr>
              <w:spacing w:after="40"/>
            </w:pPr>
            <w:r>
              <w:rPr>
                <w:rFonts w:ascii="Calibri" w:hAnsi="Calibri"/>
                <w:b/>
                <w:i w:val="0"/>
                <w:color w:val="0B2545"/>
                <w:sz w:val="19"/>
              </w:rPr>
              <w:t>Payoff line</w:t>
            </w:r>
          </w:p>
        </w:tc>
        <w:tc>
          <w:tcPr>
            <w:tcW w:type="dxa" w:w="7488"/>
          </w:tcPr>
          <w:p>
            <w:pPr>
              <w:spacing w:after="40"/>
            </w:pPr>
            <w:r>
              <w:rPr>
                <w:rFonts w:ascii="Calibri" w:hAnsi="Calibri"/>
                <w:b w:val="0"/>
                <w:i/>
                <w:color w:val="111111"/>
                <w:sz w:val="20"/>
              </w:rPr>
              <w:t>She can tell you the snake is dangerous. She just doesn't mind. Knowing and minding turn out to be two different jobs — and the CO2 result shows the amygdala is not the only way into the second one.</w:t>
            </w:r>
          </w:p>
        </w:tc>
      </w:tr>
      <w:tr>
        <w:trPr>
          <w:cantSplit/>
        </w:trPr>
        <w:tc>
          <w:tcPr>
            <w:tcW w:type="dxa" w:w="1872"/>
            <w:shd w:val="clear" w:color="auto" w:fill="F7F7F5"/>
          </w:tcPr>
          <w:p>
            <w:pPr>
              <w:spacing w:after="40"/>
            </w:pPr>
            <w:r>
              <w:rPr>
                <w:rFonts w:ascii="Calibri" w:hAnsi="Calibri"/>
                <w:b/>
                <w:i w:val="0"/>
                <w:color w:val="0B2545"/>
                <w:sz w:val="19"/>
              </w:rPr>
              <w:t>Watch</w:t>
            </w:r>
          </w:p>
        </w:tc>
        <w:tc>
          <w:tcPr>
            <w:tcW w:type="dxa" w:w="7488"/>
          </w:tcPr>
          <w:p>
            <w:pPr>
              <w:spacing w:after="40"/>
            </w:pPr>
            <w:r>
              <w:rPr>
                <w:rFonts w:ascii="Calibri" w:hAnsi="Calibri"/>
                <w:b w:val="0"/>
                <w:i w:val="0"/>
                <w:color w:val="111111"/>
                <w:sz w:val="20"/>
              </w:rPr>
              <w:t>Highest-risk line in the packet. See Decision 6.</w:t>
            </w:r>
          </w:p>
        </w:tc>
      </w:tr>
    </w:tbl>
    <w:p>
      <w:pPr>
        <w:spacing w:after="80"/>
      </w:pPr>
    </w:p>
    <w:tbl>
      <w:tblPr>
        <w:tblW w:type="auto" w:w="0"/>
        <w:jc w:val="center"/>
        <w:tblLayout w:type="fixed"/>
        <w:tblLook w:firstColumn="1" w:firstRow="1" w:lastColumn="0" w:lastRow="0" w:noHBand="0" w:noVBand="1" w:val="04A0"/>
        <w:tblBorders>
          <w:top w:val="single" w:sz="8" w:color="D9A93C"/>
          <w:left w:val="single" w:sz="8" w:color="D9A93C"/>
          <w:bottom w:val="single" w:sz="8" w:color="D9A93C"/>
          <w:right w:val="single" w:sz="8" w:color="D9A93C"/>
          <w:insideH w:val="single" w:sz="8" w:color="D9A93C"/>
          <w:insideV w:val="single" w:sz="8" w:color="D9A93C"/>
        </w:tblBorders>
        <w:tblLayout w:type="fixed"/>
      </w:tblPr>
      <w:tblGrid>
        <w:gridCol w:w="9360"/>
      </w:tblGrid>
      <w:tr>
        <w:trPr>
          <w:cantSplit/>
        </w:trPr>
        <w:tc>
          <w:tcPr>
            <w:tcW w:type="dxa" w:w="9360"/>
            <w:shd w:val="clear" w:color="auto" w:fill="FFF3D6"/>
          </w:tcPr>
          <w:p>
            <w:pPr>
              <w:keepNext/>
              <w:spacing w:after="80"/>
            </w:pPr>
            <w:r>
              <w:rPr>
                <w:rFonts w:ascii="Calibri" w:hAnsi="Calibri"/>
                <w:b/>
                <w:i w:val="0"/>
                <w:color w:val="0B2545"/>
                <w:sz w:val="21"/>
              </w:rPr>
              <w:t>DECISION 6 — The Patient S.M. payoff line</w:t>
            </w:r>
          </w:p>
          <w:p>
            <w:pPr>
              <w:keepNext/>
              <w:spacing w:after="60"/>
            </w:pPr>
            <w:r>
              <w:rPr>
                <w:rFonts w:ascii="Calibri" w:hAnsi="Calibri"/>
                <w:b w:val="0"/>
                <w:i w:val="0"/>
                <w:color w:val="111111"/>
                <w:sz w:val="20"/>
              </w:rPr>
              <w:t xml:space="preserve">The audit required removing </w:t>
            </w:r>
            <w:r>
              <w:rPr>
                <w:rFonts w:ascii="Calibri" w:hAnsi="Calibri"/>
                <w:b w:val="0"/>
                <w:i/>
                <w:color w:val="111111"/>
                <w:sz w:val="20"/>
              </w:rPr>
              <w:t>“Take it out, and the facts survive; the mattering does not,”</w:t>
            </w:r>
            <w:r>
              <w:rPr>
                <w:rFonts w:ascii="Calibri" w:hAnsi="Calibri"/>
                <w:b w:val="0"/>
                <w:i w:val="0"/>
                <w:color w:val="111111"/>
                <w:sz w:val="20"/>
              </w:rPr>
              <w:t xml:space="preserve"> and lists Patient S.M. as evidence that amygdala removal eliminates felt mattering or all fear under must-correct.</w:t>
            </w:r>
          </w:p>
          <w:p>
            <w:pPr>
              <w:keepNext/>
              <w:spacing w:after="60"/>
            </w:pPr>
            <w:r>
              <w:rPr>
                <w:rFonts w:ascii="Calibri" w:hAnsi="Calibri"/>
                <w:b w:val="0"/>
                <w:i w:val="0"/>
                <w:color w:val="111111"/>
                <w:sz w:val="20"/>
              </w:rPr>
              <w:t>My line attributes the knowing-and-minding distinction to the pattern of findings rather than making the amygdala the converter, and the CO2 clause does the bounding work in the same breath. I believe it is compliant. It is close enough to a high-severity must-correct that I am not deciding it myself.</w:t>
            </w:r>
          </w:p>
          <w:p>
            <w:pPr>
              <w:keepNext/>
              <w:spacing w:after="60"/>
            </w:pPr>
            <w:r>
              <w:rPr>
                <w:rFonts w:ascii="Calibri" w:hAnsi="Calibri"/>
                <w:b w:val="0"/>
                <w:i w:val="0"/>
                <w:color w:val="111111"/>
                <w:sz w:val="20"/>
              </w:rPr>
              <w:t>Keep as drafted, rewrite, or drop the distinction and leave the walkthrough factual.</w:t>
            </w:r>
          </w:p>
        </w:tc>
      </w:tr>
      <w:tr>
        <w:trPr>
          <w:cantSplit/>
        </w:trPr>
        <w:tc>
          <w:tcPr>
            <w:tcW w:type="dxa" w:w="9360"/>
            <w:shd w:val="clear" w:color="auto" w:fill="FFFFFF"/>
          </w:tcPr>
          <w:p>
            <w:pPr>
              <w:spacing w:after="40"/>
            </w:pPr>
            <w:r>
              <w:rPr>
                <w:rFonts w:ascii="Calibri" w:hAnsi="Calibri"/>
                <w:b/>
                <w:i w:val="0"/>
                <w:color w:val="555555"/>
                <w:sz w:val="18"/>
              </w:rPr>
              <w:t>Your answer:</w:t>
            </w:r>
          </w:p>
          <w:p>
            <w:pPr>
              <w:spacing w:after="200"/>
            </w:pPr>
            <w:r>
              <w:rPr>
                <w:rFonts w:ascii="Calibri" w:hAnsi="Calibri"/>
                <w:b w:val="0"/>
                <w:i w:val="0"/>
                <w:color w:val="111111"/>
                <w:sz w:val="20"/>
              </w:rPr>
            </w:r>
          </w:p>
          <w:p>
            <w:pPr>
              <w:spacing w:after="200"/>
            </w:pPr>
            <w:r>
              <w:rPr>
                <w:rFonts w:ascii="Calibri" w:hAnsi="Calibri"/>
                <w:b w:val="0"/>
                <w:i w:val="0"/>
                <w:color w:val="111111"/>
                <w:sz w:val="20"/>
              </w:rPr>
            </w:r>
          </w:p>
          <w:p>
            <w:pPr>
              <w:spacing w:after="200"/>
            </w:pPr>
            <w:r>
              <w:rPr>
                <w:rFonts w:ascii="Calibri" w:hAnsi="Calibri"/>
                <w:b w:val="0"/>
                <w:i w:val="0"/>
                <w:color w:val="111111"/>
                <w:sz w:val="20"/>
              </w:rPr>
            </w:r>
          </w:p>
        </w:tc>
      </w:tr>
    </w:tbl>
    <w:p>
      <w:pPr>
        <w:spacing w:after="80"/>
      </w:pPr>
    </w:p>
    <w:p>
      <w:pPr>
        <w:pStyle w:val="Heading2"/>
        <w:spacing w:before="280" w:after="80"/>
      </w:pPr>
      <w:r>
        <w:rPr>
          <w:rFonts w:ascii="Calibri" w:hAnsi="Calibri"/>
          <w:color w:val="0B2545"/>
          <w:sz w:val="26"/>
        </w:rPr>
        <w:t>Section 3 — Stress</w:t>
      </w:r>
    </w:p>
    <w:tbl>
      <w:tblPr>
        <w:tblW w:type="auto" w:w="0"/>
        <w:jc w:val="center"/>
        <w:tblLayout w:type="fixed"/>
        <w:tblLook w:firstColumn="1" w:firstRow="1" w:lastColumn="0" w:lastRow="0" w:noHBand="0" w:noVBand="1" w:val="04A0"/>
        <w:tblBorders>
          <w:top w:val="single" w:sz="6" w:color="CCCCCC"/>
          <w:left w:val="single" w:sz="6" w:color="CCCCCC"/>
          <w:bottom w:val="single" w:sz="6" w:color="CCCCCC"/>
          <w:right w:val="single" w:sz="6" w:color="CCCCCC"/>
          <w:insideH w:val="single" w:sz="6" w:color="CCCCCC"/>
          <w:insideV w:val="single" w:sz="6" w:color="CCCCCC"/>
        </w:tblBorders>
        <w:tblLayout w:type="fixed"/>
      </w:tblPr>
      <w:tblGrid>
        <w:gridCol w:w="1872"/>
        <w:gridCol w:w="7488"/>
      </w:tblGrid>
      <w:tr>
        <w:trPr>
          <w:cantSplit/>
        </w:trPr>
        <w:tc>
          <w:tcPr>
            <w:tcW w:type="dxa" w:w="1872"/>
            <w:shd w:val="clear" w:color="auto" w:fill="F7F7F5"/>
          </w:tcPr>
          <w:p>
            <w:pPr>
              <w:spacing w:after="40"/>
            </w:pPr>
            <w:r>
              <w:rPr>
                <w:rFonts w:ascii="Calibri" w:hAnsi="Calibri"/>
                <w:b/>
                <w:i w:val="0"/>
                <w:color w:val="0B2545"/>
                <w:sz w:val="19"/>
              </w:rPr>
              <w:t>Spine claim</w:t>
            </w:r>
          </w:p>
        </w:tc>
        <w:tc>
          <w:tcPr>
            <w:tcW w:type="dxa" w:w="7488"/>
          </w:tcPr>
          <w:p>
            <w:pPr>
              <w:spacing w:after="40"/>
            </w:pPr>
            <w:r>
              <w:rPr>
                <w:rFonts w:ascii="Calibri" w:hAnsi="Calibri"/>
                <w:b w:val="0"/>
                <w:i w:val="0"/>
                <w:color w:val="111111"/>
                <w:sz w:val="20"/>
              </w:rPr>
              <w:t>Stress is mobilization for a predicted demand. What makes human stress different is not the machinery but the range of things that can count as a demand.</w:t>
            </w:r>
          </w:p>
        </w:tc>
      </w:tr>
      <w:tr>
        <w:trPr>
          <w:cantSplit/>
        </w:trPr>
        <w:tc>
          <w:tcPr>
            <w:tcW w:type="dxa" w:w="1872"/>
            <w:shd w:val="clear" w:color="auto" w:fill="F7F7F5"/>
          </w:tcPr>
          <w:p>
            <w:pPr>
              <w:spacing w:after="40"/>
            </w:pPr>
            <w:r>
              <w:rPr>
                <w:rFonts w:ascii="Calibri" w:hAnsi="Calibri"/>
                <w:b/>
                <w:i w:val="0"/>
                <w:color w:val="0B2545"/>
                <w:sz w:val="19"/>
              </w:rPr>
              <w:t>Lead with</w:t>
            </w:r>
          </w:p>
        </w:tc>
        <w:tc>
          <w:tcPr>
            <w:tcW w:type="dxa" w:w="7488"/>
          </w:tcPr>
          <w:p>
            <w:pPr>
              <w:spacing w:after="40"/>
            </w:pPr>
            <w:r>
              <w:rPr>
                <w:rFonts w:ascii="Calibri" w:hAnsi="Calibri"/>
                <w:b w:val="0"/>
                <w:i w:val="0"/>
                <w:color w:val="111111"/>
                <w:sz w:val="20"/>
              </w:rPr>
              <w:t>The zebra (Reclaim 3). The section currently opens on the Lazarus and Folkman definition. Sapolsky's zebra contrast is a voice-brief signature example and it now survives only in Further Reading.</w:t>
            </w:r>
          </w:p>
        </w:tc>
      </w:tr>
      <w:tr>
        <w:trPr>
          <w:cantSplit/>
        </w:trPr>
        <w:tc>
          <w:tcPr>
            <w:tcW w:type="dxa" w:w="1872"/>
            <w:shd w:val="clear" w:color="auto" w:fill="F7F7F5"/>
          </w:tcPr>
          <w:p>
            <w:pPr>
              <w:spacing w:after="40"/>
            </w:pPr>
            <w:r>
              <w:rPr>
                <w:rFonts w:ascii="Calibri" w:hAnsi="Calibri"/>
                <w:b/>
                <w:i w:val="0"/>
                <w:color w:val="0B2545"/>
                <w:sz w:val="19"/>
              </w:rPr>
              <w:t>Arc</w:t>
            </w:r>
          </w:p>
        </w:tc>
        <w:tc>
          <w:tcPr>
            <w:tcW w:type="dxa" w:w="7488"/>
          </w:tcPr>
          <w:p>
            <w:pPr>
              <w:spacing w:after="40"/>
            </w:pPr>
            <w:r>
              <w:rPr>
                <w:rFonts w:ascii="Calibri" w:hAnsi="Calibri"/>
                <w:b w:val="0"/>
                <w:i w:val="0"/>
                <w:color w:val="111111"/>
                <w:sz w:val="20"/>
              </w:rPr>
              <w:t>The zebra mobilizes fully, then stands down → yours doesn't, because your threats don't resolve → payoff.</w:t>
            </w:r>
          </w:p>
        </w:tc>
      </w:tr>
      <w:tr>
        <w:trPr>
          <w:cantSplit/>
        </w:trPr>
        <w:tc>
          <w:tcPr>
            <w:tcW w:type="dxa" w:w="1872"/>
            <w:shd w:val="clear" w:color="auto" w:fill="F7F7F5"/>
          </w:tcPr>
          <w:p>
            <w:pPr>
              <w:spacing w:after="40"/>
            </w:pPr>
            <w:r>
              <w:rPr>
                <w:rFonts w:ascii="Calibri" w:hAnsi="Calibri"/>
                <w:b/>
                <w:i w:val="0"/>
                <w:color w:val="0B2545"/>
                <w:sz w:val="19"/>
              </w:rPr>
              <w:t>Payoff line</w:t>
            </w:r>
          </w:p>
        </w:tc>
        <w:tc>
          <w:tcPr>
            <w:tcW w:type="dxa" w:w="7488"/>
          </w:tcPr>
          <w:p>
            <w:pPr>
              <w:spacing w:after="40"/>
            </w:pPr>
            <w:r>
              <w:rPr>
                <w:rFonts w:ascii="Calibri" w:hAnsi="Calibri"/>
                <w:b w:val="0"/>
                <w:i/>
                <w:color w:val="111111"/>
                <w:sz w:val="20"/>
              </w:rPr>
              <w:t>The zebra's problem ends. Yours is next Tuesday — and it will still be next Tuesday tomorrow.</w:t>
            </w:r>
          </w:p>
        </w:tc>
      </w:tr>
      <w:tr>
        <w:trPr>
          <w:cantSplit/>
        </w:trPr>
        <w:tc>
          <w:tcPr>
            <w:tcW w:type="dxa" w:w="1872"/>
            <w:shd w:val="clear" w:color="auto" w:fill="F7F7F5"/>
          </w:tcPr>
          <w:p>
            <w:pPr>
              <w:spacing w:after="40"/>
            </w:pPr>
            <w:r>
              <w:rPr>
                <w:rFonts w:ascii="Calibri" w:hAnsi="Calibri"/>
                <w:b/>
                <w:i w:val="0"/>
                <w:color w:val="0B2545"/>
                <w:sz w:val="19"/>
              </w:rPr>
              <w:t>Prune</w:t>
            </w:r>
          </w:p>
        </w:tc>
        <w:tc>
          <w:tcPr>
            <w:tcW w:type="dxa" w:w="7488"/>
          </w:tcPr>
          <w:p>
            <w:pPr>
              <w:spacing w:after="40"/>
            </w:pPr>
            <w:r>
              <w:rPr>
                <w:rFonts w:ascii="Calibri" w:hAnsi="Calibri"/>
                <w:b w:val="0"/>
                <w:i w:val="0"/>
                <w:color w:val="111111"/>
                <w:sz w:val="20"/>
              </w:rPr>
              <w:t>P6 — L137's closing scope clause, 20 words. The goal-horizon ladder in the same paragraph can also lose a sentence; recorded, not asked.</w:t>
            </w:r>
          </w:p>
        </w:tc>
      </w:tr>
      <w:tr>
        <w:trPr>
          <w:cantSplit/>
        </w:trPr>
        <w:tc>
          <w:tcPr>
            <w:tcW w:type="dxa" w:w="1872"/>
            <w:shd w:val="clear" w:color="auto" w:fill="F7F7F5"/>
          </w:tcPr>
          <w:p>
            <w:pPr>
              <w:spacing w:after="40"/>
            </w:pPr>
            <w:r>
              <w:rPr>
                <w:rFonts w:ascii="Calibri" w:hAnsi="Calibri"/>
                <w:b/>
                <w:i w:val="0"/>
                <w:color w:val="0B2545"/>
                <w:sz w:val="19"/>
              </w:rPr>
              <w:t>Watch</w:t>
            </w:r>
          </w:p>
        </w:tc>
        <w:tc>
          <w:tcPr>
            <w:tcW w:type="dxa" w:w="7488"/>
          </w:tcPr>
          <w:p>
            <w:pPr>
              <w:spacing w:after="40"/>
            </w:pPr>
            <w:r>
              <w:rPr>
                <w:rFonts w:ascii="Calibri" w:hAnsi="Calibri"/>
                <w:b w:val="0"/>
                <w:i w:val="0"/>
                <w:color w:val="111111"/>
                <w:sz w:val="20"/>
              </w:rPr>
              <w:t>Overlapping, never identical. GAS stays a historical heuristic. Cortisol does not cause the immediate heart-rate rise. Reclaim 3 needs one word changed from the removed version — the same ancient mobilization machinery becomes overlapping — or it reintroduces a must-correct. Light cone attribution: Levin, and see Decision 8.</w:t>
            </w:r>
          </w:p>
        </w:tc>
      </w:tr>
    </w:tbl>
    <w:p>
      <w:pPr>
        <w:spacing w:after="80"/>
      </w:pPr>
    </w:p>
    <w:p>
      <w:pPr>
        <w:pStyle w:val="Heading2"/>
        <w:spacing w:before="280" w:after="80"/>
      </w:pPr>
      <w:r>
        <w:rPr>
          <w:rFonts w:ascii="Calibri" w:hAnsi="Calibri"/>
          <w:color w:val="0B2545"/>
          <w:sz w:val="26"/>
        </w:rPr>
        <w:t>Section 4 — Coping</w:t>
      </w:r>
    </w:p>
    <w:tbl>
      <w:tblPr>
        <w:tblW w:type="auto" w:w="0"/>
        <w:jc w:val="center"/>
        <w:tblLayout w:type="fixed"/>
        <w:tblLook w:firstColumn="1" w:firstRow="1" w:lastColumn="0" w:lastRow="0" w:noHBand="0" w:noVBand="1" w:val="04A0"/>
        <w:tblBorders>
          <w:top w:val="single" w:sz="6" w:color="CCCCCC"/>
          <w:left w:val="single" w:sz="6" w:color="CCCCCC"/>
          <w:bottom w:val="single" w:sz="6" w:color="CCCCCC"/>
          <w:right w:val="single" w:sz="6" w:color="CCCCCC"/>
          <w:insideH w:val="single" w:sz="6" w:color="CCCCCC"/>
          <w:insideV w:val="single" w:sz="6" w:color="CCCCCC"/>
        </w:tblBorders>
        <w:tblLayout w:type="fixed"/>
      </w:tblPr>
      <w:tblGrid>
        <w:gridCol w:w="1872"/>
        <w:gridCol w:w="7488"/>
      </w:tblGrid>
      <w:tr>
        <w:trPr>
          <w:cantSplit/>
        </w:trPr>
        <w:tc>
          <w:tcPr>
            <w:tcW w:type="dxa" w:w="1872"/>
            <w:shd w:val="clear" w:color="auto" w:fill="F7F7F5"/>
          </w:tcPr>
          <w:p>
            <w:pPr>
              <w:spacing w:after="40"/>
            </w:pPr>
            <w:r>
              <w:rPr>
                <w:rFonts w:ascii="Calibri" w:hAnsi="Calibri"/>
                <w:b/>
                <w:i w:val="0"/>
                <w:color w:val="0B2545"/>
                <w:sz w:val="19"/>
              </w:rPr>
              <w:t>Spine claim</w:t>
            </w:r>
          </w:p>
        </w:tc>
        <w:tc>
          <w:tcPr>
            <w:tcW w:type="dxa" w:w="7488"/>
          </w:tcPr>
          <w:p>
            <w:pPr>
              <w:spacing w:after="40"/>
            </w:pPr>
            <w:r>
              <w:rPr>
                <w:rFonts w:ascii="Calibri" w:hAnsi="Calibri"/>
                <w:b w:val="0"/>
                <w:i w:val="0"/>
                <w:color w:val="111111"/>
                <w:sz w:val="20"/>
              </w:rPr>
              <w:t>Coping is a matching problem. What you can change determines what you should try — and other people change what the trying costs.</w:t>
            </w:r>
          </w:p>
        </w:tc>
      </w:tr>
      <w:tr>
        <w:trPr>
          <w:cantSplit/>
        </w:trPr>
        <w:tc>
          <w:tcPr>
            <w:tcW w:type="dxa" w:w="1872"/>
            <w:shd w:val="clear" w:color="auto" w:fill="F7F7F5"/>
          </w:tcPr>
          <w:p>
            <w:pPr>
              <w:spacing w:after="40"/>
            </w:pPr>
            <w:r>
              <w:rPr>
                <w:rFonts w:ascii="Calibri" w:hAnsi="Calibri"/>
                <w:b/>
                <w:i w:val="0"/>
                <w:color w:val="0B2545"/>
                <w:sz w:val="19"/>
              </w:rPr>
              <w:t>Lead with</w:t>
            </w:r>
          </w:p>
        </w:tc>
        <w:tc>
          <w:tcPr>
            <w:tcW w:type="dxa" w:w="7488"/>
          </w:tcPr>
          <w:p>
            <w:pPr>
              <w:spacing w:after="40"/>
            </w:pPr>
            <w:r>
              <w:rPr>
                <w:rFonts w:ascii="Calibri" w:hAnsi="Calibri"/>
                <w:b w:val="0"/>
                <w:i w:val="0"/>
                <w:color w:val="111111"/>
                <w:sz w:val="20"/>
              </w:rPr>
              <w:t>The two-step case. Regulate enough to act, then act. It is the chapter's central skill and the lab already practises it.</w:t>
            </w:r>
          </w:p>
        </w:tc>
      </w:tr>
      <w:tr>
        <w:trPr>
          <w:cantSplit/>
        </w:trPr>
        <w:tc>
          <w:tcPr>
            <w:tcW w:type="dxa" w:w="1872"/>
            <w:shd w:val="clear" w:color="auto" w:fill="F7F7F5"/>
          </w:tcPr>
          <w:p>
            <w:pPr>
              <w:spacing w:after="40"/>
            </w:pPr>
            <w:r>
              <w:rPr>
                <w:rFonts w:ascii="Calibri" w:hAnsi="Calibri"/>
                <w:b/>
                <w:i w:val="0"/>
                <w:color w:val="0B2545"/>
                <w:sz w:val="19"/>
              </w:rPr>
              <w:t>Arc</w:t>
            </w:r>
          </w:p>
        </w:tc>
        <w:tc>
          <w:tcPr>
            <w:tcW w:type="dxa" w:w="7488"/>
          </w:tcPr>
          <w:p>
            <w:pPr>
              <w:spacing w:after="40"/>
            </w:pPr>
            <w:r>
              <w:rPr>
                <w:rFonts w:ascii="Calibri" w:hAnsi="Calibri"/>
                <w:b w:val="0"/>
                <w:i w:val="0"/>
                <w:color w:val="111111"/>
                <w:sz w:val="20"/>
              </w:rPr>
              <w:t>You assume there is a right way to cope → it depends on what is changeable, and on what state you are in → payoff.</w:t>
            </w:r>
          </w:p>
        </w:tc>
      </w:tr>
      <w:tr>
        <w:trPr>
          <w:cantSplit/>
        </w:trPr>
        <w:tc>
          <w:tcPr>
            <w:tcW w:type="dxa" w:w="1872"/>
            <w:shd w:val="clear" w:color="auto" w:fill="F7F7F5"/>
          </w:tcPr>
          <w:p>
            <w:pPr>
              <w:spacing w:after="40"/>
            </w:pPr>
            <w:r>
              <w:rPr>
                <w:rFonts w:ascii="Calibri" w:hAnsi="Calibri"/>
                <w:b/>
                <w:i w:val="0"/>
                <w:color w:val="0B2545"/>
                <w:sz w:val="19"/>
              </w:rPr>
              <w:t>Payoff line</w:t>
            </w:r>
          </w:p>
        </w:tc>
        <w:tc>
          <w:tcPr>
            <w:tcW w:type="dxa" w:w="7488"/>
          </w:tcPr>
          <w:p>
            <w:pPr>
              <w:spacing w:after="40"/>
            </w:pPr>
            <w:r>
              <w:rPr>
                <w:rFonts w:ascii="Calibri" w:hAnsi="Calibri"/>
                <w:b w:val="0"/>
                <w:i/>
                <w:color w:val="111111"/>
                <w:sz w:val="20"/>
              </w:rPr>
              <w:t>There is no best coping strategy, the way there is no best tool. There is only what the situation will let you change — and whether you are currently in a state to change it.</w:t>
            </w:r>
          </w:p>
        </w:tc>
      </w:tr>
      <w:tr>
        <w:trPr>
          <w:cantSplit/>
        </w:trPr>
        <w:tc>
          <w:tcPr>
            <w:tcW w:type="dxa" w:w="1872"/>
            <w:shd w:val="clear" w:color="auto" w:fill="F7F7F5"/>
          </w:tcPr>
          <w:p>
            <w:pPr>
              <w:spacing w:after="40"/>
            </w:pPr>
            <w:r>
              <w:rPr>
                <w:rFonts w:ascii="Calibri" w:hAnsi="Calibri"/>
                <w:b/>
                <w:i w:val="0"/>
                <w:color w:val="0B2545"/>
                <w:sz w:val="19"/>
              </w:rPr>
              <w:t>Social buffering seam</w:t>
            </w:r>
          </w:p>
        </w:tc>
        <w:tc>
          <w:tcPr>
            <w:tcW w:type="dxa" w:w="7488"/>
          </w:tcPr>
          <w:p>
            <w:pPr>
              <w:spacing w:after="40"/>
            </w:pPr>
            <w:r>
              <w:rPr>
                <w:rFonts w:ascii="Calibri" w:hAnsi="Calibri"/>
                <w:b w:val="0"/>
                <w:i/>
                <w:color w:val="111111"/>
                <w:sz w:val="20"/>
              </w:rPr>
              <w:t>Chapter 10 said it already: for a while, the caregiver's regulated body is the infant's regulation system, borrowed from the outside. You never entirely stop borrowing. Reliable people do not only make a hard thing feel better — they change what the hard thing costs you to handle.</w:t>
            </w:r>
            <w:r>
              <w:rPr>
                <w:rFonts w:ascii="Calibri" w:hAnsi="Calibri"/>
                <w:b/>
                <w:i w:val="0"/>
                <w:color w:val="111111"/>
                <w:sz w:val="20"/>
              </w:rPr>
              <w:t xml:space="preserve">  (Decision 3)</w:t>
            </w:r>
          </w:p>
        </w:tc>
      </w:tr>
      <w:tr>
        <w:trPr>
          <w:cantSplit/>
        </w:trPr>
        <w:tc>
          <w:tcPr>
            <w:tcW w:type="dxa" w:w="1872"/>
            <w:shd w:val="clear" w:color="auto" w:fill="F7F7F5"/>
          </w:tcPr>
          <w:p>
            <w:pPr>
              <w:spacing w:after="40"/>
            </w:pPr>
            <w:r>
              <w:rPr>
                <w:rFonts w:ascii="Calibri" w:hAnsi="Calibri"/>
                <w:b/>
                <w:i w:val="0"/>
                <w:color w:val="0B2545"/>
                <w:sz w:val="19"/>
              </w:rPr>
              <w:t>Prune</w:t>
            </w:r>
          </w:p>
        </w:tc>
        <w:tc>
          <w:tcPr>
            <w:tcW w:type="dxa" w:w="7488"/>
          </w:tcPr>
          <w:p>
            <w:pPr>
              <w:spacing w:after="40"/>
            </w:pPr>
            <w:r>
              <w:rPr>
                <w:rFonts w:ascii="Calibri" w:hAnsi="Calibri"/>
                <w:b w:val="0"/>
                <w:i w:val="0"/>
                <w:color w:val="111111"/>
                <w:sz w:val="20"/>
              </w:rPr>
              <w:t>P4 — L121 entire, 27 words; the payoff line replaces its job. P5 — L177's closing sentence, 17 words; the Hostinar review supersedes it. P3 — L76's opening hedge and closing sentence, 22 words.</w:t>
            </w:r>
          </w:p>
        </w:tc>
      </w:tr>
      <w:tr>
        <w:trPr>
          <w:cantSplit/>
        </w:trPr>
        <w:tc>
          <w:tcPr>
            <w:tcW w:type="dxa" w:w="1872"/>
            <w:shd w:val="clear" w:color="auto" w:fill="F7F7F5"/>
          </w:tcPr>
          <w:p>
            <w:pPr>
              <w:spacing w:after="40"/>
            </w:pPr>
            <w:r>
              <w:rPr>
                <w:rFonts w:ascii="Calibri" w:hAnsi="Calibri"/>
                <w:b/>
                <w:i w:val="0"/>
                <w:color w:val="0B2545"/>
                <w:sz w:val="19"/>
              </w:rPr>
              <w:t>Watch</w:t>
            </w:r>
          </w:p>
        </w:tc>
        <w:tc>
          <w:tcPr>
            <w:tcW w:type="dxa" w:w="7488"/>
          </w:tcPr>
          <w:p>
            <w:pPr>
              <w:spacing w:after="40"/>
            </w:pPr>
            <w:r>
              <w:rPr>
                <w:rFonts w:ascii="Calibri" w:hAnsi="Calibri"/>
                <w:b w:val="0"/>
                <w:i w:val="0"/>
                <w:color w:val="111111"/>
                <w:sz w:val="20"/>
              </w:rPr>
              <w:t>Do not use Hostinar to cash out the body budget. “Here is the meter” is the overclaim the ledger bars, and it is the tempting payoff for L55 and L76 too. Hostinar is a review — do not upgrade it to a single demonstrated mechanism, and do not let “changes what it costs” harden into a measured quantity. If the stranger contrast comes up: Coan's own discussion says stranger contact probably does regulate threat response in some people some of the time, so a flat “strangers don't help” would be wrong, and unkind to a student thinking about a counsellor.</w:t>
            </w:r>
          </w:p>
        </w:tc>
      </w:tr>
    </w:tbl>
    <w:p>
      <w:pPr>
        <w:spacing w:after="80"/>
      </w:pPr>
    </w:p>
    <w:p>
      <w:pPr>
        <w:pStyle w:val="Heading2"/>
        <w:spacing w:before="280" w:after="80"/>
      </w:pPr>
      <w:r>
        <w:rPr>
          <w:rFonts w:ascii="Calibri" w:hAnsi="Calibri"/>
          <w:color w:val="0B2545"/>
          <w:sz w:val="26"/>
        </w:rPr>
        <w:t>AI Connection</w:t>
      </w:r>
    </w:p>
    <w:tbl>
      <w:tblPr>
        <w:tblW w:type="auto" w:w="0"/>
        <w:jc w:val="center"/>
        <w:tblLayout w:type="fixed"/>
        <w:tblLook w:firstColumn="1" w:firstRow="1" w:lastColumn="0" w:lastRow="0" w:noHBand="0" w:noVBand="1" w:val="04A0"/>
        <w:tblBorders>
          <w:top w:val="single" w:sz="6" w:color="CCCCCC"/>
          <w:left w:val="single" w:sz="6" w:color="CCCCCC"/>
          <w:bottom w:val="single" w:sz="6" w:color="CCCCCC"/>
          <w:right w:val="single" w:sz="6" w:color="CCCCCC"/>
          <w:insideH w:val="single" w:sz="6" w:color="CCCCCC"/>
          <w:insideV w:val="single" w:sz="6" w:color="CCCCCC"/>
        </w:tblBorders>
        <w:tblLayout w:type="fixed"/>
      </w:tblPr>
      <w:tblGrid>
        <w:gridCol w:w="1872"/>
        <w:gridCol w:w="7488"/>
      </w:tblGrid>
      <w:tr>
        <w:trPr>
          <w:cantSplit/>
        </w:trPr>
        <w:tc>
          <w:tcPr>
            <w:tcW w:type="dxa" w:w="1872"/>
            <w:shd w:val="clear" w:color="auto" w:fill="F7F7F5"/>
          </w:tcPr>
          <w:p>
            <w:pPr>
              <w:spacing w:after="40"/>
            </w:pPr>
            <w:r>
              <w:rPr>
                <w:rFonts w:ascii="Calibri" w:hAnsi="Calibri"/>
                <w:b/>
                <w:i w:val="0"/>
                <w:color w:val="0B2545"/>
                <w:sz w:val="19"/>
              </w:rPr>
              <w:t>Spine claim</w:t>
            </w:r>
          </w:p>
        </w:tc>
        <w:tc>
          <w:tcPr>
            <w:tcW w:type="dxa" w:w="7488"/>
          </w:tcPr>
          <w:p>
            <w:pPr>
              <w:spacing w:after="40"/>
            </w:pPr>
            <w:r>
              <w:rPr>
                <w:rFonts w:ascii="Calibri" w:hAnsi="Calibri"/>
                <w:b w:val="0"/>
                <w:i w:val="0"/>
                <w:color w:val="111111"/>
                <w:sz w:val="20"/>
              </w:rPr>
              <w:t>It produces the label without the body that made the label mean anything.</w:t>
            </w:r>
          </w:p>
        </w:tc>
      </w:tr>
      <w:tr>
        <w:trPr>
          <w:cantSplit/>
        </w:trPr>
        <w:tc>
          <w:tcPr>
            <w:tcW w:type="dxa" w:w="1872"/>
            <w:shd w:val="clear" w:color="auto" w:fill="F7F7F5"/>
          </w:tcPr>
          <w:p>
            <w:pPr>
              <w:spacing w:after="40"/>
            </w:pPr>
            <w:r>
              <w:rPr>
                <w:rFonts w:ascii="Calibri" w:hAnsi="Calibri"/>
                <w:b/>
                <w:i w:val="0"/>
                <w:color w:val="0B2545"/>
                <w:sz w:val="19"/>
              </w:rPr>
              <w:t>Payoff line</w:t>
            </w:r>
          </w:p>
        </w:tc>
        <w:tc>
          <w:tcPr>
            <w:tcW w:type="dxa" w:w="7488"/>
          </w:tcPr>
          <w:p>
            <w:pPr>
              <w:spacing w:after="40"/>
            </w:pPr>
            <w:r>
              <w:rPr>
                <w:rFonts w:ascii="Calibri" w:hAnsi="Calibri"/>
                <w:b w:val="0"/>
                <w:i/>
                <w:color w:val="111111"/>
                <w:sz w:val="20"/>
              </w:rPr>
              <w:t>It can say “overwhelmed” perfectly. It has nothing to be overwhelmed about.</w:t>
            </w:r>
            <w:r>
              <w:rPr>
                <w:rFonts w:ascii="Calibri" w:hAnsi="Calibri"/>
                <w:b w:val="0"/>
                <w:i w:val="0"/>
                <w:color w:val="111111"/>
                <w:sz w:val="20"/>
              </w:rPr>
              <w:t xml:space="preserve">  Then keep the existing close unchanged: </w:t>
            </w:r>
            <w:r>
              <w:rPr>
                <w:rFonts w:ascii="Calibri" w:hAnsi="Calibri"/>
                <w:b w:val="0"/>
                <w:i/>
                <w:color w:val="111111"/>
                <w:sz w:val="20"/>
              </w:rPr>
              <w:t>Useful as a mirror; not proof of a felt state.</w:t>
            </w:r>
          </w:p>
        </w:tc>
      </w:tr>
      <w:tr>
        <w:trPr>
          <w:cantSplit/>
        </w:trPr>
        <w:tc>
          <w:tcPr>
            <w:tcW w:type="dxa" w:w="1872"/>
            <w:shd w:val="clear" w:color="auto" w:fill="F7F7F5"/>
          </w:tcPr>
          <w:p>
            <w:pPr>
              <w:spacing w:after="40"/>
            </w:pPr>
            <w:r>
              <w:rPr>
                <w:rFonts w:ascii="Calibri" w:hAnsi="Calibri"/>
                <w:b/>
                <w:i w:val="0"/>
                <w:color w:val="0B2545"/>
                <w:sz w:val="19"/>
              </w:rPr>
              <w:t>Prune</w:t>
            </w:r>
          </w:p>
        </w:tc>
        <w:tc>
          <w:tcPr>
            <w:tcW w:type="dxa" w:w="7488"/>
          </w:tcPr>
          <w:p>
            <w:pPr>
              <w:spacing w:after="40"/>
            </w:pPr>
            <w:r>
              <w:rPr>
                <w:rFonts w:ascii="Calibri" w:hAnsi="Calibri"/>
                <w:b w:val="0"/>
                <w:i w:val="0"/>
                <w:color w:val="111111"/>
                <w:sz w:val="20"/>
              </w:rPr>
              <w:t>The middle disclaimer sentence at L241. Recorded, not asked — throat-clearing, and the neighbouring sentences carry the bound.</w:t>
            </w:r>
          </w:p>
        </w:tc>
      </w:tr>
      <w:tr>
        <w:trPr>
          <w:cantSplit/>
        </w:trPr>
        <w:tc>
          <w:tcPr>
            <w:tcW w:type="dxa" w:w="1872"/>
            <w:shd w:val="clear" w:color="auto" w:fill="F7F7F5"/>
          </w:tcPr>
          <w:p>
            <w:pPr>
              <w:spacing w:after="40"/>
            </w:pPr>
            <w:r>
              <w:rPr>
                <w:rFonts w:ascii="Calibri" w:hAnsi="Calibri"/>
                <w:b/>
                <w:i w:val="0"/>
                <w:color w:val="0B2545"/>
                <w:sz w:val="19"/>
              </w:rPr>
              <w:t>Watch</w:t>
            </w:r>
          </w:p>
        </w:tc>
        <w:tc>
          <w:tcPr>
            <w:tcW w:type="dxa" w:w="7488"/>
          </w:tcPr>
          <w:p>
            <w:pPr>
              <w:spacing w:after="40"/>
            </w:pPr>
            <w:r>
              <w:rPr>
                <w:rFonts w:ascii="Calibri" w:hAnsi="Calibri"/>
                <w:b w:val="0"/>
                <w:i w:val="0"/>
                <w:color w:val="111111"/>
                <w:sz w:val="20"/>
              </w:rPr>
              <w:t>The ledger protects emotion-shaped output and the mirror line verbatim. This lands the same no-stakes framing you chose for Chapter 11's AI Connection, which is a consistency win rather than a coincidence.</w:t>
            </w:r>
          </w:p>
        </w:tc>
      </w:tr>
    </w:tbl>
    <w:p>
      <w:pPr>
        <w:spacing w:after="80"/>
      </w:pPr>
    </w:p>
    <w:p>
      <w:pPr>
        <w:pStyle w:val="Heading2"/>
        <w:spacing w:before="280" w:after="80"/>
      </w:pPr>
      <w:r>
        <w:rPr>
          <w:rFonts w:ascii="Calibri" w:hAnsi="Calibri"/>
          <w:color w:val="0B2545"/>
          <w:sz w:val="26"/>
        </w:rPr>
        <w:t>Closing cadence</w:t>
      </w:r>
    </w:p>
    <w:tbl>
      <w:tblPr>
        <w:tblW w:type="auto" w:w="0"/>
        <w:jc w:val="center"/>
        <w:tblLayout w:type="fixed"/>
        <w:tblLook w:firstColumn="1" w:firstRow="1" w:lastColumn="0" w:lastRow="0" w:noHBand="0" w:noVBand="1" w:val="04A0"/>
        <w:tblBorders>
          <w:top w:val="single" w:sz="6" w:color="CCCCCC"/>
          <w:left w:val="single" w:sz="6" w:color="CCCCCC"/>
          <w:bottom w:val="single" w:sz="6" w:color="CCCCCC"/>
          <w:right w:val="single" w:sz="6" w:color="CCCCCC"/>
          <w:insideH w:val="single" w:sz="6" w:color="CCCCCC"/>
          <w:insideV w:val="single" w:sz="6" w:color="CCCCCC"/>
        </w:tblBorders>
        <w:tblLayout w:type="fixed"/>
      </w:tblPr>
      <w:tblGrid>
        <w:gridCol w:w="1872"/>
        <w:gridCol w:w="7488"/>
      </w:tblGrid>
      <w:tr>
        <w:trPr>
          <w:cantSplit/>
        </w:trPr>
        <w:tc>
          <w:tcPr>
            <w:tcW w:type="dxa" w:w="1872"/>
            <w:shd w:val="clear" w:color="auto" w:fill="F7F7F5"/>
          </w:tcPr>
          <w:p>
            <w:pPr>
              <w:spacing w:after="40"/>
            </w:pPr>
            <w:r>
              <w:rPr>
                <w:rFonts w:ascii="Calibri" w:hAnsi="Calibri"/>
                <w:b/>
                <w:i w:val="0"/>
                <w:color w:val="0B2545"/>
                <w:sz w:val="19"/>
              </w:rPr>
              <w:t>Reclaim 4</w:t>
            </w:r>
          </w:p>
        </w:tc>
        <w:tc>
          <w:tcPr>
            <w:tcW w:type="dxa" w:w="7488"/>
          </w:tcPr>
          <w:p>
            <w:pPr>
              <w:spacing w:after="40"/>
            </w:pPr>
            <w:r>
              <w:rPr>
                <w:rFonts w:ascii="Calibri" w:hAnsi="Calibri"/>
                <w:b w:val="0"/>
                <w:i w:val="0"/>
                <w:color w:val="111111"/>
                <w:sz w:val="20"/>
              </w:rPr>
              <w:t xml:space="preserve">An old, mostly </w:t>
            </w:r>
            <w:r>
              <w:rPr>
                <w:rFonts w:ascii="Calibri" w:hAnsi="Calibri"/>
                <w:b/>
                <w:i w:val="0"/>
                <w:color w:val="111111"/>
                <w:sz w:val="20"/>
              </w:rPr>
              <w:t>effective</w:t>
            </w:r>
            <w:r>
              <w:rPr>
                <w:rFonts w:ascii="Calibri" w:hAnsi="Calibri"/>
                <w:b w:val="0"/>
                <w:i w:val="0"/>
                <w:color w:val="111111"/>
                <w:sz w:val="20"/>
              </w:rPr>
              <w:t xml:space="preserve"> system returns to an old, mostly </w:t>
            </w:r>
            <w:r>
              <w:rPr>
                <w:rFonts w:ascii="Calibri" w:hAnsi="Calibri"/>
                <w:b/>
                <w:i w:val="0"/>
                <w:color w:val="111111"/>
                <w:sz w:val="20"/>
              </w:rPr>
              <w:t>excellent</w:t>
            </w:r>
            <w:r>
              <w:rPr>
                <w:rFonts w:ascii="Calibri" w:hAnsi="Calibri"/>
                <w:b w:val="0"/>
                <w:i w:val="0"/>
                <w:color w:val="111111"/>
                <w:sz w:val="20"/>
              </w:rPr>
              <w:t xml:space="preserve"> system. Dropping “prediction” was correct per the audit; “excellent” was collateral.</w:t>
            </w:r>
          </w:p>
        </w:tc>
      </w:tr>
      <w:tr>
        <w:trPr>
          <w:cantSplit/>
        </w:trPr>
        <w:tc>
          <w:tcPr>
            <w:tcW w:type="dxa" w:w="1872"/>
            <w:shd w:val="clear" w:color="auto" w:fill="F7F7F5"/>
          </w:tcPr>
          <w:p>
            <w:pPr>
              <w:spacing w:after="40"/>
            </w:pPr>
            <w:r>
              <w:rPr>
                <w:rFonts w:ascii="Calibri" w:hAnsi="Calibri"/>
                <w:b/>
                <w:i w:val="0"/>
                <w:color w:val="0B2545"/>
                <w:sz w:val="19"/>
              </w:rPr>
              <w:t>Watch</w:t>
            </w:r>
          </w:p>
        </w:tc>
        <w:tc>
          <w:tcPr>
            <w:tcW w:type="dxa" w:w="7488"/>
          </w:tcPr>
          <w:p>
            <w:pPr>
              <w:spacing w:after="40"/>
            </w:pPr>
            <w:r>
              <w:rPr>
                <w:rFonts w:ascii="Calibri" w:hAnsi="Calibri"/>
                <w:b w:val="0"/>
                <w:i w:val="0"/>
                <w:color w:val="111111"/>
                <w:sz w:val="20"/>
              </w:rPr>
              <w:t>The ledger protects the humane landing, the symbolic and chronic threat landscape, and the short final rhythm. All three survive.</w:t>
            </w:r>
          </w:p>
        </w:tc>
      </w:tr>
    </w:tbl>
    <w:p>
      <w:pPr>
        <w:spacing w:after="80"/>
      </w:pPr>
    </w:p>
    <w:p>
      <w:pPr>
        <w:pStyle w:val="Heading1"/>
        <w:spacing w:before="280" w:after="80"/>
      </w:pPr>
      <w:r>
        <w:rPr>
          <w:rFonts w:ascii="Calibri" w:hAnsi="Calibri"/>
          <w:color w:val="0B2545"/>
          <w:sz w:val="32"/>
        </w:rPr>
        <w:t>The three thread decisions</w:t>
      </w:r>
    </w:p>
    <w:tbl>
      <w:tblPr>
        <w:tblW w:type="auto" w:w="0"/>
        <w:jc w:val="center"/>
        <w:tblLayout w:type="fixed"/>
        <w:tblLook w:firstColumn="1" w:firstRow="1" w:lastColumn="0" w:lastRow="0" w:noHBand="0" w:noVBand="1" w:val="04A0"/>
        <w:tblBorders>
          <w:top w:val="single" w:sz="8" w:color="D9A93C"/>
          <w:left w:val="single" w:sz="8" w:color="D9A93C"/>
          <w:bottom w:val="single" w:sz="8" w:color="D9A93C"/>
          <w:right w:val="single" w:sz="8" w:color="D9A93C"/>
          <w:insideH w:val="single" w:sz="8" w:color="D9A93C"/>
          <w:insideV w:val="single" w:sz="8" w:color="D9A93C"/>
        </w:tblBorders>
        <w:tblLayout w:type="fixed"/>
      </w:tblPr>
      <w:tblGrid>
        <w:gridCol w:w="9360"/>
      </w:tblGrid>
      <w:tr>
        <w:trPr>
          <w:cantSplit/>
        </w:trPr>
        <w:tc>
          <w:tcPr>
            <w:tcW w:type="dxa" w:w="9360"/>
            <w:shd w:val="clear" w:color="auto" w:fill="FFF3D6"/>
          </w:tcPr>
          <w:p>
            <w:pPr>
              <w:keepNext/>
              <w:spacing w:after="80"/>
            </w:pPr>
            <w:r>
              <w:rPr>
                <w:rFonts w:ascii="Calibri" w:hAnsi="Calibri"/>
                <w:b/>
                <w:i w:val="0"/>
                <w:color w:val="0B2545"/>
                <w:sz w:val="21"/>
              </w:rPr>
              <w:t>DECISION 3 — Social buffering — install the Chapter 10 callback?</w:t>
            </w:r>
          </w:p>
          <w:p>
            <w:pPr>
              <w:keepNext/>
              <w:spacing w:after="60"/>
            </w:pPr>
            <w:r>
              <w:rPr>
                <w:rFonts w:ascii="Calibri" w:hAnsi="Calibri"/>
                <w:b w:val="0"/>
                <w:i w:val="0"/>
                <w:color w:val="111111"/>
                <w:sz w:val="20"/>
              </w:rPr>
              <w:t>The seam is drafted in the Section 4 seed above, anchored on Hostinar, Sullivan and Gunnar (2014). See Findings 1 and 2 for why this anchor and not the fMRI study.</w:t>
            </w:r>
          </w:p>
          <w:p>
            <w:pPr>
              <w:keepNext/>
              <w:spacing w:after="60"/>
            </w:pPr>
            <w:r>
              <w:rPr>
                <w:rFonts w:ascii="Calibri" w:hAnsi="Calibri"/>
                <w:b w:val="0"/>
                <w:i w:val="0"/>
                <w:color w:val="111111"/>
                <w:sz w:val="20"/>
              </w:rPr>
              <w:t>Install as drafted / install with Thorsteinsson and James (1999) for an effect size instead / do not install, and delete the two Chapter 10 bridge claims so the chapter stops promising it.</w:t>
            </w:r>
          </w:p>
          <w:p>
            <w:pPr>
              <w:keepNext/>
              <w:spacing w:after="60"/>
            </w:pPr>
            <w:r>
              <w:rPr>
                <w:rFonts w:ascii="Calibri" w:hAnsi="Calibri"/>
                <w:b w:val="0"/>
                <w:i/>
                <w:color w:val="111111"/>
                <w:sz w:val="20"/>
              </w:rPr>
              <w:t>If you decline it, say so and I will record what is lost: social support keeps its list of pathways and never acquires a mechanism, which was the spine's stated reason for routing the thread here.</w:t>
            </w:r>
          </w:p>
        </w:tc>
      </w:tr>
      <w:tr>
        <w:trPr>
          <w:cantSplit/>
        </w:trPr>
        <w:tc>
          <w:tcPr>
            <w:tcW w:type="dxa" w:w="9360"/>
            <w:shd w:val="clear" w:color="auto" w:fill="FFFFFF"/>
          </w:tcPr>
          <w:p>
            <w:pPr>
              <w:spacing w:after="40"/>
            </w:pPr>
            <w:r>
              <w:rPr>
                <w:rFonts w:ascii="Calibri" w:hAnsi="Calibri"/>
                <w:b/>
                <w:i w:val="0"/>
                <w:color w:val="555555"/>
                <w:sz w:val="18"/>
              </w:rPr>
              <w:t>Your answer:</w:t>
            </w:r>
          </w:p>
          <w:p>
            <w:pPr>
              <w:spacing w:after="200"/>
            </w:pPr>
            <w:r>
              <w:rPr>
                <w:rFonts w:ascii="Calibri" w:hAnsi="Calibri"/>
                <w:b w:val="0"/>
                <w:i w:val="0"/>
                <w:color w:val="111111"/>
                <w:sz w:val="20"/>
              </w:rPr>
            </w:r>
          </w:p>
          <w:p>
            <w:pPr>
              <w:spacing w:after="200"/>
            </w:pPr>
            <w:r>
              <w:rPr>
                <w:rFonts w:ascii="Calibri" w:hAnsi="Calibri"/>
                <w:b w:val="0"/>
                <w:i w:val="0"/>
                <w:color w:val="111111"/>
                <w:sz w:val="20"/>
              </w:rPr>
            </w:r>
          </w:p>
          <w:p>
            <w:pPr>
              <w:spacing w:after="200"/>
            </w:pPr>
            <w:r>
              <w:rPr>
                <w:rFonts w:ascii="Calibri" w:hAnsi="Calibri"/>
                <w:b w:val="0"/>
                <w:i w:val="0"/>
                <w:color w:val="111111"/>
                <w:sz w:val="20"/>
              </w:rPr>
            </w:r>
          </w:p>
        </w:tc>
      </w:tr>
    </w:tbl>
    <w:p>
      <w:pPr>
        <w:spacing w:after="80"/>
      </w:pPr>
    </w:p>
    <w:tbl>
      <w:tblPr>
        <w:tblW w:type="auto" w:w="0"/>
        <w:jc w:val="center"/>
        <w:tblLayout w:type="fixed"/>
        <w:tblLook w:firstColumn="1" w:firstRow="1" w:lastColumn="0" w:lastRow="0" w:noHBand="0" w:noVBand="1" w:val="04A0"/>
        <w:tblBorders>
          <w:top w:val="single" w:sz="8" w:color="D9A93C"/>
          <w:left w:val="single" w:sz="8" w:color="D9A93C"/>
          <w:bottom w:val="single" w:sz="8" w:color="D9A93C"/>
          <w:right w:val="single" w:sz="8" w:color="D9A93C"/>
          <w:insideH w:val="single" w:sz="8" w:color="D9A93C"/>
          <w:insideV w:val="single" w:sz="8" w:color="D9A93C"/>
        </w:tblBorders>
        <w:tblLayout w:type="fixed"/>
      </w:tblPr>
      <w:tblGrid>
        <w:gridCol w:w="9360"/>
      </w:tblGrid>
      <w:tr>
        <w:trPr>
          <w:cantSplit/>
        </w:trPr>
        <w:tc>
          <w:tcPr>
            <w:tcW w:type="dxa" w:w="9360"/>
            <w:shd w:val="clear" w:color="auto" w:fill="FFF3D6"/>
          </w:tcPr>
          <w:p>
            <w:pPr>
              <w:keepNext/>
              <w:spacing w:after="80"/>
            </w:pPr>
            <w:r>
              <w:rPr>
                <w:rFonts w:ascii="Calibri" w:hAnsi="Calibri"/>
                <w:b/>
                <w:i w:val="0"/>
                <w:color w:val="0B2545"/>
                <w:sz w:val="21"/>
              </w:rPr>
              <w:t>DECISION 4 — Compression — install the core-affect-as-summary seam?</w:t>
            </w:r>
          </w:p>
          <w:p>
            <w:pPr>
              <w:keepNext/>
              <w:spacing w:after="60"/>
            </w:pPr>
            <w:r>
              <w:rPr>
                <w:rFonts w:ascii="Calibri" w:hAnsi="Calibri"/>
                <w:b w:val="0"/>
                <w:i w:val="0"/>
                <w:color w:val="111111"/>
                <w:sz w:val="20"/>
              </w:rPr>
              <w:t>Drafted in the Section 1 seed. Compression is the spine's central lens and its drafting rules ask for it in every chapter; it currently scores zero here. Core affect's two numbers standing in for a whole body is the cleanest instance of lossy compression in the book, and it sets up granularity in the next section.</w:t>
            </w:r>
          </w:p>
          <w:p>
            <w:pPr>
              <w:keepNext/>
              <w:spacing w:after="60"/>
            </w:pPr>
            <w:r>
              <w:rPr>
                <w:rFonts w:ascii="Calibri" w:hAnsi="Calibri"/>
                <w:b w:val="0"/>
                <w:i w:val="0"/>
                <w:color w:val="111111"/>
                <w:sz w:val="20"/>
              </w:rPr>
              <w:t>Install / leave compression out of this chapter.</w:t>
            </w:r>
          </w:p>
        </w:tc>
      </w:tr>
      <w:tr>
        <w:trPr>
          <w:cantSplit/>
        </w:trPr>
        <w:tc>
          <w:tcPr>
            <w:tcW w:type="dxa" w:w="9360"/>
            <w:shd w:val="clear" w:color="auto" w:fill="FFFFFF"/>
          </w:tcPr>
          <w:p>
            <w:pPr>
              <w:spacing w:after="40"/>
            </w:pPr>
            <w:r>
              <w:rPr>
                <w:rFonts w:ascii="Calibri" w:hAnsi="Calibri"/>
                <w:b/>
                <w:i w:val="0"/>
                <w:color w:val="555555"/>
                <w:sz w:val="18"/>
              </w:rPr>
              <w:t>Your answer:</w:t>
            </w:r>
          </w:p>
          <w:p>
            <w:pPr>
              <w:spacing w:after="200"/>
            </w:pPr>
            <w:r>
              <w:rPr>
                <w:rFonts w:ascii="Calibri" w:hAnsi="Calibri"/>
                <w:b w:val="0"/>
                <w:i w:val="0"/>
                <w:color w:val="111111"/>
                <w:sz w:val="20"/>
              </w:rPr>
            </w:r>
          </w:p>
          <w:p>
            <w:pPr>
              <w:spacing w:after="200"/>
            </w:pPr>
            <w:r>
              <w:rPr>
                <w:rFonts w:ascii="Calibri" w:hAnsi="Calibri"/>
                <w:b w:val="0"/>
                <w:i w:val="0"/>
                <w:color w:val="111111"/>
                <w:sz w:val="20"/>
              </w:rPr>
            </w:r>
          </w:p>
          <w:p>
            <w:pPr>
              <w:spacing w:after="200"/>
            </w:pPr>
            <w:r>
              <w:rPr>
                <w:rFonts w:ascii="Calibri" w:hAnsi="Calibri"/>
                <w:b w:val="0"/>
                <w:i w:val="0"/>
                <w:color w:val="111111"/>
                <w:sz w:val="20"/>
              </w:rPr>
            </w:r>
          </w:p>
        </w:tc>
      </w:tr>
    </w:tbl>
    <w:p>
      <w:pPr>
        <w:spacing w:after="80"/>
      </w:pPr>
    </w:p>
    <w:tbl>
      <w:tblPr>
        <w:tblW w:type="auto" w:w="0"/>
        <w:jc w:val="center"/>
        <w:tblLayout w:type="fixed"/>
        <w:tblLook w:firstColumn="1" w:firstRow="1" w:lastColumn="0" w:lastRow="0" w:noHBand="0" w:noVBand="1" w:val="04A0"/>
        <w:tblBorders>
          <w:top w:val="single" w:sz="8" w:color="D9A93C"/>
          <w:left w:val="single" w:sz="8" w:color="D9A93C"/>
          <w:bottom w:val="single" w:sz="8" w:color="D9A93C"/>
          <w:right w:val="single" w:sz="8" w:color="D9A93C"/>
          <w:insideH w:val="single" w:sz="8" w:color="D9A93C"/>
          <w:insideV w:val="single" w:sz="8" w:color="D9A93C"/>
        </w:tblBorders>
        <w:tblLayout w:type="fixed"/>
      </w:tblPr>
      <w:tblGrid>
        <w:gridCol w:w="9360"/>
      </w:tblGrid>
      <w:tr>
        <w:trPr>
          <w:cantSplit/>
        </w:trPr>
        <w:tc>
          <w:tcPr>
            <w:tcW w:type="dxa" w:w="9360"/>
            <w:shd w:val="clear" w:color="auto" w:fill="FFF3D6"/>
          </w:tcPr>
          <w:p>
            <w:pPr>
              <w:keepNext/>
              <w:spacing w:after="80"/>
            </w:pPr>
            <w:r>
              <w:rPr>
                <w:rFonts w:ascii="Calibri" w:hAnsi="Calibri"/>
                <w:b/>
                <w:i w:val="0"/>
                <w:color w:val="0B2545"/>
                <w:sz w:val="21"/>
              </w:rPr>
              <w:t>DECISION 5 — Action-readiness — name it or leave it implicit?</w:t>
            </w:r>
          </w:p>
          <w:p>
            <w:pPr>
              <w:keepNext/>
              <w:spacing w:after="60"/>
            </w:pPr>
            <w:r>
              <w:rPr>
                <w:rFonts w:ascii="Calibri" w:hAnsi="Calibri"/>
                <w:b w:val="0"/>
                <w:i w:val="0"/>
                <w:color w:val="111111"/>
                <w:sz w:val="20"/>
              </w:rPr>
              <w:t>The chapter map assigns this chapter emotion as mattering and action-readiness. Action tendency currently appears in one table cell and one review answer, and nowhere in body prose.</w:t>
            </w:r>
          </w:p>
          <w:p>
            <w:pPr>
              <w:keepNext/>
              <w:spacing w:after="60"/>
            </w:pPr>
            <w:r>
              <w:rPr>
                <w:rFonts w:ascii="Calibri" w:hAnsi="Calibri"/>
                <w:b w:val="0"/>
                <w:i w:val="0"/>
                <w:color w:val="111111"/>
                <w:sz w:val="20"/>
              </w:rPr>
              <w:t>The Section 2 payoff line carries the idea without the term. Option A: let it ride unnamed. Option B: add the fear-anger-shame sentence and name it.</w:t>
            </w:r>
          </w:p>
        </w:tc>
      </w:tr>
      <w:tr>
        <w:trPr>
          <w:cantSplit/>
        </w:trPr>
        <w:tc>
          <w:tcPr>
            <w:tcW w:type="dxa" w:w="9360"/>
            <w:shd w:val="clear" w:color="auto" w:fill="FFFFFF"/>
          </w:tcPr>
          <w:p>
            <w:pPr>
              <w:spacing w:after="40"/>
            </w:pPr>
            <w:r>
              <w:rPr>
                <w:rFonts w:ascii="Calibri" w:hAnsi="Calibri"/>
                <w:b/>
                <w:i w:val="0"/>
                <w:color w:val="555555"/>
                <w:sz w:val="18"/>
              </w:rPr>
              <w:t>Your answer:</w:t>
            </w:r>
          </w:p>
          <w:p>
            <w:pPr>
              <w:spacing w:after="200"/>
            </w:pPr>
            <w:r>
              <w:rPr>
                <w:rFonts w:ascii="Calibri" w:hAnsi="Calibri"/>
                <w:b w:val="0"/>
                <w:i w:val="0"/>
                <w:color w:val="111111"/>
                <w:sz w:val="20"/>
              </w:rPr>
            </w:r>
          </w:p>
          <w:p>
            <w:pPr>
              <w:spacing w:after="200"/>
            </w:pPr>
            <w:r>
              <w:rPr>
                <w:rFonts w:ascii="Calibri" w:hAnsi="Calibri"/>
                <w:b w:val="0"/>
                <w:i w:val="0"/>
                <w:color w:val="111111"/>
                <w:sz w:val="20"/>
              </w:rPr>
            </w:r>
          </w:p>
          <w:p>
            <w:pPr>
              <w:spacing w:after="200"/>
            </w:pPr>
            <w:r>
              <w:rPr>
                <w:rFonts w:ascii="Calibri" w:hAnsi="Calibri"/>
                <w:b w:val="0"/>
                <w:i w:val="0"/>
                <w:color w:val="111111"/>
                <w:sz w:val="20"/>
              </w:rPr>
            </w:r>
          </w:p>
        </w:tc>
      </w:tr>
    </w:tbl>
    <w:p>
      <w:pPr>
        <w:spacing w:after="80"/>
      </w:pPr>
    </w:p>
    <w:p>
      <w:pPr>
        <w:pStyle w:val="Heading1"/>
        <w:spacing w:before="280" w:after="80"/>
      </w:pPr>
      <w:r>
        <w:rPr>
          <w:rFonts w:ascii="Calibri" w:hAnsi="Calibri"/>
          <w:color w:val="0B2545"/>
          <w:sz w:val="32"/>
        </w:rPr>
        <w:t>The prunes</w:t>
      </w:r>
    </w:p>
    <w:p>
      <w:pPr>
        <w:spacing w:before="0" w:after="120"/>
      </w:pPr>
      <w:r>
        <w:rPr>
          <w:rFonts w:ascii="Calibri" w:hAnsi="Calibri"/>
          <w:b w:val="0"/>
          <w:i w:val="0"/>
          <w:color w:val="111111"/>
          <w:sz w:val="21"/>
        </w:rPr>
        <w:t>Every prune is yours. Total 184 words. Tick, strike, or amend.</w:t>
      </w:r>
    </w:p>
    <w:tbl>
      <w:tblPr>
        <w:tblW w:type="auto" w:w="0"/>
        <w:jc w:val="center"/>
        <w:tblLayout w:type="fixed"/>
        <w:tblLook w:firstColumn="1" w:firstRow="1" w:lastColumn="0" w:lastRow="0" w:noHBand="0" w:noVBand="1" w:val="04A0"/>
        <w:tblBorders>
          <w:top w:val="single" w:sz="6" w:color="BBBBBB"/>
          <w:left w:val="single" w:sz="6" w:color="BBBBBB"/>
          <w:bottom w:val="single" w:sz="6" w:color="BBBBBB"/>
          <w:right w:val="single" w:sz="6" w:color="BBBBBB"/>
          <w:insideH w:val="single" w:sz="6" w:color="BBBBBB"/>
          <w:insideV w:val="single" w:sz="6" w:color="BBBBBB"/>
        </w:tblBorders>
        <w:tblLayout w:type="fixed"/>
      </w:tblPr>
      <w:tblGrid>
        <w:gridCol w:w="648"/>
        <w:gridCol w:w="1007"/>
        <w:gridCol w:w="6623"/>
        <w:gridCol w:w="1080"/>
      </w:tblGrid>
      <w:tr>
        <w:trPr>
          <w:tblHeader/>
        </w:trPr>
        <w:tc>
          <w:tcPr>
            <w:tcW w:type="dxa" w:w="648"/>
            <w:shd w:val="clear" w:color="auto" w:fill="E4E9EF"/>
          </w:tcPr>
          <w:p>
            <w:pPr>
              <w:spacing w:after="40"/>
            </w:pPr>
            <w:r>
              <w:rPr>
                <w:rFonts w:ascii="Calibri" w:hAnsi="Calibri"/>
                <w:b/>
                <w:i w:val="0"/>
                <w:color w:val="0B2545"/>
                <w:sz w:val="19"/>
              </w:rPr>
              <w:t>ID</w:t>
            </w:r>
          </w:p>
        </w:tc>
        <w:tc>
          <w:tcPr>
            <w:tcW w:type="dxa" w:w="1008"/>
            <w:shd w:val="clear" w:color="auto" w:fill="E4E9EF"/>
          </w:tcPr>
          <w:p>
            <w:pPr>
              <w:spacing w:after="40"/>
            </w:pPr>
            <w:r>
              <w:rPr>
                <w:rFonts w:ascii="Calibri" w:hAnsi="Calibri"/>
                <w:b/>
                <w:i w:val="0"/>
                <w:color w:val="0B2545"/>
                <w:sz w:val="19"/>
              </w:rPr>
              <w:t>Where</w:t>
            </w:r>
          </w:p>
        </w:tc>
        <w:tc>
          <w:tcPr>
            <w:tcW w:type="dxa" w:w="6624"/>
            <w:shd w:val="clear" w:color="auto" w:fill="E4E9EF"/>
          </w:tcPr>
          <w:p>
            <w:pPr>
              <w:spacing w:after="40"/>
            </w:pPr>
            <w:r>
              <w:rPr>
                <w:rFonts w:ascii="Calibri" w:hAnsi="Calibri"/>
                <w:b/>
                <w:i w:val="0"/>
                <w:color w:val="0B2545"/>
                <w:sz w:val="19"/>
              </w:rPr>
              <w:t>What comes out</w:t>
            </w:r>
          </w:p>
        </w:tc>
        <w:tc>
          <w:tcPr>
            <w:tcW w:type="dxa" w:w="1080"/>
            <w:shd w:val="clear" w:color="auto" w:fill="E4E9EF"/>
          </w:tcPr>
          <w:p>
            <w:pPr>
              <w:spacing w:after="40"/>
            </w:pPr>
            <w:r>
              <w:rPr>
                <w:rFonts w:ascii="Calibri" w:hAnsi="Calibri"/>
                <w:b/>
                <w:i w:val="0"/>
                <w:color w:val="0B2545"/>
                <w:sz w:val="19"/>
              </w:rPr>
              <w:t>Words</w:t>
            </w:r>
          </w:p>
        </w:tc>
      </w:tr>
      <w:tr>
        <w:tc>
          <w:tcPr>
            <w:tcW w:type="dxa" w:w="648"/>
          </w:tcPr>
          <w:p>
            <w:pPr>
              <w:spacing w:after="40"/>
            </w:pPr>
            <w:r>
              <w:rPr>
                <w:rFonts w:ascii="Calibri" w:hAnsi="Calibri"/>
                <w:b w:val="0"/>
                <w:i w:val="0"/>
                <w:color w:val="111111"/>
                <w:sz w:val="19"/>
              </w:rPr>
              <w:t>P1</w:t>
            </w:r>
          </w:p>
        </w:tc>
        <w:tc>
          <w:tcPr>
            <w:tcW w:type="dxa" w:w="1008"/>
          </w:tcPr>
          <w:p>
            <w:pPr>
              <w:spacing w:after="40"/>
            </w:pPr>
            <w:r>
              <w:rPr>
                <w:rFonts w:ascii="Calibri" w:hAnsi="Calibri"/>
                <w:b w:val="0"/>
                <w:i w:val="0"/>
                <w:color w:val="111111"/>
                <w:sz w:val="19"/>
              </w:rPr>
              <w:t>L88</w:t>
            </w:r>
          </w:p>
        </w:tc>
        <w:tc>
          <w:tcPr>
            <w:tcW w:type="dxa" w:w="6624"/>
          </w:tcPr>
          <w:p>
            <w:pPr>
              <w:spacing w:after="40"/>
            </w:pPr>
            <w:r>
              <w:rPr>
                <w:rFonts w:ascii="Calibri" w:hAnsi="Calibri"/>
                <w:b w:val="0"/>
                <w:i w:val="0"/>
                <w:color w:val="111111"/>
                <w:sz w:val="19"/>
              </w:rPr>
              <w:t>The constructionism meta-paragraph, whole</w:t>
            </w:r>
          </w:p>
        </w:tc>
        <w:tc>
          <w:tcPr>
            <w:tcW w:type="dxa" w:w="1080"/>
          </w:tcPr>
          <w:p>
            <w:pPr>
              <w:spacing w:after="40"/>
            </w:pPr>
            <w:r>
              <w:rPr>
                <w:rFonts w:ascii="Calibri" w:hAnsi="Calibri"/>
                <w:b w:val="0"/>
                <w:i w:val="0"/>
                <w:color w:val="111111"/>
                <w:sz w:val="19"/>
              </w:rPr>
              <w:t>59</w:t>
            </w:r>
          </w:p>
        </w:tc>
      </w:tr>
      <w:tr>
        <w:tc>
          <w:tcPr>
            <w:tcW w:type="dxa" w:w="648"/>
          </w:tcPr>
          <w:p>
            <w:pPr>
              <w:spacing w:after="40"/>
            </w:pPr>
            <w:r>
              <w:rPr>
                <w:rFonts w:ascii="Calibri" w:hAnsi="Calibri"/>
                <w:b w:val="0"/>
                <w:i w:val="0"/>
                <w:color w:val="111111"/>
                <w:sz w:val="19"/>
              </w:rPr>
              <w:t>P2</w:t>
            </w:r>
          </w:p>
        </w:tc>
        <w:tc>
          <w:tcPr>
            <w:tcW w:type="dxa" w:w="1008"/>
          </w:tcPr>
          <w:p>
            <w:pPr>
              <w:spacing w:after="40"/>
            </w:pPr>
            <w:r>
              <w:rPr>
                <w:rFonts w:ascii="Calibri" w:hAnsi="Calibri"/>
                <w:b w:val="0"/>
                <w:i w:val="0"/>
                <w:color w:val="111111"/>
                <w:sz w:val="19"/>
              </w:rPr>
              <w:t>L55</w:t>
            </w:r>
          </w:p>
        </w:tc>
        <w:tc>
          <w:tcPr>
            <w:tcW w:type="dxa" w:w="6624"/>
          </w:tcPr>
          <w:p>
            <w:pPr>
              <w:spacing w:after="40"/>
            </w:pPr>
            <w:r>
              <w:rPr>
                <w:rFonts w:ascii="Calibri" w:hAnsi="Calibri"/>
                <w:b w:val="0"/>
                <w:i w:val="0"/>
                <w:color w:val="111111"/>
                <w:sz w:val="19"/>
              </w:rPr>
              <w:t>The two interchangeability examples</w:t>
            </w:r>
          </w:p>
        </w:tc>
        <w:tc>
          <w:tcPr>
            <w:tcW w:type="dxa" w:w="1080"/>
          </w:tcPr>
          <w:p>
            <w:pPr>
              <w:spacing w:after="40"/>
            </w:pPr>
            <w:r>
              <w:rPr>
                <w:rFonts w:ascii="Calibri" w:hAnsi="Calibri"/>
                <w:b w:val="0"/>
                <w:i w:val="0"/>
                <w:color w:val="111111"/>
                <w:sz w:val="19"/>
              </w:rPr>
              <w:t>22</w:t>
            </w:r>
          </w:p>
        </w:tc>
      </w:tr>
      <w:tr>
        <w:tc>
          <w:tcPr>
            <w:tcW w:type="dxa" w:w="648"/>
          </w:tcPr>
          <w:p>
            <w:pPr>
              <w:spacing w:after="40"/>
            </w:pPr>
            <w:r>
              <w:rPr>
                <w:rFonts w:ascii="Calibri" w:hAnsi="Calibri"/>
                <w:b w:val="0"/>
                <w:i w:val="0"/>
                <w:color w:val="111111"/>
                <w:sz w:val="19"/>
              </w:rPr>
              <w:t>P3</w:t>
            </w:r>
          </w:p>
        </w:tc>
        <w:tc>
          <w:tcPr>
            <w:tcW w:type="dxa" w:w="1008"/>
          </w:tcPr>
          <w:p>
            <w:pPr>
              <w:spacing w:after="40"/>
            </w:pPr>
            <w:r>
              <w:rPr>
                <w:rFonts w:ascii="Calibri" w:hAnsi="Calibri"/>
                <w:b w:val="0"/>
                <w:i w:val="0"/>
                <w:color w:val="111111"/>
                <w:sz w:val="19"/>
              </w:rPr>
              <w:t>L76</w:t>
            </w:r>
          </w:p>
        </w:tc>
        <w:tc>
          <w:tcPr>
            <w:tcW w:type="dxa" w:w="6624"/>
          </w:tcPr>
          <w:p>
            <w:pPr>
              <w:spacing w:after="40"/>
            </w:pPr>
            <w:r>
              <w:rPr>
                <w:rFonts w:ascii="Calibri" w:hAnsi="Calibri"/>
                <w:b w:val="0"/>
                <w:i w:val="0"/>
                <w:color w:val="111111"/>
                <w:sz w:val="19"/>
              </w:rPr>
              <w:t>Opening hedge and closing sentence</w:t>
            </w:r>
          </w:p>
        </w:tc>
        <w:tc>
          <w:tcPr>
            <w:tcW w:type="dxa" w:w="1080"/>
          </w:tcPr>
          <w:p>
            <w:pPr>
              <w:spacing w:after="40"/>
            </w:pPr>
            <w:r>
              <w:rPr>
                <w:rFonts w:ascii="Calibri" w:hAnsi="Calibri"/>
                <w:b w:val="0"/>
                <w:i w:val="0"/>
                <w:color w:val="111111"/>
                <w:sz w:val="19"/>
              </w:rPr>
              <w:t>22</w:t>
            </w:r>
          </w:p>
        </w:tc>
      </w:tr>
      <w:tr>
        <w:tc>
          <w:tcPr>
            <w:tcW w:type="dxa" w:w="648"/>
          </w:tcPr>
          <w:p>
            <w:pPr>
              <w:spacing w:after="40"/>
            </w:pPr>
            <w:r>
              <w:rPr>
                <w:rFonts w:ascii="Calibri" w:hAnsi="Calibri"/>
                <w:b w:val="0"/>
                <w:i w:val="0"/>
                <w:color w:val="111111"/>
                <w:sz w:val="19"/>
              </w:rPr>
              <w:t>P4</w:t>
            </w:r>
          </w:p>
        </w:tc>
        <w:tc>
          <w:tcPr>
            <w:tcW w:type="dxa" w:w="1008"/>
          </w:tcPr>
          <w:p>
            <w:pPr>
              <w:spacing w:after="40"/>
            </w:pPr>
            <w:r>
              <w:rPr>
                <w:rFonts w:ascii="Calibri" w:hAnsi="Calibri"/>
                <w:b w:val="0"/>
                <w:i w:val="0"/>
                <w:color w:val="111111"/>
                <w:sz w:val="19"/>
              </w:rPr>
              <w:t>L121</w:t>
            </w:r>
          </w:p>
        </w:tc>
        <w:tc>
          <w:tcPr>
            <w:tcW w:type="dxa" w:w="6624"/>
          </w:tcPr>
          <w:p>
            <w:pPr>
              <w:spacing w:after="40"/>
            </w:pPr>
            <w:r>
              <w:rPr>
                <w:rFonts w:ascii="Calibri" w:hAnsi="Calibri"/>
                <w:b w:val="0"/>
                <w:i w:val="0"/>
                <w:color w:val="111111"/>
                <w:sz w:val="19"/>
              </w:rPr>
              <w:t>Journaling, friendship, therapy — whole</w:t>
            </w:r>
          </w:p>
        </w:tc>
        <w:tc>
          <w:tcPr>
            <w:tcW w:type="dxa" w:w="1080"/>
          </w:tcPr>
          <w:p>
            <w:pPr>
              <w:spacing w:after="40"/>
            </w:pPr>
            <w:r>
              <w:rPr>
                <w:rFonts w:ascii="Calibri" w:hAnsi="Calibri"/>
                <w:b w:val="0"/>
                <w:i w:val="0"/>
                <w:color w:val="111111"/>
                <w:sz w:val="19"/>
              </w:rPr>
              <w:t>27</w:t>
            </w:r>
          </w:p>
        </w:tc>
      </w:tr>
      <w:tr>
        <w:tc>
          <w:tcPr>
            <w:tcW w:type="dxa" w:w="648"/>
          </w:tcPr>
          <w:p>
            <w:pPr>
              <w:spacing w:after="40"/>
            </w:pPr>
            <w:r>
              <w:rPr>
                <w:rFonts w:ascii="Calibri" w:hAnsi="Calibri"/>
                <w:b w:val="0"/>
                <w:i w:val="0"/>
                <w:color w:val="111111"/>
                <w:sz w:val="19"/>
              </w:rPr>
              <w:t>P5</w:t>
            </w:r>
          </w:p>
        </w:tc>
        <w:tc>
          <w:tcPr>
            <w:tcW w:type="dxa" w:w="1008"/>
          </w:tcPr>
          <w:p>
            <w:pPr>
              <w:spacing w:after="40"/>
            </w:pPr>
            <w:r>
              <w:rPr>
                <w:rFonts w:ascii="Calibri" w:hAnsi="Calibri"/>
                <w:b w:val="0"/>
                <w:i w:val="0"/>
                <w:color w:val="111111"/>
                <w:sz w:val="19"/>
              </w:rPr>
              <w:t>L177</w:t>
            </w:r>
          </w:p>
        </w:tc>
        <w:tc>
          <w:tcPr>
            <w:tcW w:type="dxa" w:w="6624"/>
          </w:tcPr>
          <w:p>
            <w:pPr>
              <w:spacing w:after="40"/>
            </w:pPr>
            <w:r>
              <w:rPr>
                <w:rFonts w:ascii="Calibri" w:hAnsi="Calibri"/>
                <w:b w:val="0"/>
                <w:i w:val="0"/>
                <w:color w:val="111111"/>
                <w:sz w:val="19"/>
              </w:rPr>
              <w:t>The Heinrichs closing disclaimer</w:t>
            </w:r>
          </w:p>
        </w:tc>
        <w:tc>
          <w:tcPr>
            <w:tcW w:type="dxa" w:w="1080"/>
          </w:tcPr>
          <w:p>
            <w:pPr>
              <w:spacing w:after="40"/>
            </w:pPr>
            <w:r>
              <w:rPr>
                <w:rFonts w:ascii="Calibri" w:hAnsi="Calibri"/>
                <w:b w:val="0"/>
                <w:i w:val="0"/>
                <w:color w:val="111111"/>
                <w:sz w:val="19"/>
              </w:rPr>
              <w:t>17</w:t>
            </w:r>
          </w:p>
        </w:tc>
      </w:tr>
      <w:tr>
        <w:tc>
          <w:tcPr>
            <w:tcW w:type="dxa" w:w="648"/>
          </w:tcPr>
          <w:p>
            <w:pPr>
              <w:spacing w:after="40"/>
            </w:pPr>
            <w:r>
              <w:rPr>
                <w:rFonts w:ascii="Calibri" w:hAnsi="Calibri"/>
                <w:b w:val="0"/>
                <w:i w:val="0"/>
                <w:color w:val="111111"/>
                <w:sz w:val="19"/>
              </w:rPr>
              <w:t>P6</w:t>
            </w:r>
          </w:p>
        </w:tc>
        <w:tc>
          <w:tcPr>
            <w:tcW w:type="dxa" w:w="1008"/>
          </w:tcPr>
          <w:p>
            <w:pPr>
              <w:spacing w:after="40"/>
            </w:pPr>
            <w:r>
              <w:rPr>
                <w:rFonts w:ascii="Calibri" w:hAnsi="Calibri"/>
                <w:b w:val="0"/>
                <w:i w:val="0"/>
                <w:color w:val="111111"/>
                <w:sz w:val="19"/>
              </w:rPr>
              <w:t>L137</w:t>
            </w:r>
          </w:p>
        </w:tc>
        <w:tc>
          <w:tcPr>
            <w:tcW w:type="dxa" w:w="6624"/>
          </w:tcPr>
          <w:p>
            <w:pPr>
              <w:spacing w:after="40"/>
            </w:pPr>
            <w:r>
              <w:rPr>
                <w:rFonts w:ascii="Calibri" w:hAnsi="Calibri"/>
                <w:b w:val="0"/>
                <w:i w:val="0"/>
                <w:color w:val="111111"/>
                <w:sz w:val="19"/>
              </w:rPr>
              <w:t>The goal-horizon scope clause</w:t>
            </w:r>
          </w:p>
        </w:tc>
        <w:tc>
          <w:tcPr>
            <w:tcW w:type="dxa" w:w="1080"/>
          </w:tcPr>
          <w:p>
            <w:pPr>
              <w:spacing w:after="40"/>
            </w:pPr>
            <w:r>
              <w:rPr>
                <w:rFonts w:ascii="Calibri" w:hAnsi="Calibri"/>
                <w:b w:val="0"/>
                <w:i w:val="0"/>
                <w:color w:val="111111"/>
                <w:sz w:val="19"/>
              </w:rPr>
              <w:t>20</w:t>
            </w:r>
          </w:p>
        </w:tc>
      </w:tr>
      <w:tr>
        <w:tc>
          <w:tcPr>
            <w:tcW w:type="dxa" w:w="648"/>
          </w:tcPr>
          <w:p>
            <w:pPr>
              <w:spacing w:after="40"/>
            </w:pPr>
            <w:r>
              <w:rPr>
                <w:rFonts w:ascii="Calibri" w:hAnsi="Calibri"/>
                <w:b w:val="0"/>
                <w:i w:val="0"/>
                <w:color w:val="111111"/>
                <w:sz w:val="19"/>
              </w:rPr>
              <w:t>P7</w:t>
            </w:r>
          </w:p>
        </w:tc>
        <w:tc>
          <w:tcPr>
            <w:tcW w:type="dxa" w:w="1008"/>
          </w:tcPr>
          <w:p>
            <w:pPr>
              <w:spacing w:after="40"/>
            </w:pPr>
            <w:r>
              <w:rPr>
                <w:rFonts w:ascii="Calibri" w:hAnsi="Calibri"/>
                <w:b w:val="0"/>
                <w:i w:val="0"/>
                <w:color w:val="111111"/>
                <w:sz w:val="19"/>
              </w:rPr>
              <w:t>L69</w:t>
            </w:r>
          </w:p>
        </w:tc>
        <w:tc>
          <w:tcPr>
            <w:tcW w:type="dxa" w:w="6624"/>
          </w:tcPr>
          <w:p>
            <w:pPr>
              <w:spacing w:after="40"/>
            </w:pPr>
            <w:r>
              <w:rPr>
                <w:rFonts w:ascii="Calibri" w:hAnsi="Calibri"/>
                <w:b w:val="0"/>
                <w:i w:val="0"/>
                <w:color w:val="111111"/>
                <w:sz w:val="19"/>
              </w:rPr>
              <w:t>Closing sentence; restates the one before it</w:t>
            </w:r>
          </w:p>
        </w:tc>
        <w:tc>
          <w:tcPr>
            <w:tcW w:type="dxa" w:w="1080"/>
          </w:tcPr>
          <w:p>
            <w:pPr>
              <w:spacing w:after="40"/>
            </w:pPr>
            <w:r>
              <w:rPr>
                <w:rFonts w:ascii="Calibri" w:hAnsi="Calibri"/>
                <w:b w:val="0"/>
                <w:i w:val="0"/>
                <w:color w:val="111111"/>
                <w:sz w:val="19"/>
              </w:rPr>
              <w:t>17</w:t>
            </w:r>
          </w:p>
        </w:tc>
      </w:tr>
    </w:tbl>
    <w:p>
      <w:pPr>
        <w:spacing w:after="80"/>
      </w:pPr>
    </w:p>
    <w:tbl>
      <w:tblPr>
        <w:tblW w:type="auto" w:w="0"/>
        <w:jc w:val="center"/>
        <w:tblLayout w:type="fixed"/>
        <w:tblLook w:firstColumn="1" w:firstRow="1" w:lastColumn="0" w:lastRow="0" w:noHBand="0" w:noVBand="1" w:val="04A0"/>
        <w:tblBorders>
          <w:top w:val="single" w:sz="8" w:color="D9A93C"/>
          <w:left w:val="single" w:sz="8" w:color="D9A93C"/>
          <w:bottom w:val="single" w:sz="8" w:color="D9A93C"/>
          <w:right w:val="single" w:sz="8" w:color="D9A93C"/>
          <w:insideH w:val="single" w:sz="8" w:color="D9A93C"/>
          <w:insideV w:val="single" w:sz="8" w:color="D9A93C"/>
        </w:tblBorders>
        <w:tblLayout w:type="fixed"/>
      </w:tblPr>
      <w:tblGrid>
        <w:gridCol w:w="9360"/>
      </w:tblGrid>
      <w:tr>
        <w:trPr>
          <w:cantSplit/>
        </w:trPr>
        <w:tc>
          <w:tcPr>
            <w:tcW w:type="dxa" w:w="9360"/>
            <w:shd w:val="clear" w:color="auto" w:fill="FFF3D6"/>
          </w:tcPr>
          <w:p>
            <w:pPr>
              <w:keepNext/>
              <w:spacing w:after="80"/>
            </w:pPr>
            <w:r>
              <w:rPr>
                <w:rFonts w:ascii="Calibri" w:hAnsi="Calibri"/>
                <w:b/>
                <w:i w:val="0"/>
                <w:color w:val="0B2545"/>
                <w:sz w:val="21"/>
              </w:rPr>
              <w:t>DECISION 7 — The seven prunes — and where the constructionism boundary lands</w:t>
            </w:r>
          </w:p>
          <w:p>
            <w:pPr>
              <w:keepNext/>
              <w:spacing w:after="60"/>
            </w:pPr>
            <w:r>
              <w:rPr>
                <w:rFonts w:ascii="Calibri" w:hAnsi="Calibri"/>
                <w:b w:val="0"/>
                <w:i w:val="0"/>
                <w:color w:val="111111"/>
                <w:sz w:val="20"/>
              </w:rPr>
              <w:t>Approve, strike, or amend each of P1 through P7.</w:t>
            </w:r>
          </w:p>
          <w:p>
            <w:pPr>
              <w:keepNext/>
              <w:spacing w:after="60"/>
            </w:pPr>
            <w:r>
              <w:rPr>
                <w:rFonts w:ascii="Calibri" w:hAnsi="Calibri"/>
                <w:b/>
                <w:i w:val="0"/>
                <w:color w:val="111111"/>
                <w:sz w:val="20"/>
              </w:rPr>
              <w:t>P1 has a consequence and needs a second answer.</w:t>
            </w:r>
            <w:r>
              <w:rPr>
                <w:rFonts w:ascii="Calibri" w:hAnsi="Calibri"/>
                <w:b w:val="0"/>
                <w:i w:val="0"/>
                <w:color w:val="111111"/>
                <w:sz w:val="20"/>
              </w:rPr>
              <w:t xml:space="preserve"> It is the paragraph that states the constructionism boundary, and the audit requires that boundary be stated once. If P1 goes, it has to land somewhere. Three options: fold it into the opener's existing constructed-does-not-mean-chosen box; fold one clause into the theory table's constructionist row, which already says influential but debated; or keep P1 and cut it to a single sentence instead.</w:t>
            </w:r>
          </w:p>
        </w:tc>
      </w:tr>
      <w:tr>
        <w:trPr>
          <w:cantSplit/>
        </w:trPr>
        <w:tc>
          <w:tcPr>
            <w:tcW w:type="dxa" w:w="9360"/>
            <w:shd w:val="clear" w:color="auto" w:fill="FFFFFF"/>
          </w:tcPr>
          <w:p>
            <w:pPr>
              <w:spacing w:after="40"/>
            </w:pPr>
            <w:r>
              <w:rPr>
                <w:rFonts w:ascii="Calibri" w:hAnsi="Calibri"/>
                <w:b/>
                <w:i w:val="0"/>
                <w:color w:val="555555"/>
                <w:sz w:val="18"/>
              </w:rPr>
              <w:t>Your answer:</w:t>
            </w:r>
          </w:p>
          <w:p>
            <w:pPr>
              <w:spacing w:after="200"/>
            </w:pPr>
            <w:r>
              <w:rPr>
                <w:rFonts w:ascii="Calibri" w:hAnsi="Calibri"/>
                <w:b w:val="0"/>
                <w:i w:val="0"/>
                <w:color w:val="111111"/>
                <w:sz w:val="20"/>
              </w:rPr>
            </w:r>
          </w:p>
          <w:p>
            <w:pPr>
              <w:spacing w:after="200"/>
            </w:pPr>
            <w:r>
              <w:rPr>
                <w:rFonts w:ascii="Calibri" w:hAnsi="Calibri"/>
                <w:b w:val="0"/>
                <w:i w:val="0"/>
                <w:color w:val="111111"/>
                <w:sz w:val="20"/>
              </w:rPr>
            </w:r>
          </w:p>
          <w:p>
            <w:pPr>
              <w:spacing w:after="200"/>
            </w:pPr>
            <w:r>
              <w:rPr>
                <w:rFonts w:ascii="Calibri" w:hAnsi="Calibri"/>
                <w:b w:val="0"/>
                <w:i w:val="0"/>
                <w:color w:val="111111"/>
                <w:sz w:val="20"/>
              </w:rPr>
            </w:r>
          </w:p>
          <w:p>
            <w:pPr>
              <w:spacing w:after="200"/>
            </w:pPr>
            <w:r>
              <w:rPr>
                <w:rFonts w:ascii="Calibri" w:hAnsi="Calibri"/>
                <w:b w:val="0"/>
                <w:i w:val="0"/>
                <w:color w:val="111111"/>
                <w:sz w:val="20"/>
              </w:rPr>
            </w:r>
          </w:p>
        </w:tc>
      </w:tr>
    </w:tbl>
    <w:p>
      <w:pPr>
        <w:spacing w:after="80"/>
      </w:pPr>
    </w:p>
    <w:p>
      <w:pPr>
        <w:pStyle w:val="Heading1"/>
        <w:spacing w:before="280" w:after="80"/>
      </w:pPr>
      <w:r>
        <w:rPr>
          <w:rFonts w:ascii="Calibri" w:hAnsi="Calibri"/>
          <w:color w:val="0B2545"/>
          <w:sz w:val="32"/>
        </w:rPr>
        <w:t>Reclaims from the repair pass</w:t>
      </w:r>
    </w:p>
    <w:p>
      <w:pPr>
        <w:spacing w:before="0" w:after="120"/>
      </w:pPr>
      <w:r>
        <w:rPr>
          <w:rFonts w:ascii="Calibri" w:hAnsi="Calibri"/>
          <w:b w:val="0"/>
          <w:i w:val="0"/>
          <w:color w:val="111111"/>
          <w:sz w:val="21"/>
        </w:rPr>
        <w:t>Found by diffing the pre-repair and post-repair chapter. About 70 words. Most of the 4,900 words removed came out correctly; these four should not have.</w:t>
      </w:r>
    </w:p>
    <w:tbl>
      <w:tblPr>
        <w:tblW w:type="auto" w:w="0"/>
        <w:jc w:val="center"/>
        <w:tblLayout w:type="fixed"/>
        <w:tblLook w:firstColumn="1" w:firstRow="1" w:lastColumn="0" w:lastRow="0" w:noHBand="0" w:noVBand="1" w:val="04A0"/>
        <w:tblBorders>
          <w:top w:val="single" w:sz="6" w:color="BBBBBB"/>
          <w:left w:val="single" w:sz="6" w:color="BBBBBB"/>
          <w:bottom w:val="single" w:sz="6" w:color="BBBBBB"/>
          <w:right w:val="single" w:sz="6" w:color="BBBBBB"/>
          <w:insideH w:val="single" w:sz="6" w:color="BBBBBB"/>
          <w:insideV w:val="single" w:sz="6" w:color="BBBBBB"/>
        </w:tblBorders>
        <w:tblLayout w:type="fixed"/>
      </w:tblPr>
      <w:tblGrid>
        <w:gridCol w:w="503"/>
        <w:gridCol w:w="3600"/>
        <w:gridCol w:w="1224"/>
        <w:gridCol w:w="4031"/>
      </w:tblGrid>
      <w:tr>
        <w:trPr>
          <w:tblHeader/>
        </w:trPr>
        <w:tc>
          <w:tcPr>
            <w:tcW w:type="dxa" w:w="504"/>
            <w:shd w:val="clear" w:color="auto" w:fill="E4E9EF"/>
          </w:tcPr>
          <w:p>
            <w:pPr>
              <w:spacing w:after="40"/>
            </w:pPr>
            <w:r>
              <w:rPr>
                <w:rFonts w:ascii="Calibri" w:hAnsi="Calibri"/>
                <w:b/>
                <w:i w:val="0"/>
                <w:color w:val="0B2545"/>
                <w:sz w:val="19"/>
              </w:rPr>
              <w:t>#</w:t>
            </w:r>
          </w:p>
        </w:tc>
        <w:tc>
          <w:tcPr>
            <w:tcW w:type="dxa" w:w="3600"/>
            <w:shd w:val="clear" w:color="auto" w:fill="E4E9EF"/>
          </w:tcPr>
          <w:p>
            <w:pPr>
              <w:spacing w:after="40"/>
            </w:pPr>
            <w:r>
              <w:rPr>
                <w:rFonts w:ascii="Calibri" w:hAnsi="Calibri"/>
                <w:b/>
                <w:i w:val="0"/>
                <w:color w:val="0B2545"/>
                <w:sz w:val="19"/>
              </w:rPr>
              <w:t>What</w:t>
            </w:r>
          </w:p>
        </w:tc>
        <w:tc>
          <w:tcPr>
            <w:tcW w:type="dxa" w:w="1224"/>
            <w:shd w:val="clear" w:color="auto" w:fill="E4E9EF"/>
          </w:tcPr>
          <w:p>
            <w:pPr>
              <w:spacing w:after="40"/>
            </w:pPr>
            <w:r>
              <w:rPr>
                <w:rFonts w:ascii="Calibri" w:hAnsi="Calibri"/>
                <w:b/>
                <w:i w:val="0"/>
                <w:color w:val="0B2545"/>
                <w:sz w:val="19"/>
              </w:rPr>
              <w:t>Status now</w:t>
            </w:r>
          </w:p>
        </w:tc>
        <w:tc>
          <w:tcPr>
            <w:tcW w:type="dxa" w:w="4032"/>
            <w:shd w:val="clear" w:color="auto" w:fill="E4E9EF"/>
          </w:tcPr>
          <w:p>
            <w:pPr>
              <w:spacing w:after="40"/>
            </w:pPr>
            <w:r>
              <w:rPr>
                <w:rFonts w:ascii="Calibri" w:hAnsi="Calibri"/>
                <w:b/>
                <w:i w:val="0"/>
                <w:color w:val="0B2545"/>
                <w:sz w:val="19"/>
              </w:rPr>
              <w:t>Note</w:t>
            </w:r>
          </w:p>
        </w:tc>
      </w:tr>
      <w:tr>
        <w:tc>
          <w:tcPr>
            <w:tcW w:type="dxa" w:w="504"/>
          </w:tcPr>
          <w:p>
            <w:pPr>
              <w:spacing w:after="40"/>
            </w:pPr>
            <w:r>
              <w:rPr>
                <w:rFonts w:ascii="Calibri" w:hAnsi="Calibri"/>
                <w:b w:val="0"/>
                <w:i w:val="0"/>
                <w:color w:val="111111"/>
                <w:sz w:val="19"/>
              </w:rPr>
              <w:t>1</w:t>
            </w:r>
          </w:p>
        </w:tc>
        <w:tc>
          <w:tcPr>
            <w:tcW w:type="dxa" w:w="3600"/>
          </w:tcPr>
          <w:p>
            <w:pPr>
              <w:spacing w:after="40"/>
            </w:pPr>
            <w:r>
              <w:rPr>
                <w:rFonts w:ascii="Calibri" w:hAnsi="Calibri"/>
                <w:b w:val="0"/>
                <w:i w:val="0"/>
                <w:color w:val="111111"/>
                <w:sz w:val="19"/>
              </w:rPr>
              <w:t>Right now, reading this, you are somewhere on that map — perhaps mildly pleasant and moderately aroused; perhaps slightly unpleasant and low-arousal.</w:t>
            </w:r>
          </w:p>
        </w:tc>
        <w:tc>
          <w:tcPr>
            <w:tcW w:type="dxa" w:w="1224"/>
          </w:tcPr>
          <w:p>
            <w:pPr>
              <w:spacing w:after="40"/>
            </w:pPr>
            <w:r>
              <w:rPr>
                <w:rFonts w:ascii="Calibri" w:hAnsi="Calibri"/>
                <w:b w:val="0"/>
                <w:i w:val="0"/>
                <w:color w:val="111111"/>
                <w:sz w:val="19"/>
              </w:rPr>
              <w:t>gone</w:t>
            </w:r>
          </w:p>
        </w:tc>
        <w:tc>
          <w:tcPr>
            <w:tcW w:type="dxa" w:w="4032"/>
          </w:tcPr>
          <w:p>
            <w:pPr>
              <w:spacing w:after="40"/>
            </w:pPr>
            <w:r>
              <w:rPr>
                <w:rFonts w:ascii="Calibri" w:hAnsi="Calibri"/>
                <w:b w:val="0"/>
                <w:i w:val="0"/>
                <w:color w:val="111111"/>
                <w:sz w:val="19"/>
              </w:rPr>
              <w:t>Makes core affect experiential instead of definitional. The raw-material sentence that followed it stays cut — that is the framework-specific claim.</w:t>
            </w:r>
          </w:p>
        </w:tc>
      </w:tr>
      <w:tr>
        <w:tc>
          <w:tcPr>
            <w:tcW w:type="dxa" w:w="504"/>
          </w:tcPr>
          <w:p>
            <w:pPr>
              <w:spacing w:after="40"/>
            </w:pPr>
            <w:r>
              <w:rPr>
                <w:rFonts w:ascii="Calibri" w:hAnsi="Calibri"/>
                <w:b w:val="0"/>
                <w:i w:val="0"/>
                <w:color w:val="111111"/>
                <w:sz w:val="19"/>
              </w:rPr>
              <w:t>2</w:t>
            </w:r>
          </w:p>
        </w:tc>
        <w:tc>
          <w:tcPr>
            <w:tcW w:type="dxa" w:w="3600"/>
          </w:tcPr>
          <w:p>
            <w:pPr>
              <w:spacing w:after="40"/>
            </w:pPr>
            <w:r>
              <w:rPr>
                <w:rFonts w:ascii="Calibri" w:hAnsi="Calibri"/>
                <w:b w:val="0"/>
                <w:i w:val="0"/>
                <w:color w:val="111111"/>
                <w:sz w:val="19"/>
              </w:rPr>
              <w:t>Kicks on when the house gets cold / learns your schedule and preheats the house before you wake up</w:t>
            </w:r>
          </w:p>
        </w:tc>
        <w:tc>
          <w:tcPr>
            <w:tcW w:type="dxa" w:w="1224"/>
          </w:tcPr>
          <w:p>
            <w:pPr>
              <w:spacing w:after="40"/>
            </w:pPr>
            <w:r>
              <w:rPr>
                <w:rFonts w:ascii="Calibri" w:hAnsi="Calibri"/>
                <w:b w:val="0"/>
                <w:i w:val="0"/>
                <w:color w:val="111111"/>
                <w:sz w:val="19"/>
              </w:rPr>
              <w:t>flattened</w:t>
            </w:r>
          </w:p>
        </w:tc>
        <w:tc>
          <w:tcPr>
            <w:tcW w:type="dxa" w:w="4032"/>
          </w:tcPr>
          <w:p>
            <w:pPr>
              <w:spacing w:after="40"/>
            </w:pPr>
            <w:r>
              <w:rPr>
                <w:rFonts w:ascii="Calibri" w:hAnsi="Calibri"/>
                <w:b w:val="0"/>
                <w:i w:val="0"/>
                <w:color w:val="111111"/>
                <w:sz w:val="19"/>
              </w:rPr>
              <w:t>Must-preserve asset. Learns is also more accurate than knows — allostasis is acquired. Net zero words.</w:t>
            </w:r>
          </w:p>
        </w:tc>
      </w:tr>
      <w:tr>
        <w:tc>
          <w:tcPr>
            <w:tcW w:type="dxa" w:w="504"/>
          </w:tcPr>
          <w:p>
            <w:pPr>
              <w:spacing w:after="40"/>
            </w:pPr>
            <w:r>
              <w:rPr>
                <w:rFonts w:ascii="Calibri" w:hAnsi="Calibri"/>
                <w:b w:val="0"/>
                <w:i w:val="0"/>
                <w:color w:val="111111"/>
                <w:sz w:val="19"/>
              </w:rPr>
              <w:t>3</w:t>
            </w:r>
          </w:p>
        </w:tc>
        <w:tc>
          <w:tcPr>
            <w:tcW w:type="dxa" w:w="3600"/>
          </w:tcPr>
          <w:p>
            <w:pPr>
              <w:spacing w:after="40"/>
            </w:pPr>
            <w:r>
              <w:rPr>
                <w:rFonts w:ascii="Calibri" w:hAnsi="Calibri"/>
                <w:b w:val="0"/>
                <w:i w:val="0"/>
                <w:color w:val="111111"/>
                <w:sz w:val="19"/>
              </w:rPr>
              <w:t>A zebra's stress response mobilizes fully for the minute it takes to escape a lion, then shuts off completely once the threat is gone or the zebra is dead</w:t>
            </w:r>
          </w:p>
        </w:tc>
        <w:tc>
          <w:tcPr>
            <w:tcW w:type="dxa" w:w="1224"/>
          </w:tcPr>
          <w:p>
            <w:pPr>
              <w:spacing w:after="40"/>
            </w:pPr>
            <w:r>
              <w:rPr>
                <w:rFonts w:ascii="Calibri" w:hAnsi="Calibri"/>
                <w:b w:val="0"/>
                <w:i w:val="0"/>
                <w:color w:val="111111"/>
                <w:sz w:val="19"/>
              </w:rPr>
              <w:t>gone</w:t>
            </w:r>
          </w:p>
        </w:tc>
        <w:tc>
          <w:tcPr>
            <w:tcW w:type="dxa" w:w="4032"/>
          </w:tcPr>
          <w:p>
            <w:pPr>
              <w:spacing w:after="40"/>
            </w:pPr>
            <w:r>
              <w:rPr>
                <w:rFonts w:ascii="Calibri" w:hAnsi="Calibri"/>
                <w:b w:val="0"/>
                <w:i w:val="0"/>
                <w:color w:val="111111"/>
                <w:sz w:val="19"/>
              </w:rPr>
              <w:t>Voice-brief signature example, now only in Further Reading. Needs one word changed; see the Section 3 watch.</w:t>
            </w:r>
          </w:p>
        </w:tc>
      </w:tr>
      <w:tr>
        <w:tc>
          <w:tcPr>
            <w:tcW w:type="dxa" w:w="504"/>
          </w:tcPr>
          <w:p>
            <w:pPr>
              <w:spacing w:after="40"/>
            </w:pPr>
            <w:r>
              <w:rPr>
                <w:rFonts w:ascii="Calibri" w:hAnsi="Calibri"/>
                <w:b w:val="0"/>
                <w:i w:val="0"/>
                <w:color w:val="111111"/>
                <w:sz w:val="19"/>
              </w:rPr>
              <w:t>4</w:t>
            </w:r>
          </w:p>
        </w:tc>
        <w:tc>
          <w:tcPr>
            <w:tcW w:type="dxa" w:w="3600"/>
          </w:tcPr>
          <w:p>
            <w:pPr>
              <w:spacing w:after="40"/>
            </w:pPr>
            <w:r>
              <w:rPr>
                <w:rFonts w:ascii="Calibri" w:hAnsi="Calibri"/>
                <w:b w:val="0"/>
                <w:i w:val="0"/>
                <w:color w:val="111111"/>
                <w:sz w:val="19"/>
              </w:rPr>
              <w:t>An old, mostly excellent prediction system</w:t>
            </w:r>
          </w:p>
        </w:tc>
        <w:tc>
          <w:tcPr>
            <w:tcW w:type="dxa" w:w="1224"/>
          </w:tcPr>
          <w:p>
            <w:pPr>
              <w:spacing w:after="40"/>
            </w:pPr>
            <w:r>
              <w:rPr>
                <w:rFonts w:ascii="Calibri" w:hAnsi="Calibri"/>
                <w:b w:val="0"/>
                <w:i w:val="0"/>
                <w:color w:val="111111"/>
                <w:sz w:val="19"/>
              </w:rPr>
              <w:t>excellent lost</w:t>
            </w:r>
          </w:p>
        </w:tc>
        <w:tc>
          <w:tcPr>
            <w:tcW w:type="dxa" w:w="4032"/>
          </w:tcPr>
          <w:p>
            <w:pPr>
              <w:spacing w:after="40"/>
            </w:pPr>
            <w:r>
              <w:rPr>
                <w:rFonts w:ascii="Calibri" w:hAnsi="Calibri"/>
                <w:b w:val="0"/>
                <w:i w:val="0"/>
                <w:color w:val="111111"/>
                <w:sz w:val="19"/>
              </w:rPr>
              <w:t>Dropping prediction was right. Excellent was collateral.</w:t>
            </w:r>
          </w:p>
        </w:tc>
      </w:tr>
    </w:tbl>
    <w:p>
      <w:pPr>
        <w:spacing w:after="80"/>
      </w:pPr>
    </w:p>
    <w:p>
      <w:pPr>
        <w:spacing w:before="0" w:after="120"/>
      </w:pPr>
      <w:r>
        <w:rPr>
          <w:rFonts w:ascii="Calibri" w:hAnsi="Calibri"/>
          <w:b w:val="0"/>
          <w:i w:val="0"/>
          <w:color w:val="555555"/>
          <w:sz w:val="20"/>
        </w:rPr>
        <w:t>These are register restorations, so they are yours — but they are also small and reversible, so they are one line rather than four boxes. Strike any you do not want.</w:t>
      </w:r>
    </w:p>
    <w:p>
      <w:pPr>
        <w:pStyle w:val="Heading1"/>
        <w:spacing w:before="280" w:after="80"/>
      </w:pPr>
      <w:r>
        <w:rPr>
          <w:rFonts w:ascii="Calibri" w:hAnsi="Calibri"/>
          <w:color w:val="0B2545"/>
          <w:sz w:val="32"/>
        </w:rPr>
        <w:t>Must-preserve conflict</w:t>
      </w:r>
    </w:p>
    <w:tbl>
      <w:tblPr>
        <w:tblW w:type="auto" w:w="0"/>
        <w:jc w:val="center"/>
        <w:tblLayout w:type="fixed"/>
        <w:tblLook w:firstColumn="1" w:firstRow="1" w:lastColumn="0" w:lastRow="0" w:noHBand="0" w:noVBand="1" w:val="04A0"/>
        <w:tblBorders>
          <w:top w:val="single" w:sz="8" w:color="D9A93C"/>
          <w:left w:val="single" w:sz="8" w:color="D9A93C"/>
          <w:bottom w:val="single" w:sz="8" w:color="D9A93C"/>
          <w:right w:val="single" w:sz="8" w:color="D9A93C"/>
          <w:insideH w:val="single" w:sz="8" w:color="D9A93C"/>
          <w:insideV w:val="single" w:sz="8" w:color="D9A93C"/>
        </w:tblBorders>
        <w:tblLayout w:type="fixed"/>
      </w:tblPr>
      <w:tblGrid>
        <w:gridCol w:w="9360"/>
      </w:tblGrid>
      <w:tr>
        <w:trPr>
          <w:cantSplit/>
        </w:trPr>
        <w:tc>
          <w:tcPr>
            <w:tcW w:type="dxa" w:w="9360"/>
            <w:shd w:val="clear" w:color="auto" w:fill="FFF3D6"/>
          </w:tcPr>
          <w:p>
            <w:pPr>
              <w:keepNext/>
              <w:spacing w:after="80"/>
            </w:pPr>
            <w:r>
              <w:rPr>
                <w:rFonts w:ascii="Calibri" w:hAnsi="Calibri"/>
                <w:b/>
                <w:i w:val="0"/>
                <w:color w:val="0B2545"/>
                <w:sz w:val="21"/>
              </w:rPr>
              <w:t>DECISION 8 — The cognitive light cone's course-specific label</w:t>
            </w:r>
          </w:p>
          <w:p>
            <w:pPr>
              <w:keepNext/>
              <w:spacing w:after="60"/>
            </w:pPr>
            <w:r>
              <w:rPr>
                <w:rFonts w:ascii="Calibri" w:hAnsi="Calibri"/>
                <w:b w:val="0"/>
                <w:i w:val="0"/>
                <w:color w:val="111111"/>
                <w:sz w:val="20"/>
              </w:rPr>
              <w:t>The audit's ledger requires the term keep its course-specific label. The repair pass replaced that with an attribution to Levin (2019) — which is correct, because Levin defines the term. So the ledger row and the spine's own description of it as a course metaphor rather than a standard research term are both overtaken.</w:t>
            </w:r>
          </w:p>
          <w:p>
            <w:pPr>
              <w:keepNext/>
              <w:spacing w:after="60"/>
            </w:pPr>
            <w:r>
              <w:rPr>
                <w:rFonts w:ascii="Calibri" w:hAnsi="Calibri"/>
                <w:b w:val="0"/>
                <w:i w:val="0"/>
                <w:color w:val="111111"/>
                <w:sz w:val="20"/>
              </w:rPr>
              <w:t>I am flagging rather than routing around it, as the protocol requires. Two answers needed: confirm the Levin attribution supersedes the ledger row, and say whether the spine's section 3 note gets amended to match. I have not touched the spine — that note also prescribes grounding citations, so it is a framework change and yours.</w:t>
            </w:r>
          </w:p>
        </w:tc>
      </w:tr>
      <w:tr>
        <w:trPr>
          <w:cantSplit/>
        </w:trPr>
        <w:tc>
          <w:tcPr>
            <w:tcW w:type="dxa" w:w="9360"/>
            <w:shd w:val="clear" w:color="auto" w:fill="FFFFFF"/>
          </w:tcPr>
          <w:p>
            <w:pPr>
              <w:spacing w:after="40"/>
            </w:pPr>
            <w:r>
              <w:rPr>
                <w:rFonts w:ascii="Calibri" w:hAnsi="Calibri"/>
                <w:b/>
                <w:i w:val="0"/>
                <w:color w:val="555555"/>
                <w:sz w:val="18"/>
              </w:rPr>
              <w:t>Your answer:</w:t>
            </w:r>
          </w:p>
          <w:p>
            <w:pPr>
              <w:spacing w:after="200"/>
            </w:pPr>
            <w:r>
              <w:rPr>
                <w:rFonts w:ascii="Calibri" w:hAnsi="Calibri"/>
                <w:b w:val="0"/>
                <w:i w:val="0"/>
                <w:color w:val="111111"/>
                <w:sz w:val="20"/>
              </w:rPr>
            </w:r>
          </w:p>
          <w:p>
            <w:pPr>
              <w:spacing w:after="200"/>
            </w:pPr>
            <w:r>
              <w:rPr>
                <w:rFonts w:ascii="Calibri" w:hAnsi="Calibri"/>
                <w:b w:val="0"/>
                <w:i w:val="0"/>
                <w:color w:val="111111"/>
                <w:sz w:val="20"/>
              </w:rPr>
            </w:r>
          </w:p>
          <w:p>
            <w:pPr>
              <w:spacing w:after="200"/>
            </w:pPr>
            <w:r>
              <w:rPr>
                <w:rFonts w:ascii="Calibri" w:hAnsi="Calibri"/>
                <w:b w:val="0"/>
                <w:i w:val="0"/>
                <w:color w:val="111111"/>
                <w:sz w:val="20"/>
              </w:rPr>
            </w:r>
          </w:p>
          <w:p>
            <w:pPr>
              <w:spacing w:after="200"/>
            </w:pPr>
            <w:r>
              <w:rPr>
                <w:rFonts w:ascii="Calibri" w:hAnsi="Calibri"/>
                <w:b w:val="0"/>
                <w:i w:val="0"/>
                <w:color w:val="111111"/>
                <w:sz w:val="20"/>
              </w:rPr>
            </w:r>
          </w:p>
        </w:tc>
      </w:tr>
    </w:tbl>
    <w:p>
      <w:pPr>
        <w:spacing w:after="80"/>
      </w:pPr>
    </w:p>
    <w:p>
      <w:pPr>
        <w:pStyle w:val="Heading1"/>
        <w:spacing w:before="280" w:after="80"/>
      </w:pPr>
      <w:r>
        <w:rPr>
          <w:rFonts w:ascii="Calibri" w:hAnsi="Calibri"/>
          <w:color w:val="0B2545"/>
          <w:sz w:val="32"/>
        </w:rPr>
        <w:t>The trade, measured</w:t>
      </w:r>
    </w:p>
    <w:p>
      <w:pPr>
        <w:spacing w:before="0" w:after="120"/>
      </w:pPr>
      <w:r>
        <w:rPr>
          <w:rFonts w:ascii="Calibri" w:hAnsi="Calibri"/>
          <w:b w:val="0"/>
          <w:i w:val="0"/>
          <w:color w:val="555555"/>
          <w:sz w:val="20"/>
        </w:rPr>
        <w:t>Re-run 2026-07-26 against the current source, not quoted from the audit.</w:t>
      </w:r>
    </w:p>
    <w:tbl>
      <w:tblPr>
        <w:tblW w:type="auto" w:w="0"/>
        <w:jc w:val="center"/>
        <w:tblLayout w:type="fixed"/>
        <w:tblLook w:firstColumn="1" w:firstRow="1" w:lastColumn="0" w:lastRow="0" w:noHBand="0" w:noVBand="1" w:val="04A0"/>
        <w:tblBorders>
          <w:top w:val="single" w:sz="6" w:color="BBBBBB"/>
          <w:left w:val="single" w:sz="6" w:color="BBBBBB"/>
          <w:bottom w:val="single" w:sz="6" w:color="BBBBBB"/>
          <w:right w:val="single" w:sz="6" w:color="BBBBBB"/>
          <w:insideH w:val="single" w:sz="6" w:color="BBBBBB"/>
          <w:insideV w:val="single" w:sz="6" w:color="BBBBBB"/>
        </w:tblBorders>
        <w:tblLayout w:type="fixed"/>
      </w:tblPr>
      <w:tblGrid>
        <w:gridCol w:w="6768"/>
        <w:gridCol w:w="2592"/>
      </w:tblGrid>
      <w:tr>
        <w:trPr>
          <w:tblHeader/>
        </w:trPr>
        <w:tc>
          <w:tcPr>
            <w:tcW w:type="dxa" w:w="6768"/>
            <w:shd w:val="clear" w:color="auto" w:fill="E4E9EF"/>
          </w:tcPr>
          <w:p>
            <w:pPr>
              <w:spacing w:after="40"/>
            </w:pPr>
            <w:r>
              <w:rPr>
                <w:rFonts w:ascii="Calibri" w:hAnsi="Calibri"/>
                <w:b/>
                <w:i w:val="0"/>
                <w:color w:val="0B2545"/>
                <w:sz w:val="19"/>
              </w:rPr>
              <w:t>Section</w:t>
            </w:r>
          </w:p>
        </w:tc>
        <w:tc>
          <w:tcPr>
            <w:tcW w:type="dxa" w:w="2592"/>
            <w:shd w:val="clear" w:color="auto" w:fill="E4E9EF"/>
          </w:tcPr>
          <w:p>
            <w:pPr>
              <w:spacing w:after="40"/>
            </w:pPr>
            <w:r>
              <w:rPr>
                <w:rFonts w:ascii="Calibri" w:hAnsi="Calibri"/>
                <w:b/>
                <w:i w:val="0"/>
                <w:color w:val="0B2545"/>
                <w:sz w:val="19"/>
              </w:rPr>
              <w:t>Body words</w:t>
            </w:r>
          </w:p>
        </w:tc>
      </w:tr>
      <w:tr>
        <w:tc>
          <w:tcPr>
            <w:tcW w:type="dxa" w:w="6768"/>
          </w:tcPr>
          <w:p>
            <w:pPr>
              <w:spacing w:after="40"/>
            </w:pPr>
            <w:r>
              <w:rPr>
                <w:rFonts w:ascii="Calibri" w:hAnsi="Calibri"/>
                <w:b w:val="0"/>
                <w:i w:val="0"/>
                <w:color w:val="111111"/>
                <w:sz w:val="19"/>
              </w:rPr>
              <w:t>Opener</w:t>
            </w:r>
          </w:p>
        </w:tc>
        <w:tc>
          <w:tcPr>
            <w:tcW w:type="dxa" w:w="2592"/>
          </w:tcPr>
          <w:p>
            <w:pPr>
              <w:spacing w:after="40"/>
            </w:pPr>
            <w:r>
              <w:rPr>
                <w:rFonts w:ascii="Calibri" w:hAnsi="Calibri"/>
                <w:b w:val="0"/>
                <w:i w:val="0"/>
                <w:color w:val="111111"/>
                <w:sz w:val="19"/>
              </w:rPr>
              <w:t>283</w:t>
            </w:r>
          </w:p>
        </w:tc>
      </w:tr>
      <w:tr>
        <w:tc>
          <w:tcPr>
            <w:tcW w:type="dxa" w:w="6768"/>
          </w:tcPr>
          <w:p>
            <w:pPr>
              <w:spacing w:after="40"/>
            </w:pPr>
            <w:r>
              <w:rPr>
                <w:rFonts w:ascii="Calibri" w:hAnsi="Calibri"/>
                <w:b w:val="0"/>
                <w:i w:val="0"/>
                <w:color w:val="111111"/>
                <w:sz w:val="19"/>
              </w:rPr>
              <w:t>Section 1</w:t>
            </w:r>
          </w:p>
        </w:tc>
        <w:tc>
          <w:tcPr>
            <w:tcW w:type="dxa" w:w="2592"/>
          </w:tcPr>
          <w:p>
            <w:pPr>
              <w:spacing w:after="40"/>
            </w:pPr>
            <w:r>
              <w:rPr>
                <w:rFonts w:ascii="Calibri" w:hAnsi="Calibri"/>
                <w:b w:val="0"/>
                <w:i w:val="0"/>
                <w:color w:val="111111"/>
                <w:sz w:val="19"/>
              </w:rPr>
              <w:t>574</w:t>
            </w:r>
          </w:p>
        </w:tc>
      </w:tr>
      <w:tr>
        <w:tc>
          <w:tcPr>
            <w:tcW w:type="dxa" w:w="6768"/>
          </w:tcPr>
          <w:p>
            <w:pPr>
              <w:spacing w:after="40"/>
            </w:pPr>
            <w:r>
              <w:rPr>
                <w:rFonts w:ascii="Calibri" w:hAnsi="Calibri"/>
                <w:b w:val="0"/>
                <w:i w:val="0"/>
                <w:color w:val="111111"/>
                <w:sz w:val="19"/>
              </w:rPr>
              <w:t>Section 2</w:t>
            </w:r>
          </w:p>
        </w:tc>
        <w:tc>
          <w:tcPr>
            <w:tcW w:type="dxa" w:w="2592"/>
          </w:tcPr>
          <w:p>
            <w:pPr>
              <w:spacing w:after="40"/>
            </w:pPr>
            <w:r>
              <w:rPr>
                <w:rFonts w:ascii="Calibri" w:hAnsi="Calibri"/>
                <w:b w:val="0"/>
                <w:i w:val="0"/>
                <w:color w:val="111111"/>
                <w:sz w:val="19"/>
              </w:rPr>
              <w:t>839</w:t>
            </w:r>
          </w:p>
        </w:tc>
      </w:tr>
      <w:tr>
        <w:tc>
          <w:tcPr>
            <w:tcW w:type="dxa" w:w="6768"/>
          </w:tcPr>
          <w:p>
            <w:pPr>
              <w:spacing w:after="40"/>
            </w:pPr>
            <w:r>
              <w:rPr>
                <w:rFonts w:ascii="Calibri" w:hAnsi="Calibri"/>
                <w:b w:val="0"/>
                <w:i w:val="0"/>
                <w:color w:val="111111"/>
                <w:sz w:val="19"/>
              </w:rPr>
              <w:t>Section 3</w:t>
            </w:r>
          </w:p>
        </w:tc>
        <w:tc>
          <w:tcPr>
            <w:tcW w:type="dxa" w:w="2592"/>
          </w:tcPr>
          <w:p>
            <w:pPr>
              <w:spacing w:after="40"/>
            </w:pPr>
            <w:r>
              <w:rPr>
                <w:rFonts w:ascii="Calibri" w:hAnsi="Calibri"/>
                <w:b w:val="0"/>
                <w:i w:val="0"/>
                <w:color w:val="111111"/>
                <w:sz w:val="19"/>
              </w:rPr>
              <w:t>1,007</w:t>
            </w:r>
          </w:p>
        </w:tc>
      </w:tr>
      <w:tr>
        <w:tc>
          <w:tcPr>
            <w:tcW w:type="dxa" w:w="6768"/>
          </w:tcPr>
          <w:p>
            <w:pPr>
              <w:spacing w:after="40"/>
            </w:pPr>
            <w:r>
              <w:rPr>
                <w:rFonts w:ascii="Calibri" w:hAnsi="Calibri"/>
                <w:b w:val="0"/>
                <w:i w:val="0"/>
                <w:color w:val="111111"/>
                <w:sz w:val="19"/>
              </w:rPr>
              <w:t>Section 4</w:t>
            </w:r>
          </w:p>
        </w:tc>
        <w:tc>
          <w:tcPr>
            <w:tcW w:type="dxa" w:w="2592"/>
          </w:tcPr>
          <w:p>
            <w:pPr>
              <w:spacing w:after="40"/>
            </w:pPr>
            <w:r>
              <w:rPr>
                <w:rFonts w:ascii="Calibri" w:hAnsi="Calibri"/>
                <w:b w:val="0"/>
                <w:i w:val="0"/>
                <w:color w:val="111111"/>
                <w:sz w:val="19"/>
              </w:rPr>
              <w:t>616</w:t>
            </w:r>
          </w:p>
        </w:tc>
      </w:tr>
      <w:tr>
        <w:tc>
          <w:tcPr>
            <w:tcW w:type="dxa" w:w="6768"/>
          </w:tcPr>
          <w:p>
            <w:pPr>
              <w:spacing w:after="40"/>
            </w:pPr>
            <w:r>
              <w:rPr>
                <w:rFonts w:ascii="Calibri" w:hAnsi="Calibri"/>
                <w:b w:val="0"/>
                <w:i w:val="0"/>
                <w:color w:val="111111"/>
                <w:sz w:val="19"/>
              </w:rPr>
              <w:t>AI Connection</w:t>
            </w:r>
          </w:p>
        </w:tc>
        <w:tc>
          <w:tcPr>
            <w:tcW w:type="dxa" w:w="2592"/>
          </w:tcPr>
          <w:p>
            <w:pPr>
              <w:spacing w:after="40"/>
            </w:pPr>
            <w:r>
              <w:rPr>
                <w:rFonts w:ascii="Calibri" w:hAnsi="Calibri"/>
                <w:b w:val="0"/>
                <w:i w:val="0"/>
                <w:color w:val="111111"/>
                <w:sz w:val="19"/>
              </w:rPr>
              <w:t>130</w:t>
            </w:r>
          </w:p>
        </w:tc>
      </w:tr>
      <w:tr>
        <w:tc>
          <w:tcPr>
            <w:tcW w:type="dxa" w:w="6768"/>
          </w:tcPr>
          <w:p>
            <w:pPr>
              <w:spacing w:after="40"/>
            </w:pPr>
            <w:r>
              <w:rPr>
                <w:rFonts w:ascii="Calibri" w:hAnsi="Calibri"/>
                <w:b/>
                <w:i w:val="0"/>
                <w:color w:val="111111"/>
                <w:sz w:val="19"/>
              </w:rPr>
              <w:t>Body total, opener to AI, excluding figure text</w:t>
            </w:r>
          </w:p>
        </w:tc>
        <w:tc>
          <w:tcPr>
            <w:tcW w:type="dxa" w:w="2592"/>
          </w:tcPr>
          <w:p>
            <w:pPr>
              <w:spacing w:after="40"/>
            </w:pPr>
            <w:r>
              <w:rPr>
                <w:rFonts w:ascii="Calibri" w:hAnsi="Calibri"/>
                <w:b/>
                <w:i w:val="0"/>
                <w:color w:val="111111"/>
                <w:sz w:val="19"/>
              </w:rPr>
              <w:t>3,653</w:t>
            </w:r>
          </w:p>
        </w:tc>
      </w:tr>
    </w:tbl>
    <w:p>
      <w:pPr>
        <w:spacing w:after="80"/>
      </w:pPr>
    </w:p>
    <w:tbl>
      <w:tblPr>
        <w:tblW w:type="auto" w:w="0"/>
        <w:jc w:val="center"/>
        <w:tblLayout w:type="fixed"/>
        <w:tblLook w:firstColumn="1" w:firstRow="1" w:lastColumn="0" w:lastRow="0" w:noHBand="0" w:noVBand="1" w:val="04A0"/>
        <w:tblBorders>
          <w:top w:val="single" w:sz="6" w:color="BBBBBB"/>
          <w:left w:val="single" w:sz="6" w:color="BBBBBB"/>
          <w:bottom w:val="single" w:sz="6" w:color="BBBBBB"/>
          <w:right w:val="single" w:sz="6" w:color="BBBBBB"/>
          <w:insideH w:val="single" w:sz="6" w:color="BBBBBB"/>
          <w:insideV w:val="single" w:sz="6" w:color="BBBBBB"/>
        </w:tblBorders>
        <w:tblLayout w:type="fixed"/>
      </w:tblPr>
      <w:tblGrid>
        <w:gridCol w:w="6768"/>
        <w:gridCol w:w="2592"/>
      </w:tblGrid>
      <w:tr>
        <w:trPr>
          <w:tblHeader/>
        </w:trPr>
        <w:tc>
          <w:tcPr>
            <w:tcW w:type="dxa" w:w="6768"/>
            <w:shd w:val="clear" w:color="auto" w:fill="E4E9EF"/>
          </w:tcPr>
          <w:p>
            <w:pPr>
              <w:spacing w:after="40"/>
            </w:pPr>
            <w:r>
              <w:rPr>
                <w:rFonts w:ascii="Calibri" w:hAnsi="Calibri"/>
                <w:b/>
                <w:i w:val="0"/>
                <w:color w:val="0B2545"/>
                <w:sz w:val="19"/>
              </w:rPr>
              <w:t>Addition</w:t>
            </w:r>
          </w:p>
        </w:tc>
        <w:tc>
          <w:tcPr>
            <w:tcW w:type="dxa" w:w="2592"/>
            <w:shd w:val="clear" w:color="auto" w:fill="E4E9EF"/>
          </w:tcPr>
          <w:p>
            <w:pPr>
              <w:spacing w:after="40"/>
            </w:pPr>
            <w:r>
              <w:rPr>
                <w:rFonts w:ascii="Calibri" w:hAnsi="Calibri"/>
                <w:b/>
                <w:i w:val="0"/>
                <w:color w:val="0B2545"/>
                <w:sz w:val="19"/>
              </w:rPr>
              <w:t>Words (est.)</w:t>
            </w:r>
          </w:p>
        </w:tc>
      </w:tr>
      <w:tr>
        <w:tc>
          <w:tcPr>
            <w:tcW w:type="dxa" w:w="6768"/>
          </w:tcPr>
          <w:p>
            <w:pPr>
              <w:spacing w:after="40"/>
            </w:pPr>
            <w:r>
              <w:rPr>
                <w:rFonts w:ascii="Calibri" w:hAnsi="Calibri"/>
                <w:b w:val="0"/>
                <w:i w:val="0"/>
                <w:color w:val="111111"/>
                <w:sz w:val="19"/>
              </w:rPr>
              <w:t>Chapter 10 callback and Hostinar</w:t>
            </w:r>
          </w:p>
        </w:tc>
        <w:tc>
          <w:tcPr>
            <w:tcW w:type="dxa" w:w="2592"/>
          </w:tcPr>
          <w:p>
            <w:pPr>
              <w:spacing w:after="40"/>
            </w:pPr>
            <w:r>
              <w:rPr>
                <w:rFonts w:ascii="Calibri" w:hAnsi="Calibri"/>
                <w:b w:val="0"/>
                <w:i w:val="0"/>
                <w:color w:val="111111"/>
                <w:sz w:val="19"/>
              </w:rPr>
              <w:t>95</w:t>
            </w:r>
          </w:p>
        </w:tc>
      </w:tr>
      <w:tr>
        <w:tc>
          <w:tcPr>
            <w:tcW w:type="dxa" w:w="6768"/>
          </w:tcPr>
          <w:p>
            <w:pPr>
              <w:spacing w:after="40"/>
            </w:pPr>
            <w:r>
              <w:rPr>
                <w:rFonts w:ascii="Calibri" w:hAnsi="Calibri"/>
                <w:b w:val="0"/>
                <w:i w:val="0"/>
                <w:color w:val="111111"/>
                <w:sz w:val="19"/>
              </w:rPr>
              <w:t>Compression seam</w:t>
            </w:r>
          </w:p>
        </w:tc>
        <w:tc>
          <w:tcPr>
            <w:tcW w:type="dxa" w:w="2592"/>
          </w:tcPr>
          <w:p>
            <w:pPr>
              <w:spacing w:after="40"/>
            </w:pPr>
            <w:r>
              <w:rPr>
                <w:rFonts w:ascii="Calibri" w:hAnsi="Calibri"/>
                <w:b w:val="0"/>
                <w:i w:val="0"/>
                <w:color w:val="111111"/>
                <w:sz w:val="19"/>
              </w:rPr>
              <w:t>35</w:t>
            </w:r>
          </w:p>
        </w:tc>
      </w:tr>
      <w:tr>
        <w:tc>
          <w:tcPr>
            <w:tcW w:type="dxa" w:w="6768"/>
          </w:tcPr>
          <w:p>
            <w:pPr>
              <w:spacing w:after="40"/>
            </w:pPr>
            <w:r>
              <w:rPr>
                <w:rFonts w:ascii="Calibri" w:hAnsi="Calibri"/>
                <w:b w:val="0"/>
                <w:i w:val="0"/>
                <w:color w:val="111111"/>
                <w:sz w:val="19"/>
              </w:rPr>
              <w:t>Action-readiness seam</w:t>
            </w:r>
          </w:p>
        </w:tc>
        <w:tc>
          <w:tcPr>
            <w:tcW w:type="dxa" w:w="2592"/>
          </w:tcPr>
          <w:p>
            <w:pPr>
              <w:spacing w:after="40"/>
            </w:pPr>
            <w:r>
              <w:rPr>
                <w:rFonts w:ascii="Calibri" w:hAnsi="Calibri"/>
                <w:b w:val="0"/>
                <w:i w:val="0"/>
                <w:color w:val="111111"/>
                <w:sz w:val="19"/>
              </w:rPr>
              <w:t>30</w:t>
            </w:r>
          </w:p>
        </w:tc>
      </w:tr>
      <w:tr>
        <w:tc>
          <w:tcPr>
            <w:tcW w:type="dxa" w:w="6768"/>
          </w:tcPr>
          <w:p>
            <w:pPr>
              <w:spacing w:after="40"/>
            </w:pPr>
            <w:r>
              <w:rPr>
                <w:rFonts w:ascii="Calibri" w:hAnsi="Calibri"/>
                <w:b w:val="0"/>
                <w:i w:val="0"/>
                <w:color w:val="111111"/>
                <w:sz w:val="19"/>
              </w:rPr>
              <w:t>Four reclaims</w:t>
            </w:r>
          </w:p>
        </w:tc>
        <w:tc>
          <w:tcPr>
            <w:tcW w:type="dxa" w:w="2592"/>
          </w:tcPr>
          <w:p>
            <w:pPr>
              <w:spacing w:after="40"/>
            </w:pPr>
            <w:r>
              <w:rPr>
                <w:rFonts w:ascii="Calibri" w:hAnsi="Calibri"/>
                <w:b w:val="0"/>
                <w:i w:val="0"/>
                <w:color w:val="111111"/>
                <w:sz w:val="19"/>
              </w:rPr>
              <w:t>70</w:t>
            </w:r>
          </w:p>
        </w:tc>
      </w:tr>
      <w:tr>
        <w:tc>
          <w:tcPr>
            <w:tcW w:type="dxa" w:w="6768"/>
          </w:tcPr>
          <w:p>
            <w:pPr>
              <w:spacing w:after="40"/>
            </w:pPr>
            <w:r>
              <w:rPr>
                <w:rFonts w:ascii="Calibri" w:hAnsi="Calibri"/>
                <w:b w:val="0"/>
                <w:i w:val="0"/>
                <w:color w:val="111111"/>
                <w:sz w:val="19"/>
              </w:rPr>
              <w:t>Five payoff lines</w:t>
            </w:r>
          </w:p>
        </w:tc>
        <w:tc>
          <w:tcPr>
            <w:tcW w:type="dxa" w:w="2592"/>
          </w:tcPr>
          <w:p>
            <w:pPr>
              <w:spacing w:after="40"/>
            </w:pPr>
            <w:r>
              <w:rPr>
                <w:rFonts w:ascii="Calibri" w:hAnsi="Calibri"/>
                <w:b w:val="0"/>
                <w:i w:val="0"/>
                <w:color w:val="111111"/>
                <w:sz w:val="19"/>
              </w:rPr>
              <w:t>90</w:t>
            </w:r>
          </w:p>
        </w:tc>
      </w:tr>
      <w:tr>
        <w:tc>
          <w:tcPr>
            <w:tcW w:type="dxa" w:w="6768"/>
          </w:tcPr>
          <w:p>
            <w:pPr>
              <w:spacing w:after="40"/>
            </w:pPr>
            <w:r>
              <w:rPr>
                <w:rFonts w:ascii="Calibri" w:hAnsi="Calibri"/>
                <w:b/>
                <w:i w:val="0"/>
                <w:color w:val="111111"/>
                <w:sz w:val="19"/>
              </w:rPr>
              <w:t>Total added</w:t>
            </w:r>
          </w:p>
        </w:tc>
        <w:tc>
          <w:tcPr>
            <w:tcW w:type="dxa" w:w="2592"/>
          </w:tcPr>
          <w:p>
            <w:pPr>
              <w:spacing w:after="40"/>
            </w:pPr>
            <w:r>
              <w:rPr>
                <w:rFonts w:ascii="Calibri" w:hAnsi="Calibri"/>
                <w:b/>
                <w:i w:val="0"/>
                <w:color w:val="111111"/>
                <w:sz w:val="19"/>
              </w:rPr>
              <w:t>320</w:t>
            </w:r>
          </w:p>
        </w:tc>
      </w:tr>
      <w:tr>
        <w:tc>
          <w:tcPr>
            <w:tcW w:type="dxa" w:w="6768"/>
          </w:tcPr>
          <w:p>
            <w:pPr>
              <w:spacing w:after="40"/>
            </w:pPr>
            <w:r>
              <w:rPr>
                <w:rFonts w:ascii="Calibri" w:hAnsi="Calibri"/>
                <w:b/>
                <w:i w:val="0"/>
                <w:color w:val="111111"/>
                <w:sz w:val="19"/>
              </w:rPr>
              <w:t>Total pruned</w:t>
            </w:r>
          </w:p>
        </w:tc>
        <w:tc>
          <w:tcPr>
            <w:tcW w:type="dxa" w:w="2592"/>
          </w:tcPr>
          <w:p>
            <w:pPr>
              <w:spacing w:after="40"/>
            </w:pPr>
            <w:r>
              <w:rPr>
                <w:rFonts w:ascii="Calibri" w:hAnsi="Calibri"/>
                <w:b/>
                <w:i w:val="0"/>
                <w:color w:val="111111"/>
                <w:sz w:val="19"/>
              </w:rPr>
              <w:t>184</w:t>
            </w:r>
          </w:p>
        </w:tc>
      </w:tr>
      <w:tr>
        <w:tc>
          <w:tcPr>
            <w:tcW w:type="dxa" w:w="6768"/>
          </w:tcPr>
          <w:p>
            <w:pPr>
              <w:spacing w:after="40"/>
            </w:pPr>
            <w:r>
              <w:rPr>
                <w:rFonts w:ascii="Calibri" w:hAnsi="Calibri"/>
                <w:b/>
                <w:i w:val="0"/>
                <w:color w:val="111111"/>
                <w:sz w:val="19"/>
              </w:rPr>
              <w:t>Net</w:t>
            </w:r>
          </w:p>
        </w:tc>
        <w:tc>
          <w:tcPr>
            <w:tcW w:type="dxa" w:w="2592"/>
          </w:tcPr>
          <w:p>
            <w:pPr>
              <w:spacing w:after="40"/>
            </w:pPr>
            <w:r>
              <w:rPr>
                <w:rFonts w:ascii="Calibri" w:hAnsi="Calibri"/>
                <w:b/>
                <w:i w:val="0"/>
                <w:color w:val="111111"/>
                <w:sz w:val="19"/>
              </w:rPr>
              <w:t>+136</w:t>
            </w:r>
          </w:p>
        </w:tc>
      </w:tr>
    </w:tbl>
    <w:p>
      <w:pPr>
        <w:spacing w:after="80"/>
      </w:pPr>
    </w:p>
    <w:p>
      <w:pPr>
        <w:spacing w:before="0" w:after="120"/>
      </w:pPr>
      <w:r>
        <w:rPr>
          <w:rFonts w:ascii="Calibri" w:hAnsi="Calibri"/>
          <w:b w:val="0"/>
          <w:i w:val="0"/>
          <w:color w:val="111111"/>
          <w:sz w:val="21"/>
        </w:rPr>
        <w:t>Body 3,653 becomes 3,789, against a 3,500 to 5,000 target.</w:t>
      </w:r>
    </w:p>
    <w:tbl>
      <w:tblPr>
        <w:tblW w:type="auto" w:w="0"/>
        <w:jc w:val="center"/>
        <w:tblLayout w:type="fixed"/>
        <w:tblLook w:firstColumn="1" w:firstRow="1" w:lastColumn="0" w:lastRow="0" w:noHBand="0" w:noVBand="1" w:val="04A0"/>
        <w:tblBorders>
          <w:top w:val="single" w:sz="8" w:color="D9A93C"/>
          <w:left w:val="single" w:sz="8" w:color="D9A93C"/>
          <w:bottom w:val="single" w:sz="8" w:color="D9A93C"/>
          <w:right w:val="single" w:sz="8" w:color="D9A93C"/>
          <w:insideH w:val="single" w:sz="8" w:color="D9A93C"/>
          <w:insideV w:val="single" w:sz="8" w:color="D9A93C"/>
        </w:tblBorders>
        <w:tblLayout w:type="fixed"/>
      </w:tblPr>
      <w:tblGrid>
        <w:gridCol w:w="9360"/>
      </w:tblGrid>
      <w:tr>
        <w:trPr>
          <w:cantSplit/>
        </w:trPr>
        <w:tc>
          <w:tcPr>
            <w:tcW w:type="dxa" w:w="9360"/>
            <w:shd w:val="clear" w:color="auto" w:fill="FFF3D6"/>
          </w:tcPr>
          <w:p>
            <w:pPr>
              <w:keepNext/>
              <w:spacing w:after="80"/>
            </w:pPr>
            <w:r>
              <w:rPr>
                <w:rFonts w:ascii="Calibri" w:hAnsi="Calibri"/>
                <w:b/>
                <w:i w:val="0"/>
                <w:color w:val="0B2545"/>
                <w:sz w:val="21"/>
              </w:rPr>
              <w:t>DECISION 9 — Net +136 words against a protocol rule that says cut instead</w:t>
            </w:r>
          </w:p>
          <w:p>
            <w:pPr>
              <w:keepNext/>
              <w:spacing w:after="60"/>
            </w:pPr>
            <w:r>
              <w:rPr>
                <w:rFonts w:ascii="Calibri" w:hAnsi="Calibri"/>
                <w:b/>
                <w:i w:val="0"/>
                <w:color w:val="111111"/>
                <w:sz w:val="20"/>
              </w:rPr>
              <w:t>The protocol says that if additions exceed prunes the seed set is too big and threads should be cut before presenting. I am presenting it anyway, and the reasoning should be checked rather than taken.</w:t>
            </w:r>
          </w:p>
          <w:p>
            <w:pPr>
              <w:keepNext/>
              <w:spacing w:after="60"/>
            </w:pPr>
            <w:r>
              <w:rPr>
                <w:rFonts w:ascii="Calibri" w:hAnsi="Calibri"/>
                <w:b w:val="0"/>
                <w:i w:val="0"/>
                <w:color w:val="111111"/>
                <w:sz w:val="20"/>
              </w:rPr>
              <w:t>That rule exists to stop an already-oversized chapter growing — Chapter 11 was 8,792 words when it was written. Chapter 12 is at 3,653 against its own target, so the rule's purpose does not apply, and satisfying its letter would mean cutting threads to shrink a chapter that is already short. Chapter 11 finished 22 per cent up with your agreement, on the grounds that what came out was catalog and what went in was narrative. The same argument applies here more easily.</w:t>
            </w:r>
          </w:p>
          <w:p>
            <w:pPr>
              <w:keepNext/>
              <w:spacing w:after="60"/>
            </w:pPr>
            <w:r>
              <w:rPr>
                <w:rFonts w:ascii="Calibri" w:hAnsi="Calibri"/>
                <w:b w:val="0"/>
                <w:i w:val="0"/>
                <w:color w:val="111111"/>
                <w:sz w:val="20"/>
              </w:rPr>
              <w:t>If you want strict net-negative anyway, the lever is dropping the compression seam and taking P1 and P4 wider. What is lost: compression is the one thing the spine's drafting rules ask of every chapter, and core affect's two numbers are its cleanest instance in the book.</w:t>
            </w:r>
          </w:p>
        </w:tc>
      </w:tr>
      <w:tr>
        <w:trPr>
          <w:cantSplit/>
        </w:trPr>
        <w:tc>
          <w:tcPr>
            <w:tcW w:type="dxa" w:w="9360"/>
            <w:shd w:val="clear" w:color="auto" w:fill="FFFFFF"/>
          </w:tcPr>
          <w:p>
            <w:pPr>
              <w:spacing w:after="40"/>
            </w:pPr>
            <w:r>
              <w:rPr>
                <w:rFonts w:ascii="Calibri" w:hAnsi="Calibri"/>
                <w:b/>
                <w:i w:val="0"/>
                <w:color w:val="555555"/>
                <w:sz w:val="18"/>
              </w:rPr>
              <w:t>Your answer:</w:t>
            </w:r>
          </w:p>
          <w:p>
            <w:pPr>
              <w:spacing w:after="200"/>
            </w:pPr>
            <w:r>
              <w:rPr>
                <w:rFonts w:ascii="Calibri" w:hAnsi="Calibri"/>
                <w:b w:val="0"/>
                <w:i w:val="0"/>
                <w:color w:val="111111"/>
                <w:sz w:val="20"/>
              </w:rPr>
            </w:r>
          </w:p>
          <w:p>
            <w:pPr>
              <w:spacing w:after="200"/>
            </w:pPr>
            <w:r>
              <w:rPr>
                <w:rFonts w:ascii="Calibri" w:hAnsi="Calibri"/>
                <w:b w:val="0"/>
                <w:i w:val="0"/>
                <w:color w:val="111111"/>
                <w:sz w:val="20"/>
              </w:rPr>
            </w:r>
          </w:p>
          <w:p>
            <w:pPr>
              <w:spacing w:after="200"/>
            </w:pPr>
            <w:r>
              <w:rPr>
                <w:rFonts w:ascii="Calibri" w:hAnsi="Calibri"/>
                <w:b w:val="0"/>
                <w:i w:val="0"/>
                <w:color w:val="111111"/>
                <w:sz w:val="20"/>
              </w:rPr>
            </w:r>
          </w:p>
        </w:tc>
      </w:tr>
    </w:tbl>
    <w:p>
      <w:pPr>
        <w:spacing w:after="80"/>
      </w:pPr>
    </w:p>
    <w:p>
      <w:pPr>
        <w:pStyle w:val="Heading1"/>
        <w:spacing w:before="280" w:after="80"/>
      </w:pPr>
      <w:r>
        <w:rPr>
          <w:rFonts w:ascii="Calibri" w:hAnsi="Calibri"/>
          <w:color w:val="0B2545"/>
          <w:sz w:val="32"/>
        </w:rPr>
        <w:t>Integration, cheapest first</w:t>
      </w:r>
    </w:p>
    <w:p>
      <w:pPr>
        <w:pStyle w:val="ListBullet"/>
        <w:spacing w:before="0" w:after="60"/>
        <w:ind w:left="720"/>
      </w:pPr>
      <w:r>
        <w:rPr>
          <w:rFonts w:ascii="Calibri" w:hAnsi="Calibri"/>
          <w:b/>
          <w:i w:val="0"/>
          <w:color w:val="111111"/>
          <w:sz w:val="21"/>
        </w:rPr>
        <w:t xml:space="preserve">Invert lead-and-definition — free, highest yield. </w:t>
      </w:r>
      <w:r>
        <w:rPr>
          <w:rFonts w:ascii="Calibri" w:hAnsi="Calibri"/>
          <w:b w:val="0"/>
          <w:i w:val="0"/>
          <w:color w:val="111111"/>
          <w:sz w:val="21"/>
        </w:rPr>
        <w:t>Four sections already contain the right lead image arriving after the definition it should precede: the thermostat, the granularity examples (currently at the section's end), the snakes, and the zebra (currently absent). The linter does not enforce term position; checked, not assumed.</w:t>
      </w:r>
    </w:p>
    <w:p>
      <w:pPr>
        <w:pStyle w:val="ListBullet"/>
        <w:spacing w:before="0" w:after="60"/>
        <w:ind w:left="720"/>
      </w:pPr>
      <w:r>
        <w:rPr>
          <w:rFonts w:ascii="Calibri" w:hAnsi="Calibri"/>
          <w:b/>
          <w:i w:val="0"/>
          <w:color w:val="111111"/>
          <w:sz w:val="21"/>
        </w:rPr>
        <w:t xml:space="preserve">Seam sentences — three, not ten. </w:t>
      </w:r>
      <w:r>
        <w:rPr>
          <w:rFonts w:ascii="Calibri" w:hAnsi="Calibri"/>
          <w:b w:val="0"/>
          <w:i w:val="0"/>
          <w:color w:val="111111"/>
          <w:sz w:val="21"/>
        </w:rPr>
        <w:t>Compression, action-readiness, social buffering. This chapter needs fewer than Chapter 11 because its threads are already present.</w:t>
      </w:r>
    </w:p>
    <w:p>
      <w:pPr>
        <w:pStyle w:val="ListBullet"/>
        <w:spacing w:before="0" w:after="60"/>
        <w:ind w:left="720"/>
      </w:pPr>
      <w:r>
        <w:rPr>
          <w:rFonts w:ascii="Calibri" w:hAnsi="Calibri"/>
          <w:b/>
          <w:i w:val="0"/>
          <w:color w:val="111111"/>
          <w:sz w:val="21"/>
        </w:rPr>
        <w:t xml:space="preserve">Payoff lines — five, replacing pruned disclaimer positions. </w:t>
      </w:r>
      <w:r>
        <w:rPr>
          <w:rFonts w:ascii="Calibri" w:hAnsi="Calibri"/>
          <w:b w:val="0"/>
          <w:i w:val="0"/>
          <w:color w:val="111111"/>
          <w:sz w:val="21"/>
        </w:rPr>
        <w:t>This is the register work. It is not a separate pass.</w:t>
      </w:r>
    </w:p>
    <w:p>
      <w:pPr>
        <w:pStyle w:val="ListBullet"/>
        <w:spacing w:before="0" w:after="60"/>
        <w:ind w:left="720"/>
      </w:pPr>
      <w:r>
        <w:rPr>
          <w:rFonts w:ascii="Calibri" w:hAnsi="Calibri"/>
          <w:b/>
          <w:i w:val="0"/>
          <w:color w:val="111111"/>
          <w:sz w:val="21"/>
        </w:rPr>
        <w:t xml:space="preserve">Apparatus retrofit — free, and last. </w:t>
      </w:r>
      <w:r>
        <w:rPr>
          <w:rFonts w:ascii="Calibri" w:hAnsi="Calibri"/>
          <w:b w:val="0"/>
          <w:i w:val="0"/>
          <w:color w:val="111111"/>
          <w:sz w:val="21"/>
        </w:rPr>
        <w:t>One Stop and Retrieve across four sections, one Think About It, seven review questions against a target of 8 to 12. Deferred by design so prompts test the chapter as it finally reads. The audit's line stands: do not add another question whose correct answer is constructed emotion.</w:t>
      </w:r>
    </w:p>
    <w:p>
      <w:pPr>
        <w:spacing w:before="120" w:after="120"/>
      </w:pPr>
      <w:r>
        <w:rPr>
          <w:rFonts w:ascii="Calibri" w:hAnsi="Calibri"/>
          <w:b/>
          <w:i w:val="0"/>
          <w:color w:val="111111"/>
          <w:sz w:val="21"/>
        </w:rPr>
        <w:t xml:space="preserve">Sequencing, or the chapter gets rewritten twice: </w:t>
      </w:r>
      <w:r>
        <w:rPr>
          <w:rFonts w:ascii="Calibri" w:hAnsi="Calibri"/>
          <w:b w:val="0"/>
          <w:i w:val="0"/>
          <w:color w:val="111111"/>
          <w:sz w:val="21"/>
        </w:rPr>
        <w:t>prune decisions, then lead and definition inversions, then reclaims, then seams, then payoff lines, then apparatus.</w:t>
      </w:r>
    </w:p>
    <w:p>
      <w:pPr>
        <w:spacing w:before="0" w:after="120"/>
      </w:pPr>
      <w:r>
        <w:rPr>
          <w:rFonts w:ascii="Calibri" w:hAnsi="Calibri"/>
          <w:b/>
          <w:i w:val="0"/>
          <w:color w:val="111111"/>
          <w:sz w:val="21"/>
        </w:rPr>
        <w:t xml:space="preserve">The failure mode to name every time: </w:t>
      </w:r>
      <w:r>
        <w:rPr>
          <w:rFonts w:ascii="Calibri" w:hAnsi="Calibri"/>
          <w:b w:val="0"/>
          <w:i w:val="0"/>
          <w:color w:val="111111"/>
          <w:sz w:val="21"/>
        </w:rPr>
        <w:t>adding a spine framing paragraph at the top of each section. It is the obvious move and it reproduces the spine-disconnected draft.</w:t>
      </w:r>
    </w:p>
    <w:p>
      <w:pPr>
        <w:pStyle w:val="Heading1"/>
        <w:spacing w:before="280" w:after="80"/>
      </w:pPr>
      <w:r>
        <w:rPr>
          <w:rFonts w:ascii="Calibri" w:hAnsi="Calibri"/>
          <w:color w:val="0B2545"/>
          <w:sz w:val="32"/>
        </w:rPr>
        <w:t>Recorded, not asked</w:t>
      </w:r>
    </w:p>
    <w:p>
      <w:pPr>
        <w:spacing w:before="0" w:after="120"/>
      </w:pPr>
      <w:r>
        <w:rPr>
          <w:rFonts w:ascii="Calibri" w:hAnsi="Calibri"/>
          <w:b w:val="0"/>
          <w:i w:val="0"/>
          <w:color w:val="555555"/>
          <w:sz w:val="20"/>
        </w:rPr>
        <w:t>Decided without you, listed so you can overrule any of it.</w:t>
      </w:r>
    </w:p>
    <w:p>
      <w:pPr>
        <w:pStyle w:val="ListBullet"/>
        <w:spacing w:before="0" w:after="60"/>
        <w:ind w:left="720"/>
      </w:pPr>
      <w:r>
        <w:rPr>
          <w:rFonts w:ascii="Calibri" w:hAnsi="Calibri"/>
          <w:b w:val="0"/>
          <w:i w:val="0"/>
          <w:color w:val="111111"/>
          <w:sz w:val="21"/>
        </w:rPr>
        <w:t>Trimming the middle disclaimer sentence in the AI Connection — throat-clearing, and the neighbouring sentences carry the bound.</w:t>
      </w:r>
    </w:p>
    <w:p>
      <w:pPr>
        <w:pStyle w:val="ListBullet"/>
        <w:spacing w:before="0" w:after="60"/>
        <w:ind w:left="720"/>
      </w:pPr>
      <w:r>
        <w:rPr>
          <w:rFonts w:ascii="Calibri" w:hAnsi="Calibri"/>
          <w:b w:val="0"/>
          <w:i w:val="0"/>
          <w:color w:val="111111"/>
          <w:sz w:val="21"/>
        </w:rPr>
        <w:t>Dropping one sentence from the goal-horizon ladder.</w:t>
      </w:r>
    </w:p>
    <w:p>
      <w:pPr>
        <w:pStyle w:val="ListBullet"/>
        <w:spacing w:before="0" w:after="60"/>
        <w:ind w:left="720"/>
      </w:pPr>
      <w:r>
        <w:rPr>
          <w:rFonts w:ascii="Calibri" w:hAnsi="Calibri"/>
          <w:b w:val="0"/>
          <w:i w:val="0"/>
          <w:color w:val="111111"/>
          <w:sz w:val="21"/>
        </w:rPr>
        <w:t>Moving the granularity examples from the end of Section 2 to its opening.</w:t>
      </w:r>
    </w:p>
    <w:p>
      <w:pPr>
        <w:pStyle w:val="ListBullet"/>
        <w:spacing w:before="0" w:after="60"/>
        <w:ind w:left="720"/>
      </w:pPr>
      <w:r>
        <w:rPr>
          <w:rFonts w:ascii="Calibri" w:hAnsi="Calibri"/>
          <w:b w:val="0"/>
          <w:i w:val="0"/>
          <w:color w:val="111111"/>
          <w:sz w:val="21"/>
        </w:rPr>
        <w:t>Moving the snakes ahead of the lesion description in the Patient S.M. walkthrough.</w:t>
      </w:r>
    </w:p>
    <w:p>
      <w:pPr>
        <w:pStyle w:val="ListBullet"/>
        <w:spacing w:before="0" w:after="60"/>
        <w:ind w:left="720"/>
      </w:pPr>
      <w:r>
        <w:rPr>
          <w:rFonts w:ascii="Calibri" w:hAnsi="Calibri"/>
          <w:b w:val="0"/>
          <w:i w:val="0"/>
          <w:color w:val="111111"/>
          <w:sz w:val="21"/>
        </w:rPr>
        <w:t>Not citing Grupe and Nitschke.</w:t>
      </w:r>
    </w:p>
    <w:p>
      <w:pPr>
        <w:pStyle w:val="ListBullet"/>
        <w:spacing w:before="0" w:after="60"/>
        <w:ind w:left="720"/>
      </w:pPr>
      <w:r>
        <w:rPr>
          <w:rFonts w:ascii="Calibri" w:hAnsi="Calibri"/>
          <w:b w:val="0"/>
          <w:i w:val="0"/>
          <w:color w:val="111111"/>
          <w:sz w:val="21"/>
        </w:rPr>
        <w:t>Not restoring three pre-repair passages — this is why everything feels harder, the post-finals narrative, and social support predicts mortality. All three overclaimed. Their jobs are reassigned to payoff lines and to the Hostinar seam; the text stays cut.</w:t>
      </w:r>
    </w:p>
    <w:p>
      <w:pPr>
        <w:pStyle w:val="ListBullet"/>
        <w:spacing w:before="0" w:after="60"/>
        <w:ind w:left="720"/>
      </w:pPr>
      <w:r>
        <w:rPr>
          <w:rFonts w:ascii="Calibri" w:hAnsi="Calibri"/>
          <w:b w:val="0"/>
          <w:i w:val="0"/>
          <w:color w:val="111111"/>
          <w:sz w:val="21"/>
        </w:rPr>
        <w:t>Not restoring the pre-repair body-budget review question. Correctly cut — it made the metaphor quasi-diagnostic.</w:t>
      </w:r>
    </w:p>
    <w:p>
      <w:pPr>
        <w:pStyle w:val="ListBullet"/>
        <w:spacing w:before="0" w:after="60"/>
        <w:ind w:left="720"/>
      </w:pPr>
      <w:r>
        <w:rPr>
          <w:rFonts w:ascii="Calibri" w:hAnsi="Calibri"/>
          <w:b w:val="0"/>
          <w:i w:val="0"/>
          <w:color w:val="111111"/>
          <w:sz w:val="21"/>
        </w:rPr>
        <w:t>Not amending the spine's hedonic-treadmill note in this pass. It changes nothing here and belongs in a spine-maintenance pass.</w:t>
      </w:r>
    </w:p>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555555"/>
        <w:sz w:val="17"/>
      </w:rPr>
      <w:t xml:space="preserve">Chapter 12 Spine Seeds — page </w:t>
    </w:r>
    <w:r>
      <w:rPr>
        <w:color w:val="555555"/>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