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Nguyên lí thứ 5– 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Các modules cấp cao không nên phụ thuộc vào các modules cấp thấp. Cả 2 nên phụ thuộc vào abstraction.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Interface (abstraction) không nên phụ thuộc vào chi tiết, mà ngược lại (Các class giao tiếp với nhau thông qua interface, không phải thông qua implementation.)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Ví dụ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Trường hợp vi phạm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95700" cy="5991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Trường hợp áp dụng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81575" cy="6124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