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Main</w:t>
      </w:r>
      <w:r>
        <w:t xml:space="preserve"> </w:t>
      </w:r>
      <w:r>
        <w:t xml:space="preserve">Results</w:t>
      </w:r>
    </w:p>
    <w:p>
      <w:pPr>
        <w:pStyle w:val="Heading1"/>
      </w:pPr>
      <w:bookmarkStart w:id="20" w:name="descriptive-statistics"/>
      <w:r>
        <w:t xml:space="preserve">Descriptive Statistics</w:t>
      </w:r>
      <w:bookmarkEnd w:id="20"/>
    </w:p>
    <w:p>
      <w:pPr>
        <w:pStyle w:val="Heading2"/>
      </w:pPr>
      <w:bookmarkStart w:id="21" w:name="patient-characteristics"/>
      <w:r>
        <w:t xml:space="preserve">Patient characteristics</w:t>
      </w:r>
      <w:bookmarkEnd w:id="21"/>
    </w:p>
    <w:p>
      <w:pPr>
        <w:pStyle w:val="TableCaption"/>
      </w:pPr>
      <w:r>
        <w:t xml:space="preserve">Table 1: Baseline demographics and disease characteristics. Values are presented as mean (SD) unless stated otherwise. Montreal cognitive assessment scale (MoCA); Modified Schwab and England activities of daily living (MSE-ADL); Questionnaire for Impulsive-Compulsive Disorders in Parkinson’s Disease (QUIP); Levodopa Equivalent Daily Dose (LEDD).</w:t>
      </w:r>
    </w:p>
    <w:tbl>
      <w:tblPr>
        <w:tblStyle w:val="Table"/>
        <w:tblW w:type="pct" w:w="0.0"/>
        <w:tblLook w:firstRow="1"/>
        <w:tblCaption w:val="Table 1: Baseline demographics and disease characteristics. Values are presented as mean (SD) unless stated otherwise. Montreal cognitive assessment scale (MoCA); Modified Schwab and England activities of daily living (MSE-ADL); Questionnaire for Impulsive-Compulsive Disorders in Parkinson’s Disease (QUIP); Levodopa Equivalent Daily Dose (LEDD)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61.3 (9.7)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 (% Male)</w:t>
            </w:r>
          </w:p>
        </w:tc>
        <w:tc>
          <w:p>
            <w:pPr>
              <w:pStyle w:val="Compact"/>
              <w:jc w:val="left"/>
            </w:pPr>
            <w:r>
              <w:t xml:space="preserve">66.9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Education (Years)</w:t>
            </w:r>
          </w:p>
        </w:tc>
        <w:tc>
          <w:p>
            <w:pPr>
              <w:pStyle w:val="Compact"/>
              <w:jc w:val="left"/>
            </w:pPr>
            <w:r>
              <w:t xml:space="preserve">15.6 (2.9)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Disease Duration (Years)</w:t>
            </w:r>
          </w:p>
        </w:tc>
        <w:tc>
          <w:p>
            <w:pPr>
              <w:pStyle w:val="Compact"/>
              <w:jc w:val="left"/>
            </w:pPr>
            <w:r>
              <w:t xml:space="preserve">0.5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MDS-UPDRS I</w:t>
            </w:r>
          </w:p>
        </w:tc>
        <w:tc>
          <w:p>
            <w:pPr>
              <w:pStyle w:val="Compact"/>
              <w:jc w:val="left"/>
            </w:pPr>
            <w:r>
              <w:t xml:space="preserve">5.6 (4.1)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MDS-UPDRS II</w:t>
            </w:r>
          </w:p>
        </w:tc>
        <w:tc>
          <w:p>
            <w:pPr>
              <w:pStyle w:val="Compact"/>
              <w:jc w:val="left"/>
            </w:pPr>
            <w:r>
              <w:t xml:space="preserve">6.2 (4.2)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MDS-UPDRS III</w:t>
            </w:r>
          </w:p>
        </w:tc>
        <w:tc>
          <w:p>
            <w:pPr>
              <w:pStyle w:val="Compact"/>
              <w:jc w:val="left"/>
            </w:pPr>
            <w:r>
              <w:t xml:space="preserve">21.1 (8.8)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MoCA</w:t>
            </w:r>
          </w:p>
        </w:tc>
        <w:tc>
          <w:p>
            <w:pPr>
              <w:pStyle w:val="Compact"/>
              <w:jc w:val="left"/>
            </w:pPr>
            <w:r>
              <w:t xml:space="preserve">27.1 (2.3)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MSE-ADL</w:t>
            </w:r>
          </w:p>
        </w:tc>
        <w:tc>
          <w:p>
            <w:pPr>
              <w:pStyle w:val="Compact"/>
              <w:jc w:val="left"/>
            </w:pPr>
            <w:r>
              <w:t xml:space="preserve">92.8 (6.0)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QUIP (% any)</w:t>
            </w:r>
          </w:p>
        </w:tc>
        <w:tc>
          <w:p>
            <w:pPr>
              <w:pStyle w:val="Compact"/>
              <w:jc w:val="left"/>
            </w:pPr>
            <w:r>
              <w:t xml:space="preserve">19.0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LEDD @ 2 years</w:t>
            </w:r>
          </w:p>
        </w:tc>
        <w:tc>
          <w:p>
            <w:pPr>
              <w:pStyle w:val="Compact"/>
              <w:jc w:val="left"/>
            </w:pPr>
            <w:r>
              <w:t xml:space="preserve">370.0 (292.7)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LEDD @ 3 years</w:t>
            </w:r>
          </w:p>
        </w:tc>
        <w:tc>
          <w:p>
            <w:pPr>
              <w:pStyle w:val="Compact"/>
              <w:jc w:val="left"/>
            </w:pPr>
            <w:r>
              <w:t xml:space="preserve">469.9 (330.4), NA:19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LEDD @ 4 years</w:t>
            </w:r>
          </w:p>
        </w:tc>
        <w:tc>
          <w:p>
            <w:pPr>
              <w:pStyle w:val="Compact"/>
              <w:jc w:val="left"/>
            </w:pPr>
            <w:r>
              <w:t xml:space="preserve">546.0 (349.3), NA:42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0.5 years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1 year</w:t>
            </w:r>
          </w:p>
        </w:tc>
        <w:tc>
          <w:p>
            <w:pPr>
              <w:pStyle w:val="Compact"/>
              <w:jc w:val="left"/>
            </w:pPr>
            <w:r>
              <w:t xml:space="preserve">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1.5 years</w:t>
            </w:r>
          </w:p>
        </w:tc>
        <w:tc>
          <w:p>
            <w:pPr>
              <w:pStyle w:val="Compact"/>
              <w:jc w:val="left"/>
            </w:pPr>
            <w:r>
              <w:t xml:space="preserve">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2 years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</w:tr>
    </w:tbl>
    <w:p>
      <w:pPr>
        <w:pStyle w:val="Heading2"/>
      </w:pPr>
      <w:bookmarkStart w:id="22" w:name="disease-progression"/>
      <w:r>
        <w:t xml:space="preserve">Disease Progression</w:t>
      </w:r>
      <w:bookmarkEnd w:id="22"/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Figure 1: Descriptive MDS-UPDRS III Progression. Average MDS-UPDRS III progression in the first 4 years, categorized by number of years of treatment in the first 2 years of the disease. Only “Off” measurements are shown. These included semi-annual measurements until treatment initiation and annual measurements after treatment initiation (because only the annual measurements were specifically defined as “Off” state in PPMI)." title="" id="1" name="Picture"/>
            <a:graphic>
              <a:graphicData uri="http://schemas.openxmlformats.org/drawingml/2006/picture">
                <pic:pic>
                  <pic:nvPicPr>
                    <pic:cNvPr descr="resul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Descriptive MDS-UPDRS III Progression. Average MDS-UPDRS III progression in the first 4 years, categorized by number of years of treatment in the first 2 years of the disease. Only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measurements are shown. These included semi-annual measurements until treatment initiation and annual measurements after treatment initiation (because only the annual measurements were specifically defined as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state in PPMI).</w:t>
      </w:r>
    </w:p>
    <w:p>
      <w:pPr>
        <w:pStyle w:val="Heading1"/>
      </w:pPr>
      <w:bookmarkStart w:id="24" w:name="confouding-adjustment"/>
      <w:r>
        <w:t xml:space="preserve">Confouding adjustment</w:t>
      </w:r>
      <w:bookmarkEnd w:id="24"/>
    </w:p>
    <w:p>
      <w:pPr>
        <w:pStyle w:val="CaptionedFigure"/>
      </w:pPr>
      <w:r>
        <w:drawing>
          <wp:inline>
            <wp:extent cx="5334000" cy="1600200"/>
            <wp:effectExtent b="0" l="0" r="0" t="0"/>
            <wp:docPr descr="Figure 2: Effect of an additional year of PD medication therapy on outcomes after two years and considering all observations, estimated using different methods. For MDS-UPDRS, higher scores correspond to worse outcome, for Modified Schwab &amp; England, lower scores correspond to worse outcomes. Adjusting for more of the (time-varying) confounding removes more of the spurious negative effects due to worse-off patients being more likely to start therapy early." title="" id="1" name="Picture"/>
            <a:graphic>
              <a:graphicData uri="http://schemas.openxmlformats.org/drawingml/2006/picture">
                <pic:pic>
                  <pic:nvPicPr>
                    <pic:cNvPr descr="resul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Effect of an additional year of PD medication therapy on outcomes after two years and considering all observations, estimated using different methods. For MDS-UPDRS, higher scores correspond to worse outcome, for Modified Schwab &amp; England, lower scores correspond to worse outcomes. Adjusting for more of the (time-varying) confounding removes more of the spurious negative effects due to worse-off patients being more likely to start therapy early.</w:t>
      </w:r>
    </w:p>
    <w:p>
      <w:pPr>
        <w:pStyle w:val="Heading1"/>
      </w:pPr>
      <w:bookmarkStart w:id="26" w:name="main-outcomes"/>
      <w:r>
        <w:t xml:space="preserve">Main Outcomes</w:t>
      </w:r>
      <w:bookmarkEnd w:id="26"/>
    </w:p>
    <w:p>
      <w:pPr>
        <w:pStyle w:val="CaptionedFigure"/>
      </w:pPr>
      <w:r>
        <w:drawing>
          <wp:inline>
            <wp:extent cx="5334000" cy="2133600"/>
            <wp:effectExtent b="0" l="0" r="0" t="0"/>
            <wp:docPr descr="Figure 3: Effect of one year of PD medication treatment during the first two years of follow-up. Effect on MDS-UPDRS Part III subscore measured at year 2, 3 and 4, for inverse probability of treatment weighting and the parametric g-formula. Only patients who started medication therapy within two years are included in the analysis." title="" id="1" name="Picture"/>
            <a:graphic>
              <a:graphicData uri="http://schemas.openxmlformats.org/drawingml/2006/picture">
                <pic:pic>
                  <pic:nvPicPr>
                    <pic:cNvPr descr="resul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Effect of one year of PD medication treatment during the first two years of follow-up. Effect on MDS-UPDRS Part III subscore measured at year 2, 3 and 4, for inverse probability of treatment weighting and the parametric g-formula. Only patients who started medication therapy within two years are included in the analysis.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Inverse Probability Weighting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-3.52</w:t>
            </w:r>
          </w:p>
        </w:tc>
        <w:tc>
          <w:p>
            <w:pPr>
              <w:pStyle w:val="Compact"/>
              <w:jc w:val="left"/>
            </w:pPr>
            <w:r>
              <w:t xml:space="preserve">(-6.93 - -0.1)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Inverse Probability Weighting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left"/>
            </w:pPr>
            <w:r>
              <w:t xml:space="preserve">(-5.3 - 1.13)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Inverse Probability Weighting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-3.40</w:t>
            </w:r>
          </w:p>
        </w:tc>
        <w:tc>
          <w:p>
            <w:pPr>
              <w:pStyle w:val="Compact"/>
              <w:jc w:val="left"/>
            </w:pPr>
            <w:r>
              <w:t xml:space="preserve">(-6.45 - -0.34)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g-formula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-2.32</w:t>
            </w:r>
          </w:p>
        </w:tc>
        <w:tc>
          <w:p>
            <w:pPr>
              <w:pStyle w:val="Compact"/>
              <w:jc w:val="left"/>
            </w:pPr>
            <w:r>
              <w:t xml:space="preserve">(-4.77 - 0.14)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g-formula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-1.22</w:t>
            </w:r>
          </w:p>
        </w:tc>
        <w:tc>
          <w:p>
            <w:pPr>
              <w:pStyle w:val="Compact"/>
              <w:jc w:val="left"/>
            </w:pPr>
            <w:r>
              <w:t xml:space="preserve">(-3.63 - 1.2)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g-formula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-1.75</w:t>
            </w:r>
          </w:p>
        </w:tc>
        <w:tc>
          <w:p>
            <w:pPr>
              <w:pStyle w:val="Compact"/>
              <w:jc w:val="left"/>
            </w:pPr>
            <w:r>
              <w:t xml:space="preserve">(-4.47 - 0.98)</w:t>
            </w:r>
          </w:p>
        </w:tc>
      </w:tr>
    </w:tbl>
    <w:p>
      <w:pPr>
        <w:pStyle w:val="Heading1"/>
      </w:pPr>
      <w:bookmarkStart w:id="28" w:name="auxiliary-outcomes"/>
      <w:r>
        <w:t xml:space="preserve">Auxiliary outcomes</w:t>
      </w:r>
      <w:bookmarkEnd w:id="28"/>
    </w:p>
    <w:p>
      <w:pPr>
        <w:pStyle w:val="CaptionedFigure"/>
      </w:pPr>
      <w:r>
        <w:drawing>
          <wp:inline>
            <wp:extent cx="5334000" cy="2133600"/>
            <wp:effectExtent b="0" l="0" r="0" t="0"/>
            <wp:docPr descr="Figure 4: Effect of one year of PD medication treatment during the first two years of follow-up. Effect on auxiliary outcomes at year 2, 3 and 4 for inverse probability of treatment weighting. Only patients who started medication therapy within two years are included in the analysis." title="" id="1" name="Picture"/>
            <a:graphic>
              <a:graphicData uri="http://schemas.openxmlformats.org/drawingml/2006/picture">
                <pic:pic>
                  <pic:nvPicPr>
                    <pic:cNvPr descr="resul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Effect of one year of PD medication treatment during the first two years of follow-up. Effect on auxiliary outcomes at year 2, 3 and 4 for inverse probability of treatment weighting. Only patients who started medication therapy within two years are included in the analysis.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 Results</dc:title>
  <dc:creator/>
  <cp:keywords/>
  <dcterms:created xsi:type="dcterms:W3CDTF">2019-11-20T22:44:18Z</dcterms:created>
  <dcterms:modified xsi:type="dcterms:W3CDTF">2019-11-20T22:44:18Z</dcterms:modified>
</cp:coreProperties>
</file>