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1C7293"/>
          <w:spacing w:val="60"/>
          <w:sz w:val="20"/>
          <w:szCs w:val="20"/>
        </w:rPr>
        <w:t xml:space="preserve">TECHNOLOGY FOR THE PUBLIC GOOD</w:t>
      </w:r>
    </w:p>
    <w:p>
      <w:pPr>
        <w:spacing w:after="160"/>
      </w:pPr>
      <w:r>
        <w:rPr>
          <w:rFonts w:ascii="Cambria" w:cs="Cambria" w:eastAsia="Cambria" w:hAnsi="Cambria"/>
          <w:b/>
          <w:bCs/>
          <w:color w:val="12263A"/>
          <w:sz w:val="52"/>
          <w:szCs w:val="52"/>
        </w:rPr>
        <w:t xml:space="preserve">Step-by-Step Execution Protocol</w:t>
      </w:r>
    </w:p>
    <w:p>
      <w:pPr>
        <w:spacing w:after="400" w:line="276"/>
      </w:pPr>
      <w:r>
        <w:rPr>
          <w:rFonts w:ascii="Calibri" w:cs="Calibri" w:eastAsia="Calibri" w:hAnsi="Calibri"/>
          <w:color w:val="5A6B78"/>
          <w:sz w:val="24"/>
          <w:szCs w:val="24"/>
        </w:rPr>
        <w:t xml:space="preserve">A scoping-informed meta-narrative review. Two parallel strands, specified stage by stage.</w:t>
      </w:r>
    </w:p>
    <w:tbl>
      <w:tblPr>
        <w:tblW w:type="dxa" w:w="9360"/>
        <w:tblBorders>
          <w:top w:val="single" w:color="EAF0F4" w:sz="2"/>
          <w:left w:val="single" w:color="065A82" w:sz="18"/>
          <w:bottom w:val="single" w:color="EAF0F4" w:sz="2"/>
          <w:right w:val="single" w:color="EAF0F4" w:sz="2"/>
          <w:insideH w:val="none"/>
          <w:insideV w:val="none"/>
        </w:tblBorders>
      </w:tblPr>
      <w:tblGrid>
        <w:gridCol w:w="9360"/>
      </w:tblGrid>
      <w:tr>
        <w:tc>
          <w:tcPr>
            <w:tcW w:type="dxa" w:w="9360"/>
            <w:shd w:fill="EAF0F4" w:val="clear"/>
            <w:tcMar>
              <w:top w:type="dxa" w:w="140"/>
              <w:left w:type="dxa" w:w="200"/>
              <w:bottom w:type="dxa" w:w="140"/>
              <w:right w:type="dxa" w:w="200"/>
            </w:tcMar>
          </w:tcPr>
          <w:p>
            <w:pPr>
              <w:spacing w:after="60" w:line="276"/>
            </w:pPr>
            <w:r>
              <w:rPr>
                <w:rFonts w:ascii="Calibri" w:cs="Calibri" w:eastAsia="Calibri" w:hAnsi="Calibri"/>
                <w:b/>
                <w:bCs/>
                <w:color w:val="065A82"/>
                <w:sz w:val="19"/>
                <w:szCs w:val="19"/>
              </w:rPr>
              <w:t xml:space="preserve">HOW TO USE THIS DOCUMENT</w:t>
            </w:r>
          </w:p>
          <w:p>
            <w:pPr>
              <w:spacing w:after="0" w:line="276"/>
            </w:pPr>
            <w:r>
              <w:rPr>
                <w:rFonts w:ascii="Calibri" w:cs="Calibri" w:eastAsia="Calibri" w:hAnsi="Calibri"/>
                <w:color w:val="1A1A1A"/>
                <w:sz w:val="20"/>
                <w:szCs w:val="20"/>
              </w:rPr>
              <w:t xml:space="preserve">This document translates the registered protocol into ordered, executable steps. Part A covers the literature strand, Part B the organizational strand. Each stage states its purpose, who performs it, what it consumes and produces, the steps in order, and — where one exists — the gate that must be cleared before the next stage begins. Nothing here adds a commitment absent from the registration; where the two differ, the registration governs.</w:t>
            </w:r>
          </w:p>
        </w:tc>
      </w:tr>
    </w:tbl>
    <w:p>
      <w:pPr>
        <w:spacing w:after="200"/>
      </w:pP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SEQUENCING</w:t>
            </w:r>
          </w:p>
          <w:p>
            <w:pPr>
              <w:spacing w:after="0" w:line="276"/>
            </w:pPr>
            <w:r>
              <w:rPr>
                <w:rFonts w:ascii="Calibri" w:cs="Calibri" w:eastAsia="Calibri" w:hAnsi="Calibri"/>
                <w:color w:val="1A1A1A"/>
                <w:sz w:val="20"/>
                <w:szCs w:val="20"/>
              </w:rPr>
              <w:t xml:space="preserve">The two strands share one hard dependency and one soft one. The hard dependency: neither strand begins until the preregistration update is frozen. The soft dependency: both strands must reach charting before synthesis starts, and the organizational strand is the longer of the two, so it should begin as soon as its freeze date arrives rather than waiting for literature screening to finish.</w:t>
            </w:r>
          </w:p>
        </w:tc>
      </w:tr>
    </w:tbl>
    <w:p>
      <w:r>
        <w:br w:type="page"/>
      </w:r>
    </w:p>
    <w:p>
      <w:pPr>
        <w:spacing w:after="200"/>
      </w:pPr>
      <w:r>
        <w:rPr>
          <w:rFonts w:ascii="Cambria" w:cs="Cambria" w:eastAsia="Cambria" w:hAnsi="Cambria"/>
          <w:b/>
          <w:bCs/>
          <w:color w:val="12263A"/>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mbria" w:cs="Cambria" w:eastAsia="Cambria" w:hAnsi="Cambria"/>
          <w:b/>
          <w:bCs/>
          <w:color w:val="12263A"/>
          <w:sz w:val="32"/>
          <w:szCs w:val="32"/>
        </w:rPr>
        <w:t xml:space="preserve">Part A — Literature strand</w:t>
      </w:r>
    </w:p>
    <w:p>
      <w:pPr>
        <w:spacing w:after="120" w:line="276"/>
      </w:pPr>
      <w:r>
        <w:rPr>
          <w:rFonts w:ascii="Calibri" w:cs="Calibri" w:eastAsia="Calibri" w:hAnsi="Calibri"/>
          <w:color w:val="5A6B78"/>
          <w:sz w:val="21"/>
          <w:szCs w:val="21"/>
        </w:rPr>
        <w:t xml:space="preserve">Ten stages, L1 through L10. The strand is executed by a single reviewer working with an AI recommender, except where a conflict-of-interest recusal transfers a record to another team member.</w:t>
      </w:r>
    </w:p>
    <w:p>
      <w:pPr>
        <w:spacing w:after="80"/>
      </w:pPr>
    </w:p>
    <w:tbl>
      <w:tblPr>
        <w:tblW w:type="dxa" w:w="9360"/>
        <w:tblBorders>
          <w:top w:val="single" w:color="C9D6DF" w:sz="4"/>
          <w:left w:val="none"/>
          <w:bottom w:val="single" w:color="C9D6DF" w:sz="4"/>
          <w:right w:val="none"/>
          <w:insideH w:val="single" w:color="DCE5EB" w:sz="2"/>
          <w:insideV w:val="none"/>
        </w:tblBorders>
      </w:tblPr>
      <w:tblGrid>
        <w:gridCol w:w="2200"/>
        <w:gridCol w:w="4300"/>
        <w:gridCol w:w="2860"/>
      </w:tblGrid>
      <w:tr>
        <w:trPr>
          <w:tblHeader/>
        </w:trPr>
        <w:tc>
          <w:tcPr>
            <w:tcW w:type="dxa" w:w="220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Stage</w:t>
            </w:r>
          </w:p>
        </w:tc>
        <w:tc>
          <w:tcPr>
            <w:tcW w:type="dxa" w:w="430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What it produces</w:t>
            </w:r>
          </w:p>
        </w:tc>
        <w:tc>
          <w:tcPr>
            <w:tcW w:type="dxa" w:w="286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Gate to clear</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L1  Preparation</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Frozen seed set, eligibility criteria, filed registration</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Registration frozen</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L2  Search</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De-duplicated candidate pool</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L3  Pilot screening</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Human–AI agreement statistics</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AI recall ≥ 95%</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L4  Registration update</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Recorded pilot results and revisions</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L5  Screening</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Included record set, screening log</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L6  Pilot charting</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Per-field agreement statistics</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κ ≥ 0.60 / accuracy ≥ 95%</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L7  Registration update</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Recorded charting-pilot results</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L8  Charting</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Complete charted dataset</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L9  Synthesis</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Four synthesis tiers</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L10  Reporting</w:t>
            </w:r>
          </w:p>
        </w:tc>
        <w:tc>
          <w:tcPr>
            <w:tcW w:type="dxa" w:w="43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Manuscript, PRISMA-ScR flow diagram</w:t>
            </w:r>
          </w:p>
        </w:tc>
        <w:tc>
          <w:tcPr>
            <w:tcW w:type="dxa" w:w="28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bl>
    <w:p>
      <w:pPr>
        <w:pStyle w:val="Heading2"/>
        <w:spacing w:after="140" w:before="320"/>
      </w:pPr>
      <w:r>
        <w:rPr>
          <w:rFonts w:ascii="Cambria" w:cs="Cambria" w:eastAsia="Cambria" w:hAnsi="Cambria"/>
          <w:b/>
          <w:bCs/>
          <w:color w:val="065A82"/>
          <w:sz w:val="26"/>
          <w:szCs w:val="26"/>
        </w:rPr>
        <w:t xml:space="preserve">L1 — Preparation</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Fix everything that must not move once searching begins.</w:t>
      </w:r>
    </w:p>
    <w:p>
      <w:pPr>
        <w:spacing w:after="70" w:line="276"/>
      </w:pPr>
      <w:r>
        <w:rPr>
          <w:rFonts w:ascii="Calibri" w:cs="Calibri" w:eastAsia="Calibri" w:hAnsi="Calibri"/>
          <w:b/>
          <w:bCs/>
          <w:color w:val="065A82"/>
          <w:sz w:val="20"/>
          <w:szCs w:val="20"/>
        </w:rPr>
        <w:t xml:space="preserve">Owner  </w:t>
      </w:r>
      <w:r>
        <w:rPr>
          <w:rFonts w:ascii="Calibri" w:cs="Calibri" w:eastAsia="Calibri" w:hAnsi="Calibri"/>
          <w:color w:val="1A1A1A"/>
          <w:sz w:val="20"/>
          <w:szCs w:val="20"/>
        </w:rPr>
        <w:t xml:space="preserve">Lead reviewer.</w:t>
      </w:r>
    </w:p>
    <w:p>
      <w:pPr>
        <w:spacing w:after="70" w:line="276"/>
      </w:pPr>
      <w:r>
        <w:rPr>
          <w:rFonts w:ascii="Calibri" w:cs="Calibri" w:eastAsia="Calibri" w:hAnsi="Calibri"/>
          <w:b/>
          <w:bCs/>
          <w:color w:val="065A82"/>
          <w:sz w:val="20"/>
          <w:szCs w:val="20"/>
        </w:rPr>
        <w:t xml:space="preserve">Produces  </w:t>
      </w:r>
      <w:r>
        <w:rPr>
          <w:rFonts w:ascii="Calibri" w:cs="Calibri" w:eastAsia="Calibri" w:hAnsi="Calibri"/>
          <w:color w:val="1A1A1A"/>
          <w:sz w:val="20"/>
          <w:szCs w:val="20"/>
        </w:rPr>
        <w:t xml:space="preserve">Frozen 23-article seed list with DOIs; PCC eligibility criteria; drafted charting form; filed registration.</w:t>
      </w:r>
    </w:p>
    <w:p>
      <w:pPr>
        <w:pStyle w:val="ListParagraph"/>
        <w:numPr>
          <w:ilvl w:val="0"/>
          <w:numId w:val="2"/>
        </w:numPr>
        <w:spacing w:after="90" w:line="276"/>
      </w:pPr>
      <w:r>
        <w:rPr>
          <w:rFonts w:ascii="Calibri" w:cs="Calibri" w:eastAsia="Calibri" w:hAnsi="Calibri"/>
          <w:color w:val="1A1A1A"/>
          <w:sz w:val="21"/>
          <w:szCs w:val="21"/>
        </w:rPr>
        <w:t xml:space="preserve">Finalize the seed set of 23 survey and definitional hub articles, each with a resolved DOI. Verify every DOI resolves before freezing.</w:t>
      </w:r>
    </w:p>
    <w:p>
      <w:pPr>
        <w:pStyle w:val="ListParagraph"/>
        <w:numPr>
          <w:ilvl w:val="0"/>
          <w:numId w:val="2"/>
        </w:numPr>
        <w:spacing w:after="90" w:line="276"/>
      </w:pPr>
      <w:r>
        <w:rPr>
          <w:rFonts w:ascii="Calibri" w:cs="Calibri" w:eastAsia="Calibri" w:hAnsi="Calibri"/>
          <w:color w:val="1A1A1A"/>
          <w:sz w:val="21"/>
          <w:szCs w:val="21"/>
        </w:rPr>
        <w:t xml:space="preserve">Confirm no team member is an author on any seed article. Record the check.</w:t>
      </w:r>
    </w:p>
    <w:p>
      <w:pPr>
        <w:pStyle w:val="ListParagraph"/>
        <w:numPr>
          <w:ilvl w:val="0"/>
          <w:numId w:val="2"/>
        </w:numPr>
        <w:spacing w:after="90" w:line="276"/>
      </w:pPr>
      <w:r>
        <w:rPr>
          <w:rFonts w:ascii="Calibri" w:cs="Calibri" w:eastAsia="Calibri" w:hAnsi="Calibri"/>
          <w:color w:val="1A1A1A"/>
          <w:sz w:val="21"/>
          <w:szCs w:val="21"/>
        </w:rPr>
        <w:t xml:space="preserve">Specify eligibility using the Population–Concept–Context framework, and write the five exclusion criteria in the order they will be applied.</w:t>
      </w:r>
    </w:p>
    <w:p>
      <w:pPr>
        <w:pStyle w:val="ListParagraph"/>
        <w:numPr>
          <w:ilvl w:val="0"/>
          <w:numId w:val="2"/>
        </w:numPr>
        <w:spacing w:after="90" w:line="276"/>
      </w:pPr>
      <w:r>
        <w:rPr>
          <w:rFonts w:ascii="Calibri" w:cs="Calibri" w:eastAsia="Calibri" w:hAnsi="Calibri"/>
          <w:color w:val="1A1A1A"/>
          <w:sz w:val="21"/>
          <w:szCs w:val="21"/>
        </w:rPr>
        <w:t xml:space="preserve">Draft the charting form covering metadata, tradition assignment, faceted classification, source role, the four framework dimensions, key-term definition, meta-narrative elements, and citation data.</w:t>
      </w:r>
    </w:p>
    <w:p>
      <w:pPr>
        <w:pStyle w:val="ListParagraph"/>
        <w:numPr>
          <w:ilvl w:val="0"/>
          <w:numId w:val="2"/>
        </w:numPr>
        <w:spacing w:after="90" w:line="276"/>
      </w:pPr>
      <w:r>
        <w:rPr>
          <w:rFonts w:ascii="Calibri" w:cs="Calibri" w:eastAsia="Calibri" w:hAnsi="Calibri"/>
          <w:color w:val="1A1A1A"/>
          <w:sz w:val="21"/>
          <w:szCs w:val="21"/>
        </w:rPr>
        <w:t xml:space="preserve">Write and archive the AI screening prompt and the AI charting prompts. Record model version and access method.</w:t>
      </w:r>
    </w:p>
    <w:p>
      <w:pPr>
        <w:pStyle w:val="ListParagraph"/>
        <w:numPr>
          <w:ilvl w:val="0"/>
          <w:numId w:val="2"/>
        </w:numPr>
        <w:spacing w:after="90" w:line="276"/>
      </w:pPr>
      <w:r>
        <w:rPr>
          <w:rFonts w:ascii="Calibri" w:cs="Calibri" w:eastAsia="Calibri" w:hAnsi="Calibri"/>
          <w:color w:val="1A1A1A"/>
          <w:sz w:val="21"/>
          <w:szCs w:val="21"/>
        </w:rPr>
        <w:t xml:space="preserve">File the preregistration update on OSF and attach the seed list, the organizational protocol workbook, the lexicon proxy script, and the frozen lexicon.</w:t>
      </w: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GATE</w:t>
            </w:r>
          </w:p>
          <w:p>
            <w:pPr>
              <w:spacing w:after="0" w:line="276"/>
            </w:pPr>
            <w:r>
              <w:rPr>
                <w:rFonts w:ascii="Calibri" w:cs="Calibri" w:eastAsia="Calibri" w:hAnsi="Calibri"/>
                <w:color w:val="1A1A1A"/>
                <w:sz w:val="20"/>
                <w:szCs w:val="20"/>
              </w:rPr>
              <w:t xml:space="preserve">No search, screening, or charting begins until the registration is frozen. This is the assurance the strand's credibility rests on, and it is only available before execution starts.</w:t>
            </w:r>
          </w:p>
        </w:tc>
      </w:tr>
    </w:tbl>
    <w:p>
      <w:pPr>
        <w:pStyle w:val="Heading2"/>
        <w:spacing w:after="140" w:before="320"/>
      </w:pPr>
      <w:r>
        <w:rPr>
          <w:rFonts w:ascii="Cambria" w:cs="Cambria" w:eastAsia="Cambria" w:hAnsi="Cambria"/>
          <w:b/>
          <w:bCs/>
          <w:color w:val="065A82"/>
          <w:sz w:val="26"/>
          <w:szCs w:val="26"/>
        </w:rPr>
        <w:t xml:space="preserve">L2 — Search</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Build the candidate pool from the frozen seeds.</w:t>
      </w:r>
    </w:p>
    <w:p>
      <w:pPr>
        <w:spacing w:after="70" w:line="276"/>
      </w:pPr>
      <w:r>
        <w:rPr>
          <w:rFonts w:ascii="Calibri" w:cs="Calibri" w:eastAsia="Calibri" w:hAnsi="Calibri"/>
          <w:b/>
          <w:bCs/>
          <w:color w:val="065A82"/>
          <w:sz w:val="20"/>
          <w:szCs w:val="20"/>
        </w:rPr>
        <w:t xml:space="preserve">Owner  </w:t>
      </w:r>
      <w:r>
        <w:rPr>
          <w:rFonts w:ascii="Calibri" w:cs="Calibri" w:eastAsia="Calibri" w:hAnsi="Calibri"/>
          <w:color w:val="1A1A1A"/>
          <w:sz w:val="20"/>
          <w:szCs w:val="20"/>
        </w:rPr>
        <w:t xml:space="preserve">Lead reviewer.</w:t>
      </w:r>
    </w:p>
    <w:p>
      <w:pPr>
        <w:spacing w:after="70" w:line="276"/>
      </w:pPr>
      <w:r>
        <w:rPr>
          <w:rFonts w:ascii="Calibri" w:cs="Calibri" w:eastAsia="Calibri" w:hAnsi="Calibri"/>
          <w:b/>
          <w:bCs/>
          <w:color w:val="065A82"/>
          <w:sz w:val="20"/>
          <w:szCs w:val="20"/>
        </w:rPr>
        <w:t xml:space="preserve">Produces  </w:t>
      </w:r>
      <w:r>
        <w:rPr>
          <w:rFonts w:ascii="Calibri" w:cs="Calibri" w:eastAsia="Calibri" w:hAnsi="Calibri"/>
          <w:color w:val="1A1A1A"/>
          <w:sz w:val="20"/>
          <w:szCs w:val="20"/>
        </w:rPr>
        <w:t xml:space="preserve">De-duplicated candidate pool in BibTeX/RIS and CSV.</w:t>
      </w:r>
    </w:p>
    <w:p>
      <w:pPr>
        <w:pStyle w:val="ListParagraph"/>
        <w:numPr>
          <w:ilvl w:val="0"/>
          <w:numId w:val="3"/>
        </w:numPr>
        <w:spacing w:after="90" w:line="276"/>
      </w:pPr>
      <w:r>
        <w:rPr>
          <w:rFonts w:ascii="Calibri" w:cs="Calibri" w:eastAsia="Calibri" w:hAnsi="Calibri"/>
          <w:color w:val="1A1A1A"/>
          <w:sz w:val="21"/>
          <w:szCs w:val="21"/>
        </w:rPr>
        <w:t xml:space="preserve">Run the seven keyword queries in Google Scholar to confirm the seed set surfaces as expected. This is a check on the seeds, not a source of new records.</w:t>
      </w:r>
    </w:p>
    <w:p>
      <w:pPr>
        <w:pStyle w:val="ListParagraph"/>
        <w:numPr>
          <w:ilvl w:val="0"/>
          <w:numId w:val="3"/>
        </w:numPr>
        <w:spacing w:after="90" w:line="276"/>
      </w:pPr>
      <w:r>
        <w:rPr>
          <w:rFonts w:ascii="Calibri" w:cs="Calibri" w:eastAsia="Calibri" w:hAnsi="Calibri"/>
          <w:color w:val="1A1A1A"/>
          <w:sz w:val="21"/>
          <w:szCs w:val="21"/>
        </w:rPr>
        <w:t xml:space="preserve">Run backward reference chasing from all 23 seeds via citationchaser against OpenAlex and Lens.org. Export with retrieval dates.</w:t>
      </w:r>
    </w:p>
    <w:p>
      <w:pPr>
        <w:pStyle w:val="ListParagraph"/>
        <w:numPr>
          <w:ilvl w:val="0"/>
          <w:numId w:val="3"/>
        </w:numPr>
        <w:spacing w:after="90" w:line="276"/>
      </w:pPr>
      <w:r>
        <w:rPr>
          <w:rFonts w:ascii="Calibri" w:cs="Calibri" w:eastAsia="Calibri" w:hAnsi="Calibri"/>
          <w:color w:val="1A1A1A"/>
          <w:sz w:val="21"/>
          <w:szCs w:val="21"/>
        </w:rPr>
        <w:t xml:space="preserve">Run forward citation chasing from the same seeds. Export with retrieval dates.</w:t>
      </w:r>
    </w:p>
    <w:p>
      <w:pPr>
        <w:pStyle w:val="ListParagraph"/>
        <w:numPr>
          <w:ilvl w:val="0"/>
          <w:numId w:val="3"/>
        </w:numPr>
        <w:spacing w:after="90" w:line="276"/>
      </w:pPr>
      <w:r>
        <w:rPr>
          <w:rFonts w:ascii="Calibri" w:cs="Calibri" w:eastAsia="Calibri" w:hAnsi="Calibri"/>
          <w:color w:val="1A1A1A"/>
          <w:sz w:val="21"/>
          <w:szCs w:val="21"/>
        </w:rPr>
        <w:t xml:space="preserve">Iterate the snowball on records that pass relevance screening, continuing until no new relevant records appear.</w:t>
      </w:r>
    </w:p>
    <w:p>
      <w:pPr>
        <w:pStyle w:val="ListParagraph"/>
        <w:numPr>
          <w:ilvl w:val="0"/>
          <w:numId w:val="3"/>
        </w:numPr>
        <w:spacing w:after="90" w:line="276"/>
      </w:pPr>
      <w:r>
        <w:rPr>
          <w:rFonts w:ascii="Calibri" w:cs="Calibri" w:eastAsia="Calibri" w:hAnsi="Calibri"/>
          <w:color w:val="1A1A1A"/>
          <w:sz w:val="21"/>
          <w:szCs w:val="21"/>
        </w:rPr>
        <w:t xml:space="preserve">Hand-search key venue and organization websites for grey literature: New America, Ford Foundation, Knight Foundation, mySociety, Freedman Consulting; arXiv (cs.CY, cs.AI, cs.CL, cs.HC); SSRN; institutional repositories; ACL Anthology, ACM DL, IEEE Xplore, AAAI.</w:t>
      </w:r>
    </w:p>
    <w:p>
      <w:pPr>
        <w:pStyle w:val="ListParagraph"/>
        <w:numPr>
          <w:ilvl w:val="0"/>
          <w:numId w:val="3"/>
        </w:numPr>
        <w:spacing w:after="90" w:line="276"/>
      </w:pPr>
      <w:r>
        <w:rPr>
          <w:rFonts w:ascii="Calibri" w:cs="Calibri" w:eastAsia="Calibri" w:hAnsi="Calibri"/>
          <w:color w:val="1A1A1A"/>
          <w:sz w:val="21"/>
          <w:szCs w:val="21"/>
        </w:rPr>
        <w:t xml:space="preserve">De-duplicate by DOI and normalized title. Remove the 23 seeds from the candidate pool, since they are already included. Where a preprint and its published version both appear, drop the preprint.</w:t>
      </w:r>
    </w:p>
    <w:p>
      <w:pPr>
        <w:pStyle w:val="ListParagraph"/>
        <w:numPr>
          <w:ilvl w:val="0"/>
          <w:numId w:val="3"/>
        </w:numPr>
        <w:spacing w:after="90" w:line="276"/>
      </w:pPr>
      <w:r>
        <w:rPr>
          <w:rFonts w:ascii="Calibri" w:cs="Calibri" w:eastAsia="Calibri" w:hAnsi="Calibri"/>
          <w:color w:val="1A1A1A"/>
          <w:sz w:val="21"/>
          <w:szCs w:val="21"/>
        </w:rPr>
        <w:t xml:space="preserve">Run the search validation: confirm the pool recovers each pre-specified landmark work (Arnstein 1969; Schrock 2019; Zhang et al. 2022; Shi et al. 2020; Schank &amp; McGuinness 2021). If one is missing, revise the seed set or add a targeted query and file an update.</w:t>
      </w:r>
    </w:p>
    <w:p>
      <w:pPr>
        <w:pStyle w:val="ListParagraph"/>
        <w:numPr>
          <w:ilvl w:val="0"/>
          <w:numId w:val="3"/>
        </w:numPr>
        <w:spacing w:after="90" w:line="276"/>
      </w:pPr>
      <w:r>
        <w:rPr>
          <w:rFonts w:ascii="Calibri" w:cs="Calibri" w:eastAsia="Calibri" w:hAnsi="Calibri"/>
          <w:color w:val="1A1A1A"/>
          <w:sz w:val="21"/>
          <w:szCs w:val="21"/>
        </w:rPr>
        <w:t xml:space="preserve">Record the pool size, the retrieval dates, and the index versions used.</w:t>
      </w:r>
    </w:p>
    <w:p>
      <w:pPr>
        <w:pStyle w:val="Heading2"/>
        <w:spacing w:after="140" w:before="320"/>
      </w:pPr>
      <w:r>
        <w:rPr>
          <w:rFonts w:ascii="Cambria" w:cs="Cambria" w:eastAsia="Cambria" w:hAnsi="Cambria"/>
          <w:b/>
          <w:bCs/>
          <w:color w:val="065A82"/>
          <w:sz w:val="26"/>
          <w:szCs w:val="26"/>
        </w:rPr>
        <w:t xml:space="preserve">L3 — Pilot screening and AI validation</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Establish whether the AI recommender is fit to run at scale.</w:t>
      </w:r>
    </w:p>
    <w:p>
      <w:pPr>
        <w:spacing w:after="70" w:line="276"/>
      </w:pPr>
      <w:r>
        <w:rPr>
          <w:rFonts w:ascii="Calibri" w:cs="Calibri" w:eastAsia="Calibri" w:hAnsi="Calibri"/>
          <w:b/>
          <w:bCs/>
          <w:color w:val="065A82"/>
          <w:sz w:val="20"/>
          <w:szCs w:val="20"/>
        </w:rPr>
        <w:t xml:space="preserve">Owner  </w:t>
      </w:r>
      <w:r>
        <w:rPr>
          <w:rFonts w:ascii="Calibri" w:cs="Calibri" w:eastAsia="Calibri" w:hAnsi="Calibri"/>
          <w:color w:val="1A1A1A"/>
          <w:sz w:val="20"/>
          <w:szCs w:val="20"/>
        </w:rPr>
        <w:t xml:space="preserve">Lead reviewer, screening blind to the AI.</w:t>
      </w:r>
    </w:p>
    <w:p>
      <w:pPr>
        <w:spacing w:after="70" w:line="276"/>
      </w:pPr>
      <w:r>
        <w:rPr>
          <w:rFonts w:ascii="Calibri" w:cs="Calibri" w:eastAsia="Calibri" w:hAnsi="Calibri"/>
          <w:b/>
          <w:bCs/>
          <w:color w:val="065A82"/>
          <w:sz w:val="20"/>
          <w:szCs w:val="20"/>
        </w:rPr>
        <w:t xml:space="preserve">Produces  </w:t>
      </w:r>
      <w:r>
        <w:rPr>
          <w:rFonts w:ascii="Calibri" w:cs="Calibri" w:eastAsia="Calibri" w:hAnsi="Calibri"/>
          <w:color w:val="1A1A1A"/>
          <w:sz w:val="20"/>
          <w:szCs w:val="20"/>
        </w:rPr>
        <w:t xml:space="preserve">Human–AI agreement statistics; revised prompt and criteria if needed.</w:t>
      </w:r>
    </w:p>
    <w:p>
      <w:pPr>
        <w:pStyle w:val="ListParagraph"/>
        <w:numPr>
          <w:ilvl w:val="0"/>
          <w:numId w:val="4"/>
        </w:numPr>
        <w:spacing w:after="90" w:line="276"/>
      </w:pPr>
      <w:r>
        <w:rPr>
          <w:rFonts w:ascii="Calibri" w:cs="Calibri" w:eastAsia="Calibri" w:hAnsi="Calibri"/>
          <w:color w:val="1A1A1A"/>
          <w:sz w:val="21"/>
          <w:szCs w:val="21"/>
        </w:rPr>
        <w:t xml:space="preserve">Draw a calibration sample of approximately 100 records from the candidate pool.</w:t>
      </w:r>
    </w:p>
    <w:p>
      <w:pPr>
        <w:pStyle w:val="ListParagraph"/>
        <w:numPr>
          <w:ilvl w:val="0"/>
          <w:numId w:val="4"/>
        </w:numPr>
        <w:spacing w:after="90" w:line="276"/>
      </w:pPr>
      <w:r>
        <w:rPr>
          <w:rFonts w:ascii="Calibri" w:cs="Calibri" w:eastAsia="Calibri" w:hAnsi="Calibri"/>
          <w:color w:val="1A1A1A"/>
          <w:sz w:val="21"/>
          <w:szCs w:val="21"/>
        </w:rPr>
        <w:t xml:space="preserve">Screen all 100 as a human, blind to any AI output. Record decisions and exclusion reasons.</w:t>
      </w:r>
    </w:p>
    <w:p>
      <w:pPr>
        <w:pStyle w:val="ListParagraph"/>
        <w:numPr>
          <w:ilvl w:val="0"/>
          <w:numId w:val="4"/>
        </w:numPr>
        <w:spacing w:after="90" w:line="276"/>
      </w:pPr>
      <w:r>
        <w:rPr>
          <w:rFonts w:ascii="Calibri" w:cs="Calibri" w:eastAsia="Calibri" w:hAnsi="Calibri"/>
          <w:color w:val="1A1A1A"/>
          <w:sz w:val="21"/>
          <w:szCs w:val="21"/>
        </w:rPr>
        <w:t xml:space="preserve">Run the AI-assisted procedure independently over the same 100 records using the archived prompt.</w:t>
      </w:r>
    </w:p>
    <w:p>
      <w:pPr>
        <w:pStyle w:val="ListParagraph"/>
        <w:numPr>
          <w:ilvl w:val="0"/>
          <w:numId w:val="4"/>
        </w:numPr>
        <w:spacing w:after="90" w:line="276"/>
      </w:pPr>
      <w:r>
        <w:rPr>
          <w:rFonts w:ascii="Calibri" w:cs="Calibri" w:eastAsia="Calibri" w:hAnsi="Calibri"/>
          <w:color w:val="1A1A1A"/>
          <w:sz w:val="21"/>
          <w:szCs w:val="21"/>
        </w:rPr>
        <w:t xml:space="preserve">Compute percentage agreement, Cohen's κ, and the AI's recall/sensitivity and specificity.</w:t>
      </w:r>
    </w:p>
    <w:p>
      <w:pPr>
        <w:pStyle w:val="ListParagraph"/>
        <w:numPr>
          <w:ilvl w:val="0"/>
          <w:numId w:val="4"/>
        </w:numPr>
        <w:spacing w:after="90" w:line="276"/>
      </w:pPr>
      <w:r>
        <w:rPr>
          <w:rFonts w:ascii="Calibri" w:cs="Calibri" w:eastAsia="Calibri" w:hAnsi="Calibri"/>
          <w:color w:val="1A1A1A"/>
          <w:sz w:val="21"/>
          <w:szCs w:val="21"/>
        </w:rPr>
        <w:t xml:space="preserve">Examine disagreements qualitatively for systematic error patterns rather than treating them as noise.</w:t>
      </w:r>
    </w:p>
    <w:p>
      <w:pPr>
        <w:pStyle w:val="ListParagraph"/>
        <w:numPr>
          <w:ilvl w:val="0"/>
          <w:numId w:val="4"/>
        </w:numPr>
        <w:spacing w:after="90" w:line="276"/>
      </w:pPr>
      <w:r>
        <w:rPr>
          <w:rFonts w:ascii="Calibri" w:cs="Calibri" w:eastAsia="Calibri" w:hAnsi="Calibri"/>
          <w:color w:val="1A1A1A"/>
          <w:sz w:val="21"/>
          <w:szCs w:val="21"/>
        </w:rPr>
        <w:t xml:space="preserve">If recall is below 95%, revise the prompt and the exclusion criteria, then repeat from step 2 on a fresh sample.</w:t>
      </w: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GATE</w:t>
            </w:r>
          </w:p>
          <w:p>
            <w:pPr>
              <w:spacing w:after="0" w:line="276"/>
            </w:pPr>
            <w:r>
              <w:rPr>
                <w:rFonts w:ascii="Calibri" w:cs="Calibri" w:eastAsia="Calibri" w:hAnsi="Calibri"/>
                <w:color w:val="1A1A1A"/>
                <w:sz w:val="20"/>
                <w:szCs w:val="20"/>
              </w:rPr>
              <w:t xml:space="preserve">The full AI-assisted run proceeds only if measured recall reaches 95% or higher. Recall rather than accuracy is the criterion because screening errors are asymmetric: a wrongly excluded record is lost permanently and invisibly, while a wrongly retained one is caught at full text.</w:t>
            </w:r>
          </w:p>
        </w:tc>
      </w:tr>
    </w:tbl>
    <w:p>
      <w:pPr>
        <w:pStyle w:val="Heading2"/>
        <w:spacing w:after="140" w:before="320"/>
      </w:pPr>
      <w:r>
        <w:rPr>
          <w:rFonts w:ascii="Cambria" w:cs="Cambria" w:eastAsia="Cambria" w:hAnsi="Cambria"/>
          <w:b/>
          <w:bCs/>
          <w:color w:val="065A82"/>
          <w:sz w:val="26"/>
          <w:szCs w:val="26"/>
        </w:rPr>
        <w:t xml:space="preserve">L4 — Registration update</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Put the pilot results on the record before the full run.</w:t>
      </w:r>
    </w:p>
    <w:p>
      <w:pPr>
        <w:pStyle w:val="ListParagraph"/>
        <w:numPr>
          <w:ilvl w:val="0"/>
          <w:numId w:val="5"/>
        </w:numPr>
        <w:spacing w:after="90" w:line="276"/>
      </w:pPr>
      <w:r>
        <w:rPr>
          <w:rFonts w:ascii="Calibri" w:cs="Calibri" w:eastAsia="Calibri" w:hAnsi="Calibri"/>
          <w:color w:val="1A1A1A"/>
          <w:sz w:val="21"/>
          <w:szCs w:val="21"/>
        </w:rPr>
        <w:t xml:space="preserve">File an OSF update recording the measured recall, specificity, and agreement statistics.</w:t>
      </w:r>
    </w:p>
    <w:p>
      <w:pPr>
        <w:pStyle w:val="ListParagraph"/>
        <w:numPr>
          <w:ilvl w:val="0"/>
          <w:numId w:val="5"/>
        </w:numPr>
        <w:spacing w:after="90" w:line="276"/>
      </w:pPr>
      <w:r>
        <w:rPr>
          <w:rFonts w:ascii="Calibri" w:cs="Calibri" w:eastAsia="Calibri" w:hAnsi="Calibri"/>
          <w:color w:val="1A1A1A"/>
          <w:sz w:val="21"/>
          <w:szCs w:val="21"/>
        </w:rPr>
        <w:t xml:space="preserve">Record any revision to the exclusion criteria or the AI prompt, with the revised text.</w:t>
      </w:r>
    </w:p>
    <w:p>
      <w:pPr>
        <w:pStyle w:val="ListParagraph"/>
        <w:numPr>
          <w:ilvl w:val="0"/>
          <w:numId w:val="5"/>
        </w:numPr>
        <w:spacing w:after="90" w:line="276"/>
      </w:pPr>
      <w:r>
        <w:rPr>
          <w:rFonts w:ascii="Calibri" w:cs="Calibri" w:eastAsia="Calibri" w:hAnsi="Calibri"/>
          <w:color w:val="1A1A1A"/>
          <w:sz w:val="21"/>
          <w:szCs w:val="21"/>
        </w:rPr>
        <w:t xml:space="preserve">State the number of pilot rounds run, if more than one was needed.</w:t>
      </w:r>
    </w:p>
    <w:p>
      <w:pPr>
        <w:pStyle w:val="Heading2"/>
        <w:spacing w:after="140" w:before="320"/>
      </w:pPr>
      <w:r>
        <w:rPr>
          <w:rFonts w:ascii="Cambria" w:cs="Cambria" w:eastAsia="Cambria" w:hAnsi="Cambria"/>
          <w:b/>
          <w:bCs/>
          <w:color w:val="065A82"/>
          <w:sz w:val="26"/>
          <w:szCs w:val="26"/>
        </w:rPr>
        <w:t xml:space="preserve">L5 — Screening</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Reduce the candidate pool to the included record set.</w:t>
      </w:r>
    </w:p>
    <w:p>
      <w:pPr>
        <w:spacing w:after="70" w:line="276"/>
      </w:pPr>
      <w:r>
        <w:rPr>
          <w:rFonts w:ascii="Calibri" w:cs="Calibri" w:eastAsia="Calibri" w:hAnsi="Calibri"/>
          <w:b/>
          <w:bCs/>
          <w:color w:val="065A82"/>
          <w:sz w:val="20"/>
          <w:szCs w:val="20"/>
        </w:rPr>
        <w:t xml:space="preserve">Owner  </w:t>
      </w:r>
      <w:r>
        <w:rPr>
          <w:rFonts w:ascii="Calibri" w:cs="Calibri" w:eastAsia="Calibri" w:hAnsi="Calibri"/>
          <w:color w:val="1A1A1A"/>
          <w:sz w:val="20"/>
          <w:szCs w:val="20"/>
        </w:rPr>
        <w:t xml:space="preserve">Lead reviewer, with AI recommendation at stage 1 only.</w:t>
      </w:r>
    </w:p>
    <w:p>
      <w:pPr>
        <w:spacing w:after="70" w:line="276"/>
      </w:pPr>
      <w:r>
        <w:rPr>
          <w:rFonts w:ascii="Calibri" w:cs="Calibri" w:eastAsia="Calibri" w:hAnsi="Calibri"/>
          <w:b/>
          <w:bCs/>
          <w:color w:val="065A82"/>
          <w:sz w:val="20"/>
          <w:szCs w:val="20"/>
        </w:rPr>
        <w:t xml:space="preserve">Produces  </w:t>
      </w:r>
      <w:r>
        <w:rPr>
          <w:rFonts w:ascii="Calibri" w:cs="Calibri" w:eastAsia="Calibri" w:hAnsi="Calibri"/>
          <w:color w:val="1A1A1A"/>
          <w:sz w:val="20"/>
          <w:szCs w:val="20"/>
        </w:rPr>
        <w:t xml:space="preserve">Included record set; screening log; PRISMA-ScR counts.</w:t>
      </w:r>
    </w:p>
    <w:p>
      <w:pPr>
        <w:pStyle w:val="Heading3"/>
        <w:spacing w:after="100" w:before="220"/>
      </w:pPr>
      <w:r>
        <w:rPr>
          <w:rFonts w:ascii="Calibri" w:cs="Calibri" w:eastAsia="Calibri" w:hAnsi="Calibri"/>
          <w:b/>
          <w:bCs/>
          <w:color w:val="1C7293"/>
          <w:sz w:val="22"/>
          <w:szCs w:val="22"/>
        </w:rPr>
        <w:t xml:space="preserve">Stage 1 — title, abstract and keywords</w:t>
      </w:r>
    </w:p>
    <w:p>
      <w:pPr>
        <w:pStyle w:val="ListParagraph"/>
        <w:numPr>
          <w:ilvl w:val="0"/>
          <w:numId w:val="6"/>
        </w:numPr>
        <w:spacing w:after="90" w:line="276"/>
      </w:pPr>
      <w:r>
        <w:rPr>
          <w:rFonts w:ascii="Calibri" w:cs="Calibri" w:eastAsia="Calibri" w:hAnsi="Calibri"/>
          <w:color w:val="1A1A1A"/>
          <w:sz w:val="21"/>
          <w:szCs w:val="21"/>
        </w:rPr>
        <w:t xml:space="preserve">For each record, obtain the AI's recommended include/exclude decision with its brief rationale.</w:t>
      </w:r>
    </w:p>
    <w:p>
      <w:pPr>
        <w:pStyle w:val="ListParagraph"/>
        <w:numPr>
          <w:ilvl w:val="0"/>
          <w:numId w:val="6"/>
        </w:numPr>
        <w:spacing w:after="90" w:line="276"/>
      </w:pPr>
      <w:r>
        <w:rPr>
          <w:rFonts w:ascii="Calibri" w:cs="Calibri" w:eastAsia="Calibri" w:hAnsi="Calibri"/>
          <w:color w:val="1A1A1A"/>
          <w:sz w:val="21"/>
          <w:szCs w:val="21"/>
        </w:rPr>
        <w:t xml:space="preserve">Verify every recommendation against the record. Apply heightened scrutiny to any AI exclude recommendation.</w:t>
      </w:r>
    </w:p>
    <w:p>
      <w:pPr>
        <w:pStyle w:val="ListParagraph"/>
        <w:numPr>
          <w:ilvl w:val="0"/>
          <w:numId w:val="6"/>
        </w:numPr>
        <w:spacing w:after="90" w:line="276"/>
      </w:pPr>
      <w:r>
        <w:rPr>
          <w:rFonts w:ascii="Calibri" w:cs="Calibri" w:eastAsia="Calibri" w:hAnsi="Calibri"/>
          <w:color w:val="1A1A1A"/>
          <w:sz w:val="21"/>
          <w:szCs w:val="21"/>
        </w:rPr>
        <w:t xml:space="preserve">Apply the five exclusion criteria in order and stop at the first one met, recording which.</w:t>
      </w:r>
    </w:p>
    <w:p>
      <w:pPr>
        <w:pStyle w:val="ListParagraph"/>
        <w:numPr>
          <w:ilvl w:val="0"/>
          <w:numId w:val="6"/>
        </w:numPr>
        <w:spacing w:after="90" w:line="276"/>
      </w:pPr>
      <w:r>
        <w:rPr>
          <w:rFonts w:ascii="Calibri" w:cs="Calibri" w:eastAsia="Calibri" w:hAnsi="Calibri"/>
          <w:color w:val="1A1A1A"/>
          <w:sz w:val="21"/>
          <w:szCs w:val="21"/>
        </w:rPr>
        <w:t xml:space="preserve">Resolve any AI–human disagreement in favour of retention to full text.</w:t>
      </w:r>
    </w:p>
    <w:p>
      <w:pPr>
        <w:pStyle w:val="ListParagraph"/>
        <w:numPr>
          <w:ilvl w:val="0"/>
          <w:numId w:val="6"/>
        </w:numPr>
        <w:spacing w:after="90" w:line="276"/>
      </w:pPr>
      <w:r>
        <w:rPr>
          <w:rFonts w:ascii="Calibri" w:cs="Calibri" w:eastAsia="Calibri" w:hAnsi="Calibri"/>
          <w:color w:val="1A1A1A"/>
          <w:sz w:val="21"/>
          <w:szCs w:val="21"/>
        </w:rPr>
        <w:t xml:space="preserve">Recuse from any record you have authored and route it to another team member; log the recusal with the record and the substituting coder.</w:t>
      </w:r>
    </w:p>
    <w:p>
      <w:pPr>
        <w:pStyle w:val="ListParagraph"/>
        <w:numPr>
          <w:ilvl w:val="0"/>
          <w:numId w:val="6"/>
        </w:numPr>
        <w:spacing w:after="90" w:line="276"/>
      </w:pPr>
      <w:r>
        <w:rPr>
          <w:rFonts w:ascii="Calibri" w:cs="Calibri" w:eastAsia="Calibri" w:hAnsi="Calibri"/>
          <w:color w:val="1A1A1A"/>
          <w:sz w:val="21"/>
          <w:szCs w:val="21"/>
        </w:rPr>
        <w:t xml:space="preserve">Log, for every record, the AI recommendation, the human decision, and any exclusion reason.</w:t>
      </w:r>
    </w:p>
    <w:p>
      <w:pPr>
        <w:pStyle w:val="Heading3"/>
        <w:spacing w:after="100" w:before="220"/>
      </w:pPr>
      <w:r>
        <w:rPr>
          <w:rFonts w:ascii="Calibri" w:cs="Calibri" w:eastAsia="Calibri" w:hAnsi="Calibri"/>
          <w:b/>
          <w:bCs/>
          <w:color w:val="1C7293"/>
          <w:sz w:val="22"/>
          <w:szCs w:val="22"/>
        </w:rPr>
        <w:t xml:space="preserve">Stage 2 — full text</w:t>
      </w:r>
    </w:p>
    <w:p>
      <w:pPr>
        <w:pStyle w:val="ListParagraph"/>
        <w:numPr>
          <w:ilvl w:val="0"/>
          <w:numId w:val="7"/>
        </w:numPr>
        <w:spacing w:after="90" w:line="276"/>
      </w:pPr>
      <w:r>
        <w:rPr>
          <w:rFonts w:ascii="Calibri" w:cs="Calibri" w:eastAsia="Calibri" w:hAnsi="Calibri"/>
          <w:color w:val="1A1A1A"/>
          <w:sz w:val="21"/>
          <w:szCs w:val="21"/>
        </w:rPr>
        <w:t xml:space="preserve">Retrieve full texts for all records passing stage 1.</w:t>
      </w:r>
    </w:p>
    <w:p>
      <w:pPr>
        <w:pStyle w:val="ListParagraph"/>
        <w:numPr>
          <w:ilvl w:val="0"/>
          <w:numId w:val="7"/>
        </w:numPr>
        <w:spacing w:after="90" w:line="276"/>
      </w:pPr>
      <w:r>
        <w:rPr>
          <w:rFonts w:ascii="Calibri" w:cs="Calibri" w:eastAsia="Calibri" w:hAnsi="Calibri"/>
          <w:color w:val="1A1A1A"/>
          <w:sz w:val="21"/>
          <w:szCs w:val="21"/>
        </w:rPr>
        <w:t xml:space="preserve">Assess each against the exclusion criteria as a human. The AI may generate supporting summaries but makes no decisions here.</w:t>
      </w:r>
    </w:p>
    <w:p>
      <w:pPr>
        <w:pStyle w:val="ListParagraph"/>
        <w:numPr>
          <w:ilvl w:val="0"/>
          <w:numId w:val="7"/>
        </w:numPr>
        <w:spacing w:after="90" w:line="276"/>
      </w:pPr>
      <w:r>
        <w:rPr>
          <w:rFonts w:ascii="Calibri" w:cs="Calibri" w:eastAsia="Calibri" w:hAnsi="Calibri"/>
          <w:color w:val="1A1A1A"/>
          <w:sz w:val="21"/>
          <w:szCs w:val="21"/>
        </w:rPr>
        <w:t xml:space="preserve">Record any record whose full text cannot be obtained as “not retrieved”, which is distinct from excluded and is reported separately in the flow diagram.</w:t>
      </w:r>
    </w:p>
    <w:p>
      <w:pPr>
        <w:pStyle w:val="ListParagraph"/>
        <w:numPr>
          <w:ilvl w:val="0"/>
          <w:numId w:val="7"/>
        </w:numPr>
        <w:spacing w:after="90" w:line="276"/>
      </w:pPr>
      <w:r>
        <w:rPr>
          <w:rFonts w:ascii="Calibri" w:cs="Calibri" w:eastAsia="Calibri" w:hAnsi="Calibri"/>
          <w:color w:val="1A1A1A"/>
          <w:sz w:val="21"/>
          <w:szCs w:val="21"/>
        </w:rPr>
        <w:t xml:space="preserve">Log exclusions with reasons.</w:t>
      </w:r>
    </w:p>
    <w:tbl>
      <w:tblPr>
        <w:tblW w:type="dxa" w:w="9360"/>
        <w:tblBorders>
          <w:top w:val="single" w:color="EAF0F4" w:sz="2"/>
          <w:left w:val="single" w:color="065A82" w:sz="18"/>
          <w:bottom w:val="single" w:color="EAF0F4" w:sz="2"/>
          <w:right w:val="single" w:color="EAF0F4" w:sz="2"/>
          <w:insideH w:val="none"/>
          <w:insideV w:val="none"/>
        </w:tblBorders>
      </w:tblPr>
      <w:tblGrid>
        <w:gridCol w:w="9360"/>
      </w:tblGrid>
      <w:tr>
        <w:tc>
          <w:tcPr>
            <w:tcW w:type="dxa" w:w="9360"/>
            <w:shd w:fill="EAF0F4" w:val="clear"/>
            <w:tcMar>
              <w:top w:type="dxa" w:w="140"/>
              <w:left w:type="dxa" w:w="200"/>
              <w:bottom w:type="dxa" w:w="140"/>
              <w:right w:type="dxa" w:w="200"/>
            </w:tcMar>
          </w:tcPr>
          <w:p>
            <w:pPr>
              <w:spacing w:after="60" w:line="276"/>
            </w:pPr>
            <w:r>
              <w:rPr>
                <w:rFonts w:ascii="Calibri" w:cs="Calibri" w:eastAsia="Calibri" w:hAnsi="Calibri"/>
                <w:b/>
                <w:bCs/>
                <w:color w:val="065A82"/>
                <w:sz w:val="19"/>
                <w:szCs w:val="19"/>
              </w:rPr>
              <w:t xml:space="preserve">RULE</w:t>
            </w:r>
          </w:p>
          <w:p>
            <w:pPr>
              <w:spacing w:after="0" w:line="276"/>
            </w:pPr>
            <w:r>
              <w:rPr>
                <w:rFonts w:ascii="Calibri" w:cs="Calibri" w:eastAsia="Calibri" w:hAnsi="Calibri"/>
                <w:color w:val="1A1A1A"/>
                <w:sz w:val="20"/>
                <w:szCs w:val="20"/>
              </w:rPr>
              <w:t xml:space="preserve">No record is excluded on an AI recommendation alone, at either stage. The human decision governs every record.</w:t>
            </w:r>
          </w:p>
        </w:tc>
      </w:tr>
    </w:tbl>
    <w:p>
      <w:pPr>
        <w:pStyle w:val="Heading2"/>
        <w:spacing w:after="140" w:before="320"/>
      </w:pPr>
      <w:r>
        <w:rPr>
          <w:rFonts w:ascii="Cambria" w:cs="Cambria" w:eastAsia="Cambria" w:hAnsi="Cambria"/>
          <w:b/>
          <w:bCs/>
          <w:color w:val="065A82"/>
          <w:sz w:val="26"/>
          <w:szCs w:val="26"/>
        </w:rPr>
        <w:t xml:space="preserve">L6 — Pilot charting</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Validate the AI charting workflow and refine the form.</w:t>
      </w:r>
    </w:p>
    <w:p>
      <w:pPr>
        <w:spacing w:after="70" w:line="276"/>
      </w:pPr>
      <w:r>
        <w:rPr>
          <w:rFonts w:ascii="Calibri" w:cs="Calibri" w:eastAsia="Calibri" w:hAnsi="Calibri"/>
          <w:b/>
          <w:bCs/>
          <w:color w:val="065A82"/>
          <w:sz w:val="20"/>
          <w:szCs w:val="20"/>
        </w:rPr>
        <w:t xml:space="preserve">Produces  </w:t>
      </w:r>
      <w:r>
        <w:rPr>
          <w:rFonts w:ascii="Calibri" w:cs="Calibri" w:eastAsia="Calibri" w:hAnsi="Calibri"/>
          <w:color w:val="1A1A1A"/>
          <w:sz w:val="20"/>
          <w:szCs w:val="20"/>
        </w:rPr>
        <w:t xml:space="preserve">Per-field agreement statistics; revised charting form and prompts.</w:t>
      </w:r>
    </w:p>
    <w:p>
      <w:pPr>
        <w:pStyle w:val="ListParagraph"/>
        <w:numPr>
          <w:ilvl w:val="0"/>
          <w:numId w:val="8"/>
        </w:numPr>
        <w:spacing w:after="90" w:line="276"/>
      </w:pPr>
      <w:r>
        <w:rPr>
          <w:rFonts w:ascii="Calibri" w:cs="Calibri" w:eastAsia="Calibri" w:hAnsi="Calibri"/>
          <w:color w:val="1A1A1A"/>
          <w:sz w:val="21"/>
          <w:szCs w:val="21"/>
        </w:rPr>
        <w:t xml:space="preserve">Select approximately 10 included sources spanning all three traditions and more than one source type.</w:t>
      </w:r>
    </w:p>
    <w:p>
      <w:pPr>
        <w:pStyle w:val="ListParagraph"/>
        <w:numPr>
          <w:ilvl w:val="0"/>
          <w:numId w:val="8"/>
        </w:numPr>
        <w:spacing w:after="90" w:line="276"/>
      </w:pPr>
      <w:r>
        <w:rPr>
          <w:rFonts w:ascii="Calibri" w:cs="Calibri" w:eastAsia="Calibri" w:hAnsi="Calibri"/>
          <w:color w:val="1A1A1A"/>
          <w:sz w:val="21"/>
          <w:szCs w:val="21"/>
        </w:rPr>
        <w:t xml:space="preserve">Chart all 10 as a human, blind to the AI.</w:t>
      </w:r>
    </w:p>
    <w:p>
      <w:pPr>
        <w:pStyle w:val="ListParagraph"/>
        <w:numPr>
          <w:ilvl w:val="0"/>
          <w:numId w:val="8"/>
        </w:numPr>
        <w:spacing w:after="90" w:line="276"/>
      </w:pPr>
      <w:r>
        <w:rPr>
          <w:rFonts w:ascii="Calibri" w:cs="Calibri" w:eastAsia="Calibri" w:hAnsi="Calibri"/>
          <w:color w:val="1A1A1A"/>
          <w:sz w:val="21"/>
          <w:szCs w:val="21"/>
        </w:rPr>
        <w:t xml:space="preserve">Run the AI-assisted charting workflow over the same 10 sources.</w:t>
      </w:r>
    </w:p>
    <w:p>
      <w:pPr>
        <w:pStyle w:val="ListParagraph"/>
        <w:numPr>
          <w:ilvl w:val="0"/>
          <w:numId w:val="8"/>
        </w:numPr>
        <w:spacing w:after="90" w:line="276"/>
      </w:pPr>
      <w:r>
        <w:rPr>
          <w:rFonts w:ascii="Calibri" w:cs="Calibri" w:eastAsia="Calibri" w:hAnsi="Calibri"/>
          <w:color w:val="1A1A1A"/>
          <w:sz w:val="21"/>
          <w:szCs w:val="21"/>
        </w:rPr>
        <w:t xml:space="preserve">Compute Cohen's κ for each categorical interpretive field and field-level accuracy for each metadata field.</w:t>
      </w:r>
    </w:p>
    <w:p>
      <w:pPr>
        <w:pStyle w:val="ListParagraph"/>
        <w:numPr>
          <w:ilvl w:val="0"/>
          <w:numId w:val="8"/>
        </w:numPr>
        <w:spacing w:after="90" w:line="276"/>
      </w:pPr>
      <w:r>
        <w:rPr>
          <w:rFonts w:ascii="Calibri" w:cs="Calibri" w:eastAsia="Calibri" w:hAnsi="Calibri"/>
          <w:color w:val="1A1A1A"/>
          <w:sz w:val="21"/>
          <w:szCs w:val="21"/>
        </w:rPr>
        <w:t xml:space="preserve">Where a field's marginal distribution is too skewed for κ to be interpretable, additionally compute percentage agreement.</w:t>
      </w:r>
    </w:p>
    <w:p>
      <w:pPr>
        <w:pStyle w:val="ListParagraph"/>
        <w:numPr>
          <w:ilvl w:val="0"/>
          <w:numId w:val="8"/>
        </w:numPr>
        <w:spacing w:after="90" w:line="276"/>
      </w:pPr>
      <w:r>
        <w:rPr>
          <w:rFonts w:ascii="Calibri" w:cs="Calibri" w:eastAsia="Calibri" w:hAnsi="Calibri"/>
          <w:color w:val="1A1A1A"/>
          <w:sz w:val="21"/>
          <w:szCs w:val="21"/>
        </w:rPr>
        <w:t xml:space="preserve">Revise the charting form, the codebook definitions, and the prompts where disagreement traces to the instrument rather than the coder, then repeat.</w:t>
      </w: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GATE</w:t>
            </w:r>
          </w:p>
          <w:p>
            <w:pPr>
              <w:spacing w:after="0" w:line="276"/>
            </w:pPr>
            <w:r>
              <w:rPr>
                <w:rFonts w:ascii="Calibri" w:cs="Calibri" w:eastAsia="Calibri" w:hAnsi="Calibri"/>
                <w:color w:val="1A1A1A"/>
                <w:sz w:val="20"/>
                <w:szCs w:val="20"/>
              </w:rPr>
              <w:t xml:space="preserve">The interpretive AI workflow proceeds only if every categorical interpretive field reaches κ ≥ 0.60, every metadata field reaches accuracy ≥ 95%, and any skewed-marginal field reaches percentage agreement ≥ 90%. A field still below threshold after revision is charted by the human without AI recommendation, and this is reported.</w:t>
            </w:r>
          </w:p>
        </w:tc>
      </w:tr>
    </w:tbl>
    <w:p>
      <w:pPr>
        <w:pStyle w:val="Heading2"/>
        <w:spacing w:after="140" w:before="320"/>
      </w:pPr>
      <w:r>
        <w:rPr>
          <w:rFonts w:ascii="Cambria" w:cs="Cambria" w:eastAsia="Cambria" w:hAnsi="Cambria"/>
          <w:b/>
          <w:bCs/>
          <w:color w:val="065A82"/>
          <w:sz w:val="26"/>
          <w:szCs w:val="26"/>
        </w:rPr>
        <w:t xml:space="preserve">L7 — Registration update</w:t>
      </w:r>
    </w:p>
    <w:p>
      <w:pPr>
        <w:pStyle w:val="ListParagraph"/>
        <w:numPr>
          <w:ilvl w:val="0"/>
          <w:numId w:val="9"/>
        </w:numPr>
        <w:spacing w:after="90" w:line="276"/>
      </w:pPr>
      <w:r>
        <w:rPr>
          <w:rFonts w:ascii="Calibri" w:cs="Calibri" w:eastAsia="Calibri" w:hAnsi="Calibri"/>
          <w:color w:val="1A1A1A"/>
          <w:sz w:val="21"/>
          <w:szCs w:val="21"/>
        </w:rPr>
        <w:t xml:space="preserve">File an OSF update recording per-field agreement results.</w:t>
      </w:r>
    </w:p>
    <w:p>
      <w:pPr>
        <w:pStyle w:val="ListParagraph"/>
        <w:numPr>
          <w:ilvl w:val="0"/>
          <w:numId w:val="9"/>
        </w:numPr>
        <w:spacing w:after="90" w:line="276"/>
      </w:pPr>
      <w:r>
        <w:rPr>
          <w:rFonts w:ascii="Calibri" w:cs="Calibri" w:eastAsia="Calibri" w:hAnsi="Calibri"/>
          <w:color w:val="1A1A1A"/>
          <w:sz w:val="21"/>
          <w:szCs w:val="21"/>
        </w:rPr>
        <w:t xml:space="preserve">Record refinements to the charting form, codebook, and prompts.</w:t>
      </w:r>
    </w:p>
    <w:p>
      <w:pPr>
        <w:pStyle w:val="ListParagraph"/>
        <w:numPr>
          <w:ilvl w:val="0"/>
          <w:numId w:val="9"/>
        </w:numPr>
        <w:spacing w:after="90" w:line="276"/>
      </w:pPr>
      <w:r>
        <w:rPr>
          <w:rFonts w:ascii="Calibri" w:cs="Calibri" w:eastAsia="Calibri" w:hAnsi="Calibri"/>
          <w:color w:val="1A1A1A"/>
          <w:sz w:val="21"/>
          <w:szCs w:val="21"/>
        </w:rPr>
        <w:t xml:space="preserve">Name any field that reverted to human-only charting.</w:t>
      </w:r>
    </w:p>
    <w:p>
      <w:pPr>
        <w:pStyle w:val="Heading2"/>
        <w:spacing w:after="140" w:before="320"/>
      </w:pPr>
      <w:r>
        <w:rPr>
          <w:rFonts w:ascii="Cambria" w:cs="Cambria" w:eastAsia="Cambria" w:hAnsi="Cambria"/>
          <w:b/>
          <w:bCs/>
          <w:color w:val="065A82"/>
          <w:sz w:val="26"/>
          <w:szCs w:val="26"/>
        </w:rPr>
        <w:t xml:space="preserve">L8 — Charting</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Produce the complete charted dataset.</w:t>
      </w:r>
    </w:p>
    <w:p>
      <w:pPr>
        <w:pStyle w:val="ListParagraph"/>
        <w:numPr>
          <w:ilvl w:val="0"/>
          <w:numId w:val="10"/>
        </w:numPr>
        <w:spacing w:after="90" w:line="276"/>
      </w:pPr>
      <w:r>
        <w:rPr>
          <w:rFonts w:ascii="Calibri" w:cs="Calibri" w:eastAsia="Calibri" w:hAnsi="Calibri"/>
          <w:color w:val="1A1A1A"/>
          <w:sz w:val="21"/>
          <w:szCs w:val="21"/>
        </w:rPr>
        <w:t xml:space="preserve">Extract metadata with AI assistance and verify every field against the source for every record.</w:t>
      </w:r>
    </w:p>
    <w:p>
      <w:pPr>
        <w:pStyle w:val="ListParagraph"/>
        <w:numPr>
          <w:ilvl w:val="0"/>
          <w:numId w:val="10"/>
        </w:numPr>
        <w:spacing w:after="90" w:line="276"/>
      </w:pPr>
      <w:r>
        <w:rPr>
          <w:rFonts w:ascii="Calibri" w:cs="Calibri" w:eastAsia="Calibri" w:hAnsi="Calibri"/>
          <w:color w:val="1A1A1A"/>
          <w:sz w:val="21"/>
          <w:szCs w:val="21"/>
        </w:rPr>
        <w:t xml:space="preserve">For each interpretive field, obtain the AI's recommended value with its supporting quotation, then accept, revise, or reject it. Record the final human decision and the supporting passage.</w:t>
      </w:r>
    </w:p>
    <w:p>
      <w:pPr>
        <w:pStyle w:val="ListParagraph"/>
        <w:numPr>
          <w:ilvl w:val="0"/>
          <w:numId w:val="10"/>
        </w:numPr>
        <w:spacing w:after="90" w:line="276"/>
      </w:pPr>
      <w:r>
        <w:rPr>
          <w:rFonts w:ascii="Calibri" w:cs="Calibri" w:eastAsia="Calibri" w:hAnsi="Calibri"/>
          <w:color w:val="1A1A1A"/>
          <w:sz w:val="21"/>
          <w:szCs w:val="21"/>
        </w:rPr>
        <w:t xml:space="preserve">Apply the controlled vocabulary for each facet, and extract each source's key-term definition verbatim where stated.</w:t>
      </w:r>
    </w:p>
    <w:p>
      <w:pPr>
        <w:pStyle w:val="ListParagraph"/>
        <w:numPr>
          <w:ilvl w:val="0"/>
          <w:numId w:val="10"/>
        </w:numPr>
        <w:spacing w:after="90" w:line="276"/>
      </w:pPr>
      <w:r>
        <w:rPr>
          <w:rFonts w:ascii="Calibri" w:cs="Calibri" w:eastAsia="Calibri" w:hAnsi="Calibri"/>
          <w:color w:val="1A1A1A"/>
          <w:sz w:val="21"/>
          <w:szCs w:val="21"/>
        </w:rPr>
        <w:t xml:space="preserve">Mark any entity the source does not address as “not reported”. Do not allow the model to infer it.</w:t>
      </w:r>
    </w:p>
    <w:p>
      <w:pPr>
        <w:pStyle w:val="ListParagraph"/>
        <w:numPr>
          <w:ilvl w:val="0"/>
          <w:numId w:val="10"/>
        </w:numPr>
        <w:spacing w:after="90" w:line="276"/>
      </w:pPr>
      <w:r>
        <w:rPr>
          <w:rFonts w:ascii="Calibri" w:cs="Calibri" w:eastAsia="Calibri" w:hAnsi="Calibri"/>
          <w:color w:val="1A1A1A"/>
          <w:sz w:val="21"/>
          <w:szCs w:val="21"/>
        </w:rPr>
        <w:t xml:space="preserve">Retrieve citation data from OpenAlex or Crossref — never from the model — and assemble the citation edge list among included sources.</w:t>
      </w:r>
    </w:p>
    <w:p>
      <w:pPr>
        <w:pStyle w:val="ListParagraph"/>
        <w:numPr>
          <w:ilvl w:val="0"/>
          <w:numId w:val="10"/>
        </w:numPr>
        <w:spacing w:after="90" w:line="276"/>
      </w:pPr>
      <w:r>
        <w:rPr>
          <w:rFonts w:ascii="Calibri" w:cs="Calibri" w:eastAsia="Calibri" w:hAnsi="Calibri"/>
          <w:color w:val="1A1A1A"/>
          <w:sz w:val="21"/>
          <w:szCs w:val="21"/>
        </w:rPr>
        <w:t xml:space="preserve">Recuse from any source you have authored, log the recusal, and route the source to another team member.</w:t>
      </w:r>
    </w:p>
    <w:p>
      <w:pPr>
        <w:pStyle w:val="ListParagraph"/>
        <w:numPr>
          <w:ilvl w:val="0"/>
          <w:numId w:val="10"/>
        </w:numPr>
        <w:spacing w:after="90" w:line="276"/>
      </w:pPr>
      <w:r>
        <w:rPr>
          <w:rFonts w:ascii="Calibri" w:cs="Calibri" w:eastAsia="Calibri" w:hAnsi="Calibri"/>
          <w:color w:val="1A1A1A"/>
          <w:sz w:val="21"/>
          <w:szCs w:val="21"/>
        </w:rPr>
        <w:t xml:space="preserve">Log, for every field, the AI recommendation, the human decision, and the evidence location.</w:t>
      </w:r>
    </w:p>
    <w:p>
      <w:pPr>
        <w:pStyle w:val="ListParagraph"/>
        <w:numPr>
          <w:ilvl w:val="0"/>
          <w:numId w:val="10"/>
        </w:numPr>
        <w:spacing w:after="90" w:line="276"/>
      </w:pPr>
      <w:r>
        <w:rPr>
          <w:rFonts w:ascii="Calibri" w:cs="Calibri" w:eastAsia="Calibri" w:hAnsi="Calibri"/>
          <w:color w:val="1A1A1A"/>
          <w:sz w:val="21"/>
          <w:szCs w:val="21"/>
        </w:rPr>
        <w:t xml:space="preserve">Cross-check metadata against DOIs, and screen included records against Crossref and Retraction Watch, excluding or flagging any retracted item.</w:t>
      </w:r>
    </w:p>
    <w:p>
      <w:pPr>
        <w:pStyle w:val="Heading2"/>
        <w:spacing w:after="140" w:before="320"/>
      </w:pPr>
      <w:r>
        <w:rPr>
          <w:rFonts w:ascii="Cambria" w:cs="Cambria" w:eastAsia="Cambria" w:hAnsi="Cambria"/>
          <w:b/>
          <w:bCs/>
          <w:color w:val="065A82"/>
          <w:sz w:val="26"/>
          <w:szCs w:val="26"/>
        </w:rPr>
        <w:t xml:space="preserve">L9 — Synthesis</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Answer RQ1 through RQ4 from the charted data.</w:t>
      </w:r>
    </w:p>
    <w:p>
      <w:pPr>
        <w:pStyle w:val="Heading3"/>
        <w:spacing w:after="100" w:before="220"/>
      </w:pPr>
      <w:r>
        <w:rPr>
          <w:rFonts w:ascii="Calibri" w:cs="Calibri" w:eastAsia="Calibri" w:hAnsi="Calibri"/>
          <w:b/>
          <w:bCs/>
          <w:color w:val="1C7293"/>
          <w:sz w:val="22"/>
          <w:szCs w:val="22"/>
        </w:rPr>
        <w:t xml:space="preserve">Tier 1 — descriptive mapping (RQ1)</w:t>
      </w:r>
    </w:p>
    <w:p>
      <w:pPr>
        <w:pStyle w:val="ListParagraph"/>
        <w:numPr>
          <w:ilvl w:val="0"/>
          <w:numId w:val="11"/>
        </w:numPr>
        <w:spacing w:after="90" w:line="276"/>
      </w:pPr>
      <w:r>
        <w:rPr>
          <w:rFonts w:ascii="Calibri" w:cs="Calibri" w:eastAsia="Calibri" w:hAnsi="Calibri"/>
          <w:color w:val="1A1A1A"/>
          <w:sz w:val="21"/>
          <w:szCs w:val="21"/>
        </w:rPr>
        <w:t xml:space="preserve">Tabulate categorical entities into frequency counts and cross-tabulations across discipline, domain, and lens, by tradition and by year.</w:t>
      </w:r>
    </w:p>
    <w:p>
      <w:pPr>
        <w:pStyle w:val="ListParagraph"/>
        <w:numPr>
          <w:ilvl w:val="0"/>
          <w:numId w:val="11"/>
        </w:numPr>
        <w:spacing w:after="90" w:line="276"/>
      </w:pPr>
      <w:r>
        <w:rPr>
          <w:rFonts w:ascii="Calibri" w:cs="Calibri" w:eastAsia="Calibri" w:hAnsi="Calibri"/>
          <w:color w:val="1A1A1A"/>
          <w:sz w:val="21"/>
          <w:szCs w:val="21"/>
        </w:rPr>
        <w:t xml:space="preserve">Build the publication timeline and identify anchor and hub works.</w:t>
      </w:r>
    </w:p>
    <w:p>
      <w:pPr>
        <w:pStyle w:val="ListParagraph"/>
        <w:numPr>
          <w:ilvl w:val="0"/>
          <w:numId w:val="11"/>
        </w:numPr>
        <w:spacing w:after="90" w:line="276"/>
      </w:pPr>
      <w:r>
        <w:rPr>
          <w:rFonts w:ascii="Calibri" w:cs="Calibri" w:eastAsia="Calibri" w:hAnsi="Calibri"/>
          <w:color w:val="1A1A1A"/>
          <w:sz w:val="21"/>
          <w:szCs w:val="21"/>
        </w:rPr>
        <w:t xml:space="preserve">Report the proportion of “not reported” per field, and carry it into denominators.</w:t>
      </w:r>
    </w:p>
    <w:p>
      <w:pPr>
        <w:pStyle w:val="Heading3"/>
        <w:spacing w:after="100" w:before="220"/>
      </w:pPr>
      <w:r>
        <w:rPr>
          <w:rFonts w:ascii="Calibri" w:cs="Calibri" w:eastAsia="Calibri" w:hAnsi="Calibri"/>
          <w:b/>
          <w:bCs/>
          <w:color w:val="1C7293"/>
          <w:sz w:val="22"/>
          <w:szCs w:val="22"/>
        </w:rPr>
        <w:t xml:space="preserve">Tier 2 — meta-narrative synthesis (RQ2)</w:t>
      </w:r>
    </w:p>
    <w:p>
      <w:pPr>
        <w:pStyle w:val="ListParagraph"/>
        <w:numPr>
          <w:ilvl w:val="0"/>
          <w:numId w:val="12"/>
        </w:numPr>
        <w:spacing w:after="90" w:line="276"/>
      </w:pPr>
      <w:r>
        <w:rPr>
          <w:rFonts w:ascii="Calibri" w:cs="Calibri" w:eastAsia="Calibri" w:hAnsi="Calibri"/>
          <w:color w:val="1A1A1A"/>
          <w:sz w:val="21"/>
          <w:szCs w:val="21"/>
        </w:rPr>
        <w:t xml:space="preserve">For each tradition, reconstruct its storyline from the charted definitions and themes: origins and paradigm, its definition of the good, its exemplars, and its trajectory.</w:t>
      </w:r>
    </w:p>
    <w:p>
      <w:pPr>
        <w:pStyle w:val="ListParagraph"/>
        <w:numPr>
          <w:ilvl w:val="0"/>
          <w:numId w:val="12"/>
        </w:numPr>
        <w:spacing w:after="90" w:line="276"/>
      </w:pPr>
      <w:r>
        <w:rPr>
          <w:rFonts w:ascii="Calibri" w:cs="Calibri" w:eastAsia="Calibri" w:hAnsi="Calibri"/>
          <w:color w:val="1A1A1A"/>
          <w:sz w:val="21"/>
          <w:szCs w:val="21"/>
        </w:rPr>
        <w:t xml:space="preserve">Code the qualitative fragments thematically following Braun and Clarke, and report per RAMESES.</w:t>
      </w:r>
    </w:p>
    <w:p>
      <w:pPr>
        <w:pStyle w:val="ListParagraph"/>
        <w:numPr>
          <w:ilvl w:val="0"/>
          <w:numId w:val="12"/>
        </w:numPr>
        <w:spacing w:after="90" w:line="276"/>
      </w:pPr>
      <w:r>
        <w:rPr>
          <w:rFonts w:ascii="Calibri" w:cs="Calibri" w:eastAsia="Calibri" w:hAnsi="Calibri"/>
          <w:color w:val="1A1A1A"/>
          <w:sz w:val="21"/>
          <w:szCs w:val="21"/>
        </w:rPr>
        <w:t xml:space="preserve">Apply thematic saturation as the inference criterion, and keep every claim traceable to charted evidence.</w:t>
      </w:r>
    </w:p>
    <w:p>
      <w:pPr>
        <w:pStyle w:val="Heading3"/>
        <w:spacing w:after="100" w:before="220"/>
      </w:pPr>
      <w:r>
        <w:rPr>
          <w:rFonts w:ascii="Calibri" w:cs="Calibri" w:eastAsia="Calibri" w:hAnsi="Calibri"/>
          <w:b/>
          <w:bCs/>
          <w:color w:val="1C7293"/>
          <w:sz w:val="22"/>
          <w:szCs w:val="22"/>
        </w:rPr>
        <w:t xml:space="preserve">Tier 3 — cross-tradition synthesis (RQ3)</w:t>
      </w:r>
    </w:p>
    <w:p>
      <w:pPr>
        <w:pStyle w:val="ListParagraph"/>
        <w:numPr>
          <w:ilvl w:val="0"/>
          <w:numId w:val="13"/>
        </w:numPr>
        <w:spacing w:after="90" w:line="276"/>
      </w:pPr>
      <w:r>
        <w:rPr>
          <w:rFonts w:ascii="Calibri" w:cs="Calibri" w:eastAsia="Calibri" w:hAnsi="Calibri"/>
          <w:color w:val="1A1A1A"/>
          <w:sz w:val="21"/>
          <w:szCs w:val="21"/>
        </w:rPr>
        <w:t xml:space="preserve">Compare the three traditions on the four framework dimensions.</w:t>
      </w:r>
    </w:p>
    <w:p>
      <w:pPr>
        <w:pStyle w:val="ListParagraph"/>
        <w:numPr>
          <w:ilvl w:val="0"/>
          <w:numId w:val="13"/>
        </w:numPr>
        <w:spacing w:after="90" w:line="276"/>
      </w:pPr>
      <w:r>
        <w:rPr>
          <w:rFonts w:ascii="Calibri" w:cs="Calibri" w:eastAsia="Calibri" w:hAnsi="Calibri"/>
          <w:color w:val="1A1A1A"/>
          <w:sz w:val="21"/>
          <w:szCs w:val="21"/>
        </w:rPr>
        <w:t xml:space="preserve">Identify convergences and recurring tensions, and construct the integrated account of TPG.</w:t>
      </w:r>
    </w:p>
    <w:p>
      <w:pPr>
        <w:pStyle w:val="Heading3"/>
        <w:spacing w:after="100" w:before="220"/>
      </w:pPr>
      <w:r>
        <w:rPr>
          <w:rFonts w:ascii="Calibri" w:cs="Calibri" w:eastAsia="Calibri" w:hAnsi="Calibri"/>
          <w:b/>
          <w:bCs/>
          <w:color w:val="1C7293"/>
          <w:sz w:val="22"/>
          <w:szCs w:val="22"/>
        </w:rPr>
        <w:t xml:space="preserve">Tier 4 — citation-network analysis (RQ4)</w:t>
      </w:r>
    </w:p>
    <w:p>
      <w:pPr>
        <w:pStyle w:val="ListParagraph"/>
        <w:numPr>
          <w:ilvl w:val="0"/>
          <w:numId w:val="14"/>
        </w:numPr>
        <w:spacing w:after="90" w:line="276"/>
      </w:pPr>
      <w:r>
        <w:rPr>
          <w:rFonts w:ascii="Calibri" w:cs="Calibri" w:eastAsia="Calibri" w:hAnsi="Calibri"/>
          <w:color w:val="1A1A1A"/>
          <w:sz w:val="21"/>
          <w:szCs w:val="21"/>
        </w:rPr>
        <w:t xml:space="preserve">From the citation edge list, compute within-tradition versus cross-tradition citation.</w:t>
      </w:r>
    </w:p>
    <w:p>
      <w:pPr>
        <w:pStyle w:val="ListParagraph"/>
        <w:numPr>
          <w:ilvl w:val="0"/>
          <w:numId w:val="14"/>
        </w:numPr>
        <w:spacing w:after="90" w:line="276"/>
      </w:pPr>
      <w:r>
        <w:rPr>
          <w:rFonts w:ascii="Calibri" w:cs="Calibri" w:eastAsia="Calibri" w:hAnsi="Calibri"/>
          <w:color w:val="1A1A1A"/>
          <w:sz w:val="21"/>
          <w:szCs w:val="21"/>
        </w:rPr>
        <w:t xml:space="preserve">Interpret the observed proportion relative to what random citation would produce, rather than against an arbitrary cutoff.</w:t>
      </w:r>
    </w:p>
    <w:p>
      <w:pPr>
        <w:pStyle w:val="ListParagraph"/>
        <w:numPr>
          <w:ilvl w:val="0"/>
          <w:numId w:val="14"/>
        </w:numPr>
        <w:spacing w:after="90" w:line="276"/>
      </w:pPr>
      <w:r>
        <w:rPr>
          <w:rFonts w:ascii="Calibri" w:cs="Calibri" w:eastAsia="Calibri" w:hAnsi="Calibri"/>
          <w:color w:val="1A1A1A"/>
          <w:sz w:val="21"/>
          <w:szCs w:val="21"/>
        </w:rPr>
        <w:t xml:space="preserve">Cluster via co-citation and bibliographic coupling in CitNetExplorer or VOSviewer.</w:t>
      </w:r>
    </w:p>
    <w:p>
      <w:pPr>
        <w:pStyle w:val="Heading3"/>
        <w:spacing w:after="100" w:before="220"/>
      </w:pPr>
      <w:r>
        <w:rPr>
          <w:rFonts w:ascii="Calibri" w:cs="Calibri" w:eastAsia="Calibri" w:hAnsi="Calibri"/>
          <w:b/>
          <w:bCs/>
          <w:color w:val="1C7293"/>
          <w:sz w:val="22"/>
          <w:szCs w:val="22"/>
        </w:rPr>
        <w:t xml:space="preserve">Sensitivity analyses</w:t>
      </w:r>
    </w:p>
    <w:p>
      <w:pPr>
        <w:pStyle w:val="ListParagraph"/>
        <w:numPr>
          <w:ilvl w:val="0"/>
          <w:numId w:val="15"/>
        </w:numPr>
        <w:spacing w:after="80" w:line="276"/>
      </w:pPr>
      <w:r>
        <w:rPr>
          <w:rFonts w:ascii="Calibri" w:cs="Calibri" w:eastAsia="Calibri" w:hAnsi="Calibri"/>
          <w:color w:val="1A1A1A"/>
          <w:sz w:val="21"/>
          <w:szCs w:val="21"/>
        </w:rPr>
        <w:t xml:space="preserve">Seed leave-one-out: re-run the expansion omitting each seed in turn.</w:t>
      </w:r>
    </w:p>
    <w:p>
      <w:pPr>
        <w:pStyle w:val="ListParagraph"/>
        <w:numPr>
          <w:ilvl w:val="0"/>
          <w:numId w:val="15"/>
        </w:numPr>
        <w:spacing w:after="80" w:line="276"/>
      </w:pPr>
      <w:r>
        <w:rPr>
          <w:rFonts w:ascii="Calibri" w:cs="Calibri" w:eastAsia="Calibri" w:hAnsi="Calibri"/>
          <w:color w:val="1A1A1A"/>
          <w:sz w:val="21"/>
          <w:szCs w:val="21"/>
        </w:rPr>
        <w:t xml:space="preserve">Index sensitivity: compare results across OpenAlex and Lens where feasible.</w:t>
      </w:r>
    </w:p>
    <w:p>
      <w:pPr>
        <w:pStyle w:val="ListParagraph"/>
        <w:numPr>
          <w:ilvl w:val="0"/>
          <w:numId w:val="15"/>
        </w:numPr>
        <w:spacing w:after="80" w:line="276"/>
      </w:pPr>
      <w:r>
        <w:rPr>
          <w:rFonts w:ascii="Calibri" w:cs="Calibri" w:eastAsia="Calibri" w:hAnsi="Calibri"/>
          <w:color w:val="1A1A1A"/>
          <w:sz w:val="21"/>
          <w:szCs w:val="21"/>
        </w:rPr>
        <w:t xml:space="preserve">Grey-literature and preprint sensitivity: re-compute the descriptive map with each excluded.</w:t>
      </w:r>
    </w:p>
    <w:p>
      <w:pPr>
        <w:pStyle w:val="ListParagraph"/>
        <w:numPr>
          <w:ilvl w:val="0"/>
          <w:numId w:val="15"/>
        </w:numPr>
        <w:spacing w:after="80" w:line="276"/>
      </w:pPr>
      <w:r>
        <w:rPr>
          <w:rFonts w:ascii="Calibri" w:cs="Calibri" w:eastAsia="Calibri" w:hAnsi="Calibri"/>
          <w:color w:val="1A1A1A"/>
          <w:sz w:val="21"/>
          <w:szCs w:val="21"/>
        </w:rPr>
        <w:t xml:space="preserve">Borderline reassignment: reassign borderline tradition and facet codings and confirm the cross-tradition conclusions hold.</w:t>
      </w:r>
    </w:p>
    <w:p>
      <w:pPr>
        <w:pStyle w:val="Heading2"/>
        <w:spacing w:after="140" w:before="320"/>
      </w:pPr>
      <w:r>
        <w:rPr>
          <w:rFonts w:ascii="Cambria" w:cs="Cambria" w:eastAsia="Cambria" w:hAnsi="Cambria"/>
          <w:b/>
          <w:bCs/>
          <w:color w:val="065A82"/>
          <w:sz w:val="26"/>
          <w:szCs w:val="26"/>
        </w:rPr>
        <w:t xml:space="preserve">L10 — Reporting</w:t>
      </w:r>
    </w:p>
    <w:p>
      <w:pPr>
        <w:pStyle w:val="ListParagraph"/>
        <w:numPr>
          <w:ilvl w:val="0"/>
          <w:numId w:val="16"/>
        </w:numPr>
        <w:spacing w:after="90" w:line="276"/>
      </w:pPr>
      <w:r>
        <w:rPr>
          <w:rFonts w:ascii="Calibri" w:cs="Calibri" w:eastAsia="Calibri" w:hAnsi="Calibri"/>
          <w:color w:val="1A1A1A"/>
          <w:sz w:val="21"/>
          <w:szCs w:val="21"/>
        </w:rPr>
        <w:t xml:space="preserve">Complete the PRISMA-ScR flow diagram: identified, de-duplicated, screened, excluded by reason, not retrieved, included.</w:t>
      </w:r>
    </w:p>
    <w:p>
      <w:pPr>
        <w:pStyle w:val="ListParagraph"/>
        <w:numPr>
          <w:ilvl w:val="0"/>
          <w:numId w:val="16"/>
        </w:numPr>
        <w:spacing w:after="90" w:line="276"/>
      </w:pPr>
      <w:r>
        <w:rPr>
          <w:rFonts w:ascii="Calibri" w:cs="Calibri" w:eastAsia="Calibri" w:hAnsi="Calibri"/>
          <w:color w:val="1A1A1A"/>
          <w:sz w:val="21"/>
          <w:szCs w:val="21"/>
        </w:rPr>
        <w:t xml:space="preserve">Write up the search and selection per PRISMA-ScR and the meta-narrative synthesis per RAMESES.</w:t>
      </w:r>
    </w:p>
    <w:p>
      <w:pPr>
        <w:pStyle w:val="ListParagraph"/>
        <w:numPr>
          <w:ilvl w:val="0"/>
          <w:numId w:val="16"/>
        </w:numPr>
        <w:spacing w:after="90" w:line="276"/>
      </w:pPr>
      <w:r>
        <w:rPr>
          <w:rFonts w:ascii="Calibri" w:cs="Calibri" w:eastAsia="Calibri" w:hAnsi="Calibri"/>
          <w:color w:val="1A1A1A"/>
          <w:sz w:val="21"/>
          <w:szCs w:val="21"/>
        </w:rPr>
        <w:t xml:space="preserve">Report every sensitivity analysis, marking any result that changed materially.</w:t>
      </w:r>
    </w:p>
    <w:p>
      <w:pPr>
        <w:pStyle w:val="ListParagraph"/>
        <w:numPr>
          <w:ilvl w:val="0"/>
          <w:numId w:val="16"/>
        </w:numPr>
        <w:spacing w:after="90" w:line="276"/>
      </w:pPr>
      <w:r>
        <w:rPr>
          <w:rFonts w:ascii="Calibri" w:cs="Calibri" w:eastAsia="Calibri" w:hAnsi="Calibri"/>
          <w:color w:val="1A1A1A"/>
          <w:sz w:val="21"/>
          <w:szCs w:val="21"/>
        </w:rPr>
        <w:t xml:space="preserve">Deposit on OSF: the full record set, the screening log, the frozen seed list, the charted dataset, the AI extraction log, the analysis scripts, and the reflexive memos — all under CC-BY 4.0, no embargo.</w:t>
      </w:r>
    </w:p>
    <w:p>
      <w:r>
        <w:br w:type="page"/>
      </w:r>
    </w:p>
    <w:p>
      <w:pPr>
        <w:pStyle w:val="Heading1"/>
        <w:spacing w:after="200" w:before="360"/>
      </w:pPr>
      <w:r>
        <w:rPr>
          <w:rFonts w:ascii="Cambria" w:cs="Cambria" w:eastAsia="Cambria" w:hAnsi="Cambria"/>
          <w:b/>
          <w:bCs/>
          <w:color w:val="12263A"/>
          <w:sz w:val="32"/>
          <w:szCs w:val="32"/>
        </w:rPr>
        <w:t xml:space="preserve">Part B — Organizational strand</w:t>
      </w:r>
    </w:p>
    <w:p>
      <w:pPr>
        <w:spacing w:after="120" w:line="276"/>
      </w:pPr>
      <w:r>
        <w:rPr>
          <w:rFonts w:ascii="Calibri" w:cs="Calibri" w:eastAsia="Calibri" w:hAnsi="Calibri"/>
          <w:color w:val="5A6B78"/>
          <w:sz w:val="21"/>
          <w:szCs w:val="21"/>
        </w:rPr>
        <w:t xml:space="preserve">Nine stages, O1 through O9. Three human coders — the lead reviewer and two research assistants — with AI assistance in three defined roles.</w:t>
      </w:r>
    </w:p>
    <w:p>
      <w:pPr>
        <w:spacing w:after="80"/>
      </w:pPr>
    </w:p>
    <w:tbl>
      <w:tblPr>
        <w:tblW w:type="dxa" w:w="9360"/>
        <w:tblBorders>
          <w:top w:val="single" w:color="C9D6DF" w:sz="4"/>
          <w:left w:val="none"/>
          <w:bottom w:val="single" w:color="C9D6DF" w:sz="4"/>
          <w:right w:val="none"/>
          <w:insideH w:val="single" w:color="DCE5EB" w:sz="2"/>
          <w:insideV w:val="none"/>
        </w:tblBorders>
      </w:tblPr>
      <w:tblGrid>
        <w:gridCol w:w="2400"/>
        <w:gridCol w:w="4200"/>
        <w:gridCol w:w="2760"/>
      </w:tblGrid>
      <w:tr>
        <w:trPr>
          <w:tblHeader/>
        </w:trPr>
        <w:tc>
          <w:tcPr>
            <w:tcW w:type="dxa" w:w="240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Stage</w:t>
            </w:r>
          </w:p>
        </w:tc>
        <w:tc>
          <w:tcPr>
            <w:tcW w:type="dxa" w:w="420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What it produces</w:t>
            </w:r>
          </w:p>
        </w:tc>
        <w:tc>
          <w:tcPr>
            <w:tcW w:type="dxa" w:w="276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Gate to clear</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O1  Fix the rules</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Frozen criteria, rules, register composition</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Completed by filing the update</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O2  Freeze the register</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Dated snapshots of every frame source</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Freeze date set without seeing contents</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O3  Enumerate</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De-duplicated candidate pool</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O4  First screening pass</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C1 and C2 outcomes on every record</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AI Role 1 accuracy ≥ 95%</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O5  Build the queue</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Lexicon proxy; fixed round-robin draw order</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O6  Calibrate</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Agreement statistics; revised codebook</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κ ≥ 0.60 benchmark</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O7  Screen and code</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Coded sample to saturation</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Six consecutive records, no new code</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O8  Audits and probe</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Boundary-audit rates; partner probe</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O9  Validate and report</w:t>
            </w:r>
          </w:p>
        </w:tc>
        <w:tc>
          <w:tcPr>
            <w:tcW w:type="dxa" w:w="42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Reliability, sensitivity, PRISMA counts</w:t>
            </w:r>
          </w:p>
        </w:tc>
        <w:tc>
          <w:tcPr>
            <w:tcW w:type="dxa" w:w="27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t>
            </w:r>
          </w:p>
        </w:tc>
      </w:tr>
    </w:tbl>
    <w:p>
      <w:pPr>
        <w:pStyle w:val="Heading2"/>
        <w:spacing w:after="140" w:before="320"/>
      </w:pPr>
      <w:r>
        <w:rPr>
          <w:rFonts w:ascii="Cambria" w:cs="Cambria" w:eastAsia="Cambria" w:hAnsi="Cambria"/>
          <w:b/>
          <w:bCs/>
          <w:color w:val="065A82"/>
          <w:sz w:val="26"/>
          <w:szCs w:val="26"/>
        </w:rPr>
        <w:t xml:space="preserve">O1 — Fix the rules</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Settle everything that would otherwise be decided while looking at data.</w:t>
      </w:r>
    </w:p>
    <w:p>
      <w:pPr>
        <w:spacing w:after="70" w:line="276"/>
      </w:pPr>
      <w:r>
        <w:rPr>
          <w:rFonts w:ascii="Calibri" w:cs="Calibri" w:eastAsia="Calibri" w:hAnsi="Calibri"/>
          <w:b/>
          <w:bCs/>
          <w:color w:val="065A82"/>
          <w:sz w:val="20"/>
          <w:szCs w:val="20"/>
        </w:rPr>
        <w:t xml:space="preserve">Status  </w:t>
      </w:r>
      <w:r>
        <w:rPr>
          <w:rFonts w:ascii="Calibri" w:cs="Calibri" w:eastAsia="Calibri" w:hAnsi="Calibri"/>
          <w:color w:val="1A1A1A"/>
          <w:sz w:val="20"/>
          <w:szCs w:val="20"/>
        </w:rPr>
        <w:t xml:space="preserve">Completed by the freezing of the preregistration update.</w:t>
      </w:r>
    </w:p>
    <w:p>
      <w:pPr>
        <w:pStyle w:val="ListParagraph"/>
        <w:numPr>
          <w:ilvl w:val="0"/>
          <w:numId w:val="17"/>
        </w:numPr>
        <w:spacing w:after="90" w:line="276"/>
      </w:pPr>
      <w:r>
        <w:rPr>
          <w:rFonts w:ascii="Calibri" w:cs="Calibri" w:eastAsia="Calibri" w:hAnsi="Calibri"/>
          <w:color w:val="1A1A1A"/>
          <w:sz w:val="21"/>
          <w:szCs w:val="21"/>
        </w:rPr>
        <w:t xml:space="preserve">Freeze the lexicon of self-identification terms. Every term derives from the manuscript's own taxonomy; terms surfaced later are reported as findings, never added mid-collection.</w:t>
      </w:r>
    </w:p>
    <w:p>
      <w:pPr>
        <w:pStyle w:val="ListParagraph"/>
        <w:numPr>
          <w:ilvl w:val="0"/>
          <w:numId w:val="17"/>
        </w:numPr>
        <w:spacing w:after="90" w:line="276"/>
      </w:pPr>
      <w:r>
        <w:rPr>
          <w:rFonts w:ascii="Calibri" w:cs="Calibri" w:eastAsia="Calibri" w:hAnsi="Calibri"/>
          <w:color w:val="1A1A1A"/>
          <w:sz w:val="21"/>
          <w:szCs w:val="21"/>
        </w:rPr>
        <w:t xml:space="preserve">Freeze the five screening criteria — C1 unit, C2 United States, C3 constitutive technology, C4 public benefit, C5 funder program — and the rule that screening stops at the first failure.</w:t>
      </w:r>
    </w:p>
    <w:p>
      <w:pPr>
        <w:pStyle w:val="ListParagraph"/>
        <w:numPr>
          <w:ilvl w:val="0"/>
          <w:numId w:val="17"/>
        </w:numPr>
        <w:spacing w:after="90" w:line="276"/>
      </w:pPr>
      <w:r>
        <w:rPr>
          <w:rFonts w:ascii="Calibri" w:cs="Calibri" w:eastAsia="Calibri" w:hAnsi="Calibri"/>
          <w:color w:val="1A1A1A"/>
          <w:sz w:val="21"/>
          <w:szCs w:val="21"/>
        </w:rPr>
        <w:t xml:space="preserve">Freeze the two standing rules: unit resolution, including the fiscal-sponsor clause; and frame operators entering the pool by construction.</w:t>
      </w:r>
    </w:p>
    <w:p>
      <w:pPr>
        <w:pStyle w:val="ListParagraph"/>
        <w:numPr>
          <w:ilvl w:val="0"/>
          <w:numId w:val="17"/>
        </w:numPr>
        <w:spacing w:after="90" w:line="276"/>
      </w:pPr>
      <w:r>
        <w:rPr>
          <w:rFonts w:ascii="Calibri" w:cs="Calibri" w:eastAsia="Calibri" w:hAnsi="Calibri"/>
          <w:color w:val="1A1A1A"/>
          <w:sz w:val="21"/>
          <w:szCs w:val="21"/>
        </w:rPr>
        <w:t xml:space="preserve">Freeze the register composition: which frames are in, which were considered and rejected, and each frame's enumeration route and boundary definition.</w:t>
      </w:r>
    </w:p>
    <w:p>
      <w:pPr>
        <w:pStyle w:val="ListParagraph"/>
        <w:numPr>
          <w:ilvl w:val="0"/>
          <w:numId w:val="17"/>
        </w:numPr>
        <w:spacing w:after="90" w:line="276"/>
      </w:pPr>
      <w:r>
        <w:rPr>
          <w:rFonts w:ascii="Calibri" w:cs="Calibri" w:eastAsia="Calibri" w:hAnsi="Calibri"/>
          <w:color w:val="1A1A1A"/>
          <w:sz w:val="21"/>
          <w:szCs w:val="21"/>
        </w:rPr>
        <w:t xml:space="preserve">Freeze the draw rule, the stopping rule at six, the boundary audits, and the partner probe.</w:t>
      </w:r>
    </w:p>
    <w:p>
      <w:pPr>
        <w:pStyle w:val="Heading2"/>
        <w:spacing w:after="140" w:before="320"/>
      </w:pPr>
      <w:r>
        <w:rPr>
          <w:rFonts w:ascii="Cambria" w:cs="Cambria" w:eastAsia="Cambria" w:hAnsi="Cambria"/>
          <w:b/>
          <w:bCs/>
          <w:color w:val="065A82"/>
          <w:sz w:val="26"/>
          <w:szCs w:val="26"/>
        </w:rPr>
        <w:t xml:space="preserve">O2 — Freeze the register</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Fix the contents of every frame on a single stated date.</w:t>
      </w:r>
    </w:p>
    <w:p>
      <w:pPr>
        <w:spacing w:after="70" w:line="276"/>
      </w:pPr>
      <w:r>
        <w:rPr>
          <w:rFonts w:ascii="Calibri" w:cs="Calibri" w:eastAsia="Calibri" w:hAnsi="Calibri"/>
          <w:b/>
          <w:bCs/>
          <w:color w:val="065A82"/>
          <w:sz w:val="20"/>
          <w:szCs w:val="20"/>
        </w:rPr>
        <w:t xml:space="preserve">Produces  </w:t>
      </w:r>
      <w:r>
        <w:rPr>
          <w:rFonts w:ascii="Calibri" w:cs="Calibri" w:eastAsia="Calibri" w:hAnsi="Calibri"/>
          <w:color w:val="1A1A1A"/>
          <w:sz w:val="20"/>
          <w:szCs w:val="20"/>
        </w:rPr>
        <w:t xml:space="preserve">An archived snapshot of every frame source, with capture dates and commit identifiers.</w:t>
      </w:r>
    </w:p>
    <w:p>
      <w:pPr>
        <w:pStyle w:val="ListParagraph"/>
        <w:numPr>
          <w:ilvl w:val="0"/>
          <w:numId w:val="18"/>
        </w:numPr>
        <w:spacing w:after="90" w:line="276"/>
      </w:pPr>
      <w:r>
        <w:rPr>
          <w:rFonts w:ascii="Calibri" w:cs="Calibri" w:eastAsia="Calibri" w:hAnsi="Calibri"/>
          <w:color w:val="1A1A1A"/>
          <w:sz w:val="21"/>
          <w:szCs w:val="21"/>
        </w:rPr>
        <w:t xml:space="preserve">Choose a single freeze date without reference to the contents of any frame. The clear window is August 2026 to January 2027, outside the PIT-UN intake.</w:t>
      </w:r>
    </w:p>
    <w:p>
      <w:pPr>
        <w:pStyle w:val="ListParagraph"/>
        <w:numPr>
          <w:ilvl w:val="0"/>
          <w:numId w:val="18"/>
        </w:numPr>
        <w:spacing w:after="90" w:line="276"/>
      </w:pPr>
      <w:r>
        <w:rPr>
          <w:rFonts w:ascii="Calibri" w:cs="Calibri" w:eastAsia="Calibri" w:hAnsi="Calibri"/>
          <w:color w:val="1A1A1A"/>
          <w:sz w:val="21"/>
          <w:szCs w:val="21"/>
        </w:rPr>
        <w:t xml:space="preserve">On that date, capture an archived snapshot of every frame source page.</w:t>
      </w:r>
    </w:p>
    <w:p>
      <w:pPr>
        <w:pStyle w:val="ListParagraph"/>
        <w:numPr>
          <w:ilvl w:val="0"/>
          <w:numId w:val="18"/>
        </w:numPr>
        <w:spacing w:after="90" w:line="276"/>
      </w:pPr>
      <w:r>
        <w:rPr>
          <w:rFonts w:ascii="Calibri" w:cs="Calibri" w:eastAsia="Calibri" w:hAnsi="Calibri"/>
          <w:color w:val="1A1A1A"/>
          <w:sz w:val="21"/>
          <w:szCs w:val="21"/>
        </w:rPr>
        <w:t xml:space="preserve">Pin version-controlled sources to a commit identifier rather than a date. The Code for America brigade roster is pinned to a commit on the organizations.json file.</w:t>
      </w:r>
    </w:p>
    <w:p>
      <w:pPr>
        <w:pStyle w:val="ListParagraph"/>
        <w:numPr>
          <w:ilvl w:val="0"/>
          <w:numId w:val="18"/>
        </w:numPr>
        <w:spacing w:after="90" w:line="276"/>
      </w:pPr>
      <w:r>
        <w:rPr>
          <w:rFonts w:ascii="Calibri" w:cs="Calibri" w:eastAsia="Calibri" w:hAnsi="Calibri"/>
          <w:color w:val="1A1A1A"/>
          <w:sz w:val="21"/>
          <w:szCs w:val="21"/>
        </w:rPr>
        <w:t xml:space="preserve">For the Ford Foundation, export the topic-filtered active-grant view manually — the database sits behind a human-verification gate — and retrieve the historical tail from 990-PF filings from 2011 onward.</w:t>
      </w:r>
    </w:p>
    <w:p>
      <w:pPr>
        <w:pStyle w:val="ListParagraph"/>
        <w:numPr>
          <w:ilvl w:val="0"/>
          <w:numId w:val="18"/>
        </w:numPr>
        <w:spacing w:after="90" w:line="276"/>
      </w:pPr>
      <w:r>
        <w:rPr>
          <w:rFonts w:ascii="Calibri" w:cs="Calibri" w:eastAsia="Calibri" w:hAnsi="Calibri"/>
          <w:color w:val="1A1A1A"/>
          <w:sz w:val="21"/>
          <w:szCs w:val="21"/>
        </w:rPr>
        <w:t xml:space="preserve">For the four named Google.org cohorts, capture participant lists. Where a named cohort's list is unpublished at the freeze date, record it as pending and enumerate on publication, recording the enumeration date separately.</w:t>
      </w:r>
    </w:p>
    <w:p>
      <w:pPr>
        <w:pStyle w:val="ListParagraph"/>
        <w:numPr>
          <w:ilvl w:val="0"/>
          <w:numId w:val="18"/>
        </w:numPr>
        <w:spacing w:after="90" w:line="276"/>
      </w:pPr>
      <w:r>
        <w:rPr>
          <w:rFonts w:ascii="Calibri" w:cs="Calibri" w:eastAsia="Calibri" w:hAnsi="Calibri"/>
          <w:color w:val="1A1A1A"/>
          <w:sz w:val="21"/>
          <w:szCs w:val="21"/>
        </w:rPr>
        <w:t xml:space="preserve">Capture the full member list, not merely a count, for every membership frame.</w:t>
      </w:r>
    </w:p>
    <w:p>
      <w:pPr>
        <w:pStyle w:val="ListParagraph"/>
        <w:numPr>
          <w:ilvl w:val="0"/>
          <w:numId w:val="18"/>
        </w:numPr>
        <w:spacing w:after="90" w:line="276"/>
      </w:pPr>
      <w:r>
        <w:rPr>
          <w:rFonts w:ascii="Calibri" w:cs="Calibri" w:eastAsia="Calibri" w:hAnsi="Calibri"/>
          <w:color w:val="1A1A1A"/>
          <w:sz w:val="21"/>
          <w:szCs w:val="21"/>
        </w:rPr>
        <w:t xml:space="preserve">Record each frame's as-of date in the frame register and deposit the snapshots on OSF.</w:t>
      </w:r>
    </w:p>
    <w:tbl>
      <w:tblPr>
        <w:tblW w:type="dxa" w:w="9360"/>
        <w:tblBorders>
          <w:top w:val="single" w:color="EAF0F4" w:sz="2"/>
          <w:left w:val="single" w:color="065A82" w:sz="18"/>
          <w:bottom w:val="single" w:color="EAF0F4" w:sz="2"/>
          <w:right w:val="single" w:color="EAF0F4" w:sz="2"/>
          <w:insideH w:val="none"/>
          <w:insideV w:val="none"/>
        </w:tblBorders>
      </w:tblPr>
      <w:tblGrid>
        <w:gridCol w:w="9360"/>
      </w:tblGrid>
      <w:tr>
        <w:tc>
          <w:tcPr>
            <w:tcW w:type="dxa" w:w="9360"/>
            <w:shd w:fill="EAF0F4" w:val="clear"/>
            <w:tcMar>
              <w:top w:type="dxa" w:w="140"/>
              <w:left w:type="dxa" w:w="200"/>
              <w:bottom w:type="dxa" w:w="140"/>
              <w:right w:type="dxa" w:w="200"/>
            </w:tcMar>
          </w:tcPr>
          <w:p>
            <w:pPr>
              <w:spacing w:after="60" w:line="276"/>
            </w:pPr>
            <w:r>
              <w:rPr>
                <w:rFonts w:ascii="Calibri" w:cs="Calibri" w:eastAsia="Calibri" w:hAnsi="Calibri"/>
                <w:b/>
                <w:bCs/>
                <w:color w:val="065A82"/>
                <w:sz w:val="19"/>
                <w:szCs w:val="19"/>
              </w:rPr>
              <w:t xml:space="preserve">RULE</w:t>
            </w:r>
          </w:p>
          <w:p>
            <w:pPr>
              <w:spacing w:after="0" w:line="276"/>
            </w:pPr>
            <w:r>
              <w:rPr>
                <w:rFonts w:ascii="Calibri" w:cs="Calibri" w:eastAsia="Calibri" w:hAnsi="Calibri"/>
                <w:color w:val="1A1A1A"/>
                <w:sz w:val="20"/>
                <w:szCs w:val="20"/>
              </w:rPr>
              <w:t xml:space="preserve">No frame is inspected between the filing of the update and the freeze beyond confirming its listing is reachable. This is what makes filing before freezing the stronger position rather than merely the more convenient one.</w:t>
            </w:r>
          </w:p>
        </w:tc>
      </w:tr>
    </w:tbl>
    <w:p>
      <w:pPr>
        <w:pStyle w:val="Heading2"/>
        <w:spacing w:after="140" w:before="320"/>
      </w:pPr>
      <w:r>
        <w:rPr>
          <w:rFonts w:ascii="Cambria" w:cs="Cambria" w:eastAsia="Cambria" w:hAnsi="Cambria"/>
          <w:b/>
          <w:bCs/>
          <w:color w:val="065A82"/>
          <w:sz w:val="26"/>
          <w:szCs w:val="26"/>
        </w:rPr>
        <w:t xml:space="preserve">O3 — Enumerate and deduplicate</w:t>
      </w:r>
    </w:p>
    <w:p>
      <w:pPr>
        <w:spacing w:after="70" w:line="276"/>
      </w:pPr>
      <w:r>
        <w:rPr>
          <w:rFonts w:ascii="Calibri" w:cs="Calibri" w:eastAsia="Calibri" w:hAnsi="Calibri"/>
          <w:b/>
          <w:bCs/>
          <w:color w:val="065A82"/>
          <w:sz w:val="20"/>
          <w:szCs w:val="20"/>
        </w:rPr>
        <w:t xml:space="preserve">Produces  </w:t>
      </w:r>
      <w:r>
        <w:rPr>
          <w:rFonts w:ascii="Calibri" w:cs="Calibri" w:eastAsia="Calibri" w:hAnsi="Calibri"/>
          <w:color w:val="1A1A1A"/>
          <w:sz w:val="20"/>
          <w:szCs w:val="20"/>
        </w:rPr>
        <w:t xml:space="preserve">A de-duplicated candidate pool of roughly 1,800 unique organizations.</w:t>
      </w:r>
    </w:p>
    <w:p>
      <w:pPr>
        <w:pStyle w:val="ListParagraph"/>
        <w:numPr>
          <w:ilvl w:val="0"/>
          <w:numId w:val="19"/>
        </w:numPr>
        <w:spacing w:after="90" w:line="276"/>
      </w:pPr>
      <w:r>
        <w:rPr>
          <w:rFonts w:ascii="Calibri" w:cs="Calibri" w:eastAsia="Calibri" w:hAnsi="Calibri"/>
          <w:color w:val="1A1A1A"/>
          <w:sz w:val="21"/>
          <w:szCs w:val="21"/>
        </w:rPr>
        <w:t xml:space="preserve">Enumerate each frame in full from its snapshot under the boundary definition recorded in the register.</w:t>
      </w:r>
    </w:p>
    <w:p>
      <w:pPr>
        <w:pStyle w:val="ListParagraph"/>
        <w:numPr>
          <w:ilvl w:val="0"/>
          <w:numId w:val="19"/>
        </w:numPr>
        <w:spacing w:after="90" w:line="276"/>
      </w:pPr>
      <w:r>
        <w:rPr>
          <w:rFonts w:ascii="Calibri" w:cs="Calibri" w:eastAsia="Calibri" w:hAnsi="Calibri"/>
          <w:color w:val="1A1A1A"/>
          <w:sz w:val="21"/>
          <w:szCs w:val="21"/>
        </w:rPr>
        <w:t xml:space="preserve">For the Civic Tech Field Guide, apply the registered boundary: record type contains Organization, and country is either United States or missing. This yields roughly 1,099 candidates.</w:t>
      </w:r>
    </w:p>
    <w:p>
      <w:pPr>
        <w:pStyle w:val="ListParagraph"/>
        <w:numPr>
          <w:ilvl w:val="0"/>
          <w:numId w:val="19"/>
        </w:numPr>
        <w:spacing w:after="90" w:line="276"/>
      </w:pPr>
      <w:r>
        <w:rPr>
          <w:rFonts w:ascii="Calibri" w:cs="Calibri" w:eastAsia="Calibri" w:hAnsi="Calibri"/>
          <w:color w:val="1A1A1A"/>
          <w:sz w:val="21"/>
          <w:szCs w:val="21"/>
        </w:rPr>
        <w:t xml:space="preserve">Apply the unit-resolution rule wherever a frame lists an institution rather than an organization. Log records as resolved, unit_unresolved, or unit_known_not_surfaced.</w:t>
      </w:r>
    </w:p>
    <w:p>
      <w:pPr>
        <w:pStyle w:val="ListParagraph"/>
        <w:numPr>
          <w:ilvl w:val="0"/>
          <w:numId w:val="19"/>
        </w:numPr>
        <w:spacing w:after="90" w:line="276"/>
      </w:pPr>
      <w:r>
        <w:rPr>
          <w:rFonts w:ascii="Calibri" w:cs="Calibri" w:eastAsia="Calibri" w:hAnsi="Calibri"/>
          <w:color w:val="1A1A1A"/>
          <w:sz w:val="21"/>
          <w:szCs w:val="21"/>
        </w:rPr>
        <w:t xml:space="preserve">Apply the fiscal-sponsor clause where a frame names a sponsor rather than the sponsored project.</w:t>
      </w:r>
    </w:p>
    <w:p>
      <w:pPr>
        <w:pStyle w:val="ListParagraph"/>
        <w:numPr>
          <w:ilvl w:val="0"/>
          <w:numId w:val="19"/>
        </w:numPr>
        <w:spacing w:after="90" w:line="276"/>
      </w:pPr>
      <w:r>
        <w:rPr>
          <w:rFonts w:ascii="Calibri" w:cs="Calibri" w:eastAsia="Calibri" w:hAnsi="Calibri"/>
          <w:color w:val="1A1A1A"/>
          <w:sz w:val="21"/>
          <w:szCs w:val="21"/>
        </w:rPr>
        <w:t xml:space="preserve">Add every frame operator to the pool by construction, flagged as such, with the frames it operates and whether those are current or historical.</w:t>
      </w:r>
    </w:p>
    <w:p>
      <w:pPr>
        <w:pStyle w:val="ListParagraph"/>
        <w:numPr>
          <w:ilvl w:val="0"/>
          <w:numId w:val="19"/>
        </w:numPr>
        <w:spacing w:after="90" w:line="276"/>
      </w:pPr>
      <w:r>
        <w:rPr>
          <w:rFonts w:ascii="Calibri" w:cs="Calibri" w:eastAsia="Calibri" w:hAnsi="Calibri"/>
          <w:color w:val="1A1A1A"/>
          <w:sz w:val="21"/>
          <w:szCs w:val="21"/>
        </w:rPr>
        <w:t xml:space="preserve">De-duplicate to organization-level units, recording each merge with its parent identifier and retaining multi-frame provenance.</w:t>
      </w:r>
    </w:p>
    <w:p>
      <w:pPr>
        <w:pStyle w:val="Heading2"/>
        <w:spacing w:after="140" w:before="320"/>
      </w:pPr>
      <w:r>
        <w:rPr>
          <w:rFonts w:ascii="Cambria" w:cs="Cambria" w:eastAsia="Cambria" w:hAnsi="Cambria"/>
          <w:b/>
          <w:bCs/>
          <w:color w:val="065A82"/>
          <w:sz w:val="26"/>
          <w:szCs w:val="26"/>
        </w:rPr>
        <w:t xml:space="preserve">O4 — First screening pass</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Apply the two cheap criteria to every enumerated record.</w:t>
      </w:r>
    </w:p>
    <w:p>
      <w:pPr>
        <w:spacing w:after="70" w:line="276"/>
      </w:pPr>
      <w:r>
        <w:rPr>
          <w:rFonts w:ascii="Calibri" w:cs="Calibri" w:eastAsia="Calibri" w:hAnsi="Calibri"/>
          <w:b/>
          <w:bCs/>
          <w:color w:val="065A82"/>
          <w:sz w:val="20"/>
          <w:szCs w:val="20"/>
        </w:rPr>
        <w:t xml:space="preserve">Owner  </w:t>
      </w:r>
      <w:r>
        <w:rPr>
          <w:rFonts w:ascii="Calibri" w:cs="Calibri" w:eastAsia="Calibri" w:hAnsi="Calibri"/>
          <w:color w:val="1A1A1A"/>
          <w:sz w:val="20"/>
          <w:szCs w:val="20"/>
        </w:rPr>
        <w:t xml:space="preserve">One research assistant per record, verifying AI proposals.</w:t>
      </w:r>
    </w:p>
    <w:p>
      <w:pPr>
        <w:pStyle w:val="ListParagraph"/>
        <w:numPr>
          <w:ilvl w:val="0"/>
          <w:numId w:val="20"/>
        </w:numPr>
        <w:spacing w:after="90" w:line="276"/>
      </w:pPr>
      <w:r>
        <w:rPr>
          <w:rFonts w:ascii="Calibri" w:cs="Calibri" w:eastAsia="Calibri" w:hAnsi="Calibri"/>
          <w:color w:val="1A1A1A"/>
          <w:sz w:val="21"/>
          <w:szCs w:val="21"/>
        </w:rPr>
        <w:t xml:space="preserve">Run AI Role 1 over the pool: the model proposes a value and the supporting passage for each Group 1 field, including C1 and C2.</w:t>
      </w:r>
    </w:p>
    <w:p>
      <w:pPr>
        <w:pStyle w:val="ListParagraph"/>
        <w:numPr>
          <w:ilvl w:val="0"/>
          <w:numId w:val="20"/>
        </w:numPr>
        <w:spacing w:after="90" w:line="276"/>
      </w:pPr>
      <w:r>
        <w:rPr>
          <w:rFonts w:ascii="Calibri" w:cs="Calibri" w:eastAsia="Calibri" w:hAnsi="Calibri"/>
          <w:color w:val="1A1A1A"/>
          <w:sz w:val="21"/>
          <w:szCs w:val="21"/>
        </w:rPr>
        <w:t xml:space="preserve">Verify every proposal against the source before accepting it. No proposal is accepted without opening the source.</w:t>
      </w:r>
    </w:p>
    <w:p>
      <w:pPr>
        <w:pStyle w:val="ListParagraph"/>
        <w:numPr>
          <w:ilvl w:val="0"/>
          <w:numId w:val="20"/>
        </w:numPr>
        <w:spacing w:after="90" w:line="276"/>
      </w:pPr>
      <w:r>
        <w:rPr>
          <w:rFonts w:ascii="Calibri" w:cs="Calibri" w:eastAsia="Calibri" w:hAnsi="Calibri"/>
          <w:color w:val="1A1A1A"/>
          <w:sz w:val="21"/>
          <w:szCs w:val="21"/>
        </w:rPr>
        <w:t xml:space="preserve">Determine C2 from the organization's own materials wherever frame location metadata is missing. For the Civic Tech Field Guide this applies to roughly 476 records and is the largest manual cost in the strand.</w:t>
      </w:r>
    </w:p>
    <w:p>
      <w:pPr>
        <w:pStyle w:val="ListParagraph"/>
        <w:numPr>
          <w:ilvl w:val="0"/>
          <w:numId w:val="20"/>
        </w:numPr>
        <w:spacing w:after="90" w:line="276"/>
      </w:pPr>
      <w:r>
        <w:rPr>
          <w:rFonts w:ascii="Calibri" w:cs="Calibri" w:eastAsia="Calibri" w:hAnsi="Calibri"/>
          <w:color w:val="1A1A1A"/>
          <w:sz w:val="21"/>
          <w:szCs w:val="21"/>
        </w:rPr>
        <w:t xml:space="preserve">Code any listing that cannot be resolved to an organization at all as unresolvable, and report the count.</w:t>
      </w:r>
    </w:p>
    <w:p>
      <w:pPr>
        <w:pStyle w:val="ListParagraph"/>
        <w:numPr>
          <w:ilvl w:val="0"/>
          <w:numId w:val="20"/>
        </w:numPr>
        <w:spacing w:after="90" w:line="276"/>
      </w:pPr>
      <w:r>
        <w:rPr>
          <w:rFonts w:ascii="Calibri" w:cs="Calibri" w:eastAsia="Calibri" w:hAnsi="Calibri"/>
          <w:color w:val="1A1A1A"/>
          <w:sz w:val="21"/>
          <w:szCs w:val="21"/>
        </w:rPr>
        <w:t xml:space="preserve">Record the first criterion failed for every exclusion.</w:t>
      </w:r>
    </w:p>
    <w:p>
      <w:pPr>
        <w:pStyle w:val="ListParagraph"/>
        <w:numPr>
          <w:ilvl w:val="0"/>
          <w:numId w:val="20"/>
        </w:numPr>
        <w:spacing w:after="90" w:line="276"/>
      </w:pPr>
      <w:r>
        <w:rPr>
          <w:rFonts w:ascii="Calibri" w:cs="Calibri" w:eastAsia="Calibri" w:hAnsi="Calibri"/>
          <w:color w:val="1A1A1A"/>
          <w:sz w:val="21"/>
          <w:szCs w:val="21"/>
        </w:rPr>
        <w:t xml:space="preserve">Lead reviewer: verify a random ten per cent of records in each block against the recorded evidence, and report the error rate.</w:t>
      </w: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GATE</w:t>
            </w:r>
          </w:p>
          <w:p>
            <w:pPr>
              <w:spacing w:after="0" w:line="276"/>
            </w:pPr>
            <w:r>
              <w:rPr>
                <w:rFonts w:ascii="Calibri" w:cs="Calibri" w:eastAsia="Calibri" w:hAnsi="Calibri"/>
                <w:color w:val="1A1A1A"/>
                <w:sz w:val="20"/>
                <w:szCs w:val="20"/>
              </w:rPr>
              <w:t xml:space="preserve">AI Role 1 runs on analytic records only if field-level accuracy on Group 1 fields reached 95% against the adjudicated calibration values. Fields below that threshold after prompt revision are coded by a research assistant without AI assistance.</w:t>
            </w:r>
          </w:p>
        </w:tc>
      </w:tr>
    </w:tbl>
    <w:p>
      <w:pPr>
        <w:pStyle w:val="Heading2"/>
        <w:spacing w:after="140" w:before="320"/>
      </w:pPr>
      <w:r>
        <w:rPr>
          <w:rFonts w:ascii="Cambria" w:cs="Cambria" w:eastAsia="Cambria" w:hAnsi="Cambria"/>
          <w:b/>
          <w:bCs/>
          <w:color w:val="065A82"/>
          <w:sz w:val="26"/>
          <w:szCs w:val="26"/>
        </w:rPr>
        <w:t xml:space="preserve">O5 — Compute the proxy and build the queue</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Fix the coding order in advance so the stopping point does not depend on who opens which record first.</w:t>
      </w:r>
    </w:p>
    <w:p>
      <w:pPr>
        <w:pStyle w:val="ListParagraph"/>
        <w:numPr>
          <w:ilvl w:val="0"/>
          <w:numId w:val="21"/>
        </w:numPr>
        <w:spacing w:after="90" w:line="276"/>
      </w:pPr>
      <w:r>
        <w:rPr>
          <w:rFonts w:ascii="Calibri" w:cs="Calibri" w:eastAsia="Calibri" w:hAnsi="Calibri"/>
          <w:color w:val="1A1A1A"/>
          <w:sz w:val="21"/>
          <w:szCs w:val="21"/>
        </w:rPr>
        <w:t xml:space="preserve">Run the lexicon proxy script over the passing pool: fetch each homepage, match against the frozen lexicon, and record TRUE, FALSE, or UNDETERMINED.</w:t>
      </w:r>
    </w:p>
    <w:p>
      <w:pPr>
        <w:pStyle w:val="ListParagraph"/>
        <w:numPr>
          <w:ilvl w:val="0"/>
          <w:numId w:val="21"/>
        </w:numPr>
        <w:spacing w:after="90" w:line="276"/>
      </w:pPr>
      <w:r>
        <w:rPr>
          <w:rFonts w:ascii="Calibri" w:cs="Calibri" w:eastAsia="Calibri" w:hAnsi="Calibri"/>
          <w:color w:val="1A1A1A"/>
          <w:sz w:val="21"/>
          <w:szCs w:val="21"/>
        </w:rPr>
        <w:t xml:space="preserve">Re-run with the retry option to clear transient fetch failures, then resolve remaining UNDETERMINED records by hand before building the queue.</w:t>
      </w:r>
    </w:p>
    <w:p>
      <w:pPr>
        <w:pStyle w:val="ListParagraph"/>
        <w:numPr>
          <w:ilvl w:val="0"/>
          <w:numId w:val="21"/>
        </w:numPr>
        <w:spacing w:after="90" w:line="276"/>
      </w:pPr>
      <w:r>
        <w:rPr>
          <w:rFonts w:ascii="Calibri" w:cs="Calibri" w:eastAsia="Calibri" w:hAnsi="Calibri"/>
          <w:color w:val="1A1A1A"/>
          <w:sz w:val="21"/>
          <w:szCs w:val="21"/>
        </w:rPr>
        <w:t xml:space="preserve">Stratify each block two ways: by originating frame, and by the lexicon proxy.</w:t>
      </w:r>
    </w:p>
    <w:p>
      <w:pPr>
        <w:pStyle w:val="ListParagraph"/>
        <w:numPr>
          <w:ilvl w:val="0"/>
          <w:numId w:val="21"/>
        </w:numPr>
        <w:spacing w:after="90" w:line="276"/>
      </w:pPr>
      <w:r>
        <w:rPr>
          <w:rFonts w:ascii="Calibri" w:cs="Calibri" w:eastAsia="Calibri" w:hAnsi="Calibri"/>
          <w:color w:val="1A1A1A"/>
          <w:sz w:val="21"/>
          <w:szCs w:val="21"/>
        </w:rPr>
        <w:t xml:space="preserve">Assign multi-frame records to the stratum of the frame listed first in the register, retaining the multi-frame provenance.</w:t>
      </w:r>
    </w:p>
    <w:p>
      <w:pPr>
        <w:pStyle w:val="ListParagraph"/>
        <w:numPr>
          <w:ilvl w:val="0"/>
          <w:numId w:val="21"/>
        </w:numPr>
        <w:spacing w:after="90" w:line="276"/>
      </w:pPr>
      <w:r>
        <w:rPr>
          <w:rFonts w:ascii="Calibri" w:cs="Calibri" w:eastAsia="Calibri" w:hAnsi="Calibri"/>
          <w:color w:val="1A1A1A"/>
          <w:sz w:val="21"/>
          <w:szCs w:val="21"/>
        </w:rPr>
        <w:t xml:space="preserve">Fix the draw order: round-robin rotation across a block's strata, random within each stratum, using a recorded seed. Where a stratum exhausts, the rotation continues over the remainder.</w:t>
      </w:r>
    </w:p>
    <w:p>
      <w:pPr>
        <w:pStyle w:val="ListParagraph"/>
        <w:numPr>
          <w:ilvl w:val="0"/>
          <w:numId w:val="21"/>
        </w:numPr>
        <w:spacing w:after="90" w:line="276"/>
      </w:pPr>
      <w:r>
        <w:rPr>
          <w:rFonts w:ascii="Calibri" w:cs="Calibri" w:eastAsia="Calibri" w:hAnsi="Calibri"/>
          <w:color w:val="1A1A1A"/>
          <w:sz w:val="21"/>
          <w:szCs w:val="21"/>
        </w:rPr>
        <w:t xml:space="preserve">Deposit the seed and the resulting queue order.</w:t>
      </w:r>
    </w:p>
    <w:tbl>
      <w:tblPr>
        <w:tblW w:type="dxa" w:w="9360"/>
        <w:tblBorders>
          <w:top w:val="single" w:color="EAF0F4" w:sz="2"/>
          <w:left w:val="single" w:color="065A82" w:sz="18"/>
          <w:bottom w:val="single" w:color="EAF0F4" w:sz="2"/>
          <w:right w:val="single" w:color="EAF0F4" w:sz="2"/>
          <w:insideH w:val="none"/>
          <w:insideV w:val="none"/>
        </w:tblBorders>
      </w:tblPr>
      <w:tblGrid>
        <w:gridCol w:w="9360"/>
      </w:tblGrid>
      <w:tr>
        <w:tc>
          <w:tcPr>
            <w:tcW w:type="dxa" w:w="9360"/>
            <w:shd w:fill="EAF0F4" w:val="clear"/>
            <w:tcMar>
              <w:top w:type="dxa" w:w="140"/>
              <w:left w:type="dxa" w:w="200"/>
              <w:bottom w:type="dxa" w:w="140"/>
              <w:right w:type="dxa" w:w="200"/>
            </w:tcMar>
          </w:tcPr>
          <w:p>
            <w:pPr>
              <w:spacing w:after="60" w:line="276"/>
            </w:pPr>
            <w:r>
              <w:rPr>
                <w:rFonts w:ascii="Calibri" w:cs="Calibri" w:eastAsia="Calibri" w:hAnsi="Calibri"/>
                <w:b/>
                <w:bCs/>
                <w:color w:val="065A82"/>
                <w:sz w:val="19"/>
                <w:szCs w:val="19"/>
              </w:rPr>
              <w:t xml:space="preserve">RULE</w:t>
            </w:r>
          </w:p>
          <w:p>
            <w:pPr>
              <w:spacing w:after="0" w:line="276"/>
            </w:pPr>
            <w:r>
              <w:rPr>
                <w:rFonts w:ascii="Calibri" w:cs="Calibri" w:eastAsia="Calibri" w:hAnsi="Calibri"/>
                <w:color w:val="1A1A1A"/>
                <w:sz w:val="20"/>
                <w:szCs w:val="20"/>
              </w:rPr>
              <w:t xml:space="preserve">The proxy is a sampling aid. It is not the tier assignment, it is never reported as tier, and it never prefills the tier field. Tier requires the placement of the phrase and the identity of the speaker, which a text match cannot establish.</w:t>
            </w:r>
          </w:p>
        </w:tc>
      </w:tr>
    </w:tbl>
    <w:p>
      <w:pPr>
        <w:pStyle w:val="Heading2"/>
        <w:spacing w:after="140" w:before="320"/>
      </w:pPr>
      <w:r>
        <w:rPr>
          <w:rFonts w:ascii="Cambria" w:cs="Cambria" w:eastAsia="Cambria" w:hAnsi="Cambria"/>
          <w:b/>
          <w:bCs/>
          <w:color w:val="065A82"/>
          <w:sz w:val="26"/>
          <w:szCs w:val="26"/>
        </w:rPr>
        <w:t xml:space="preserve">O6 — Calibrate</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Establish that the instrument is codable before any analytic record is touched.</w:t>
      </w:r>
    </w:p>
    <w:p>
      <w:pPr>
        <w:spacing w:after="70" w:line="276"/>
      </w:pPr>
      <w:r>
        <w:rPr>
          <w:rFonts w:ascii="Calibri" w:cs="Calibri" w:eastAsia="Calibri" w:hAnsi="Calibri"/>
          <w:b/>
          <w:bCs/>
          <w:color w:val="065A82"/>
          <w:sz w:val="20"/>
          <w:szCs w:val="20"/>
        </w:rPr>
        <w:t xml:space="preserve">Owner  </w:t>
      </w:r>
      <w:r>
        <w:rPr>
          <w:rFonts w:ascii="Calibri" w:cs="Calibri" w:eastAsia="Calibri" w:hAnsi="Calibri"/>
          <w:color w:val="1A1A1A"/>
          <w:sz w:val="20"/>
          <w:szCs w:val="20"/>
        </w:rPr>
        <w:t xml:space="preserve">All three coders.</w:t>
      </w:r>
    </w:p>
    <w:p>
      <w:pPr>
        <w:pStyle w:val="ListParagraph"/>
        <w:numPr>
          <w:ilvl w:val="0"/>
          <w:numId w:val="22"/>
        </w:numPr>
        <w:spacing w:after="90" w:line="276"/>
      </w:pPr>
      <w:r>
        <w:rPr>
          <w:rFonts w:ascii="Calibri" w:cs="Calibri" w:eastAsia="Calibri" w:hAnsi="Calibri"/>
          <w:color w:val="1A1A1A"/>
          <w:sz w:val="21"/>
          <w:szCs w:val="21"/>
        </w:rPr>
        <w:t xml:space="preserve">Draw approximately 20 organizations spanning all three blocks.</w:t>
      </w:r>
    </w:p>
    <w:p>
      <w:pPr>
        <w:pStyle w:val="ListParagraph"/>
        <w:numPr>
          <w:ilvl w:val="0"/>
          <w:numId w:val="22"/>
        </w:numPr>
        <w:spacing w:after="90" w:line="276"/>
      </w:pPr>
      <w:r>
        <w:rPr>
          <w:rFonts w:ascii="Calibri" w:cs="Calibri" w:eastAsia="Calibri" w:hAnsi="Calibri"/>
          <w:color w:val="1A1A1A"/>
          <w:sz w:val="21"/>
          <w:szCs w:val="21"/>
        </w:rPr>
        <w:t xml:space="preserve">All three coders code them independently on the full instrument.</w:t>
      </w:r>
    </w:p>
    <w:p>
      <w:pPr>
        <w:pStyle w:val="ListParagraph"/>
        <w:numPr>
          <w:ilvl w:val="0"/>
          <w:numId w:val="22"/>
        </w:numPr>
        <w:spacing w:after="90" w:line="276"/>
      </w:pPr>
      <w:r>
        <w:rPr>
          <w:rFonts w:ascii="Calibri" w:cs="Calibri" w:eastAsia="Calibri" w:hAnsi="Calibri"/>
          <w:color w:val="1A1A1A"/>
          <w:sz w:val="21"/>
          <w:szCs w:val="21"/>
        </w:rPr>
        <w:t xml:space="preserve">Discuss. Revise the codebook and field wording where disagreement is attributable to the instrument rather than the coder — in particular the four framework dimensions, which went unanswered across the whole prior exploratory collection.</w:t>
      </w:r>
    </w:p>
    <w:p>
      <w:pPr>
        <w:pStyle w:val="ListParagraph"/>
        <w:numPr>
          <w:ilvl w:val="0"/>
          <w:numId w:val="22"/>
        </w:numPr>
        <w:spacing w:after="90" w:line="276"/>
      </w:pPr>
      <w:r>
        <w:rPr>
          <w:rFonts w:ascii="Calibri" w:cs="Calibri" w:eastAsia="Calibri" w:hAnsi="Calibri"/>
          <w:color w:val="1A1A1A"/>
          <w:sz w:val="21"/>
          <w:szCs w:val="21"/>
        </w:rPr>
        <w:t xml:space="preserve">Repeat on a fresh set of approximately 20.</w:t>
      </w:r>
    </w:p>
    <w:p>
      <w:pPr>
        <w:pStyle w:val="ListParagraph"/>
        <w:numPr>
          <w:ilvl w:val="0"/>
          <w:numId w:val="22"/>
        </w:numPr>
        <w:spacing w:after="90" w:line="276"/>
      </w:pPr>
      <w:r>
        <w:rPr>
          <w:rFonts w:ascii="Calibri" w:cs="Calibri" w:eastAsia="Calibri" w:hAnsi="Calibri"/>
          <w:color w:val="1A1A1A"/>
          <w:sz w:val="21"/>
          <w:szCs w:val="21"/>
        </w:rPr>
        <w:t xml:space="preserve">Compute agreement on the final round and report it.</w:t>
      </w:r>
    </w:p>
    <w:p>
      <w:pPr>
        <w:pStyle w:val="ListParagraph"/>
        <w:numPr>
          <w:ilvl w:val="0"/>
          <w:numId w:val="22"/>
        </w:numPr>
        <w:spacing w:after="90" w:line="276"/>
      </w:pPr>
      <w:r>
        <w:rPr>
          <w:rFonts w:ascii="Calibri" w:cs="Calibri" w:eastAsia="Calibri" w:hAnsi="Calibri"/>
          <w:color w:val="1A1A1A"/>
          <w:sz w:val="21"/>
          <w:szCs w:val="21"/>
        </w:rPr>
        <w:t xml:space="preserve">Validate all three AI roles against the adjudicated calibration values before any analytic record is processed.</w:t>
      </w:r>
    </w:p>
    <w:p>
      <w:pPr>
        <w:pStyle w:val="ListParagraph"/>
        <w:numPr>
          <w:ilvl w:val="0"/>
          <w:numId w:val="22"/>
        </w:numPr>
        <w:spacing w:after="90" w:line="276"/>
      </w:pPr>
      <w:r>
        <w:rPr>
          <w:rFonts w:ascii="Calibri" w:cs="Calibri" w:eastAsia="Calibri" w:hAnsi="Calibri"/>
          <w:color w:val="1A1A1A"/>
          <w:sz w:val="21"/>
          <w:szCs w:val="21"/>
        </w:rPr>
        <w:t xml:space="preserve">Discard calibration records from the analytic dataset.</w:t>
      </w: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BENCHMARK, NOT A GATE</w:t>
            </w:r>
          </w:p>
          <w:p>
            <w:pPr>
              <w:spacing w:after="0" w:line="276"/>
            </w:pPr>
            <w:r>
              <w:rPr>
                <w:rFonts w:ascii="Calibri" w:cs="Calibri" w:eastAsia="Calibri" w:hAnsi="Calibri"/>
                <w:color w:val="1A1A1A"/>
                <w:sz w:val="20"/>
                <w:szCs w:val="20"/>
              </w:rPr>
              <w:t xml:space="preserve">Cohen's κ ≥ 0.60 per judgment-dependent field. Failing it does not change who codes the field: double coding is retained regardless, because withdrawing it would remove the only mechanism that reveals the problem. A field still below benchmark is reported with its statistic, restricted to descriptive use, and excluded from comparative claims.</w:t>
            </w:r>
          </w:p>
        </w:tc>
      </w:tr>
    </w:tbl>
    <w:p>
      <w:pPr>
        <w:pStyle w:val="Heading2"/>
        <w:spacing w:after="140" w:before="320"/>
      </w:pPr>
      <w:r>
        <w:rPr>
          <w:rFonts w:ascii="Cambria" w:cs="Cambria" w:eastAsia="Cambria" w:hAnsi="Cambria"/>
          <w:b/>
          <w:bCs/>
          <w:color w:val="065A82"/>
          <w:sz w:val="26"/>
          <w:szCs w:val="26"/>
        </w:rPr>
        <w:t xml:space="preserve">O7 — Screen and code</w:t>
      </w:r>
    </w:p>
    <w:p>
      <w:pPr>
        <w:spacing w:after="70" w:line="276"/>
      </w:pPr>
      <w:r>
        <w:rPr>
          <w:rFonts w:ascii="Calibri" w:cs="Calibri" w:eastAsia="Calibri" w:hAnsi="Calibri"/>
          <w:b/>
          <w:bCs/>
          <w:color w:val="065A82"/>
          <w:sz w:val="20"/>
          <w:szCs w:val="20"/>
        </w:rPr>
        <w:t xml:space="preserve">Purpose  </w:t>
      </w:r>
      <w:r>
        <w:rPr>
          <w:rFonts w:ascii="Calibri" w:cs="Calibri" w:eastAsia="Calibri" w:hAnsi="Calibri"/>
          <w:color w:val="1A1A1A"/>
          <w:sz w:val="20"/>
          <w:szCs w:val="20"/>
        </w:rPr>
        <w:t xml:space="preserve">Produce the coded sample.</w:t>
      </w:r>
    </w:p>
    <w:p>
      <w:pPr>
        <w:pStyle w:val="Heading3"/>
        <w:spacing w:after="100" w:before="220"/>
      </w:pPr>
      <w:r>
        <w:rPr>
          <w:rFonts w:ascii="Calibri" w:cs="Calibri" w:eastAsia="Calibri" w:hAnsi="Calibri"/>
          <w:b/>
          <w:bCs/>
          <w:color w:val="1C7293"/>
          <w:sz w:val="22"/>
          <w:szCs w:val="22"/>
        </w:rPr>
        <w:t xml:space="preserve">Per record, in order</w:t>
      </w:r>
    </w:p>
    <w:p>
      <w:pPr>
        <w:pStyle w:val="ListParagraph"/>
        <w:numPr>
          <w:ilvl w:val="0"/>
          <w:numId w:val="23"/>
        </w:numPr>
        <w:spacing w:after="90" w:line="276"/>
      </w:pPr>
      <w:r>
        <w:rPr>
          <w:rFonts w:ascii="Calibri" w:cs="Calibri" w:eastAsia="Calibri" w:hAnsi="Calibri"/>
          <w:color w:val="1A1A1A"/>
          <w:sz w:val="21"/>
          <w:szCs w:val="21"/>
        </w:rPr>
        <w:t xml:space="preserve">Draw the next record from the fixed queue.</w:t>
      </w:r>
    </w:p>
    <w:p>
      <w:pPr>
        <w:pStyle w:val="ListParagraph"/>
        <w:numPr>
          <w:ilvl w:val="0"/>
          <w:numId w:val="23"/>
        </w:numPr>
        <w:spacing w:after="90" w:line="276"/>
      </w:pPr>
      <w:r>
        <w:rPr>
          <w:rFonts w:ascii="Calibri" w:cs="Calibri" w:eastAsia="Calibri" w:hAnsi="Calibri"/>
          <w:color w:val="1A1A1A"/>
          <w:sz w:val="21"/>
          <w:szCs w:val="21"/>
        </w:rPr>
        <w:t xml:space="preserve">Apply C3, C4 and C5. Both research assistants code these independently; the lead reviewer adjudicates every disagreement.</w:t>
      </w:r>
    </w:p>
    <w:p>
      <w:pPr>
        <w:pStyle w:val="ListParagraph"/>
        <w:numPr>
          <w:ilvl w:val="0"/>
          <w:numId w:val="23"/>
        </w:numPr>
        <w:spacing w:after="90" w:line="276"/>
      </w:pPr>
      <w:r>
        <w:rPr>
          <w:rFonts w:ascii="Calibri" w:cs="Calibri" w:eastAsia="Calibri" w:hAnsi="Calibri"/>
          <w:color w:val="1A1A1A"/>
          <w:sz w:val="21"/>
          <w:szCs w:val="21"/>
        </w:rPr>
        <w:t xml:space="preserve">For a record passing all criteria, code the Group 2 self-label fields: AI Role 2 returns candidate passages with exact character spans, and one research assistant decides every value — verbatim phrase, lexicon term matched, placement, speaker, non-lexicon self-description, and tier.</w:t>
      </w:r>
    </w:p>
    <w:p>
      <w:pPr>
        <w:pStyle w:val="ListParagraph"/>
        <w:numPr>
          <w:ilvl w:val="0"/>
          <w:numId w:val="23"/>
        </w:numPr>
        <w:spacing w:after="90" w:line="276"/>
      </w:pPr>
      <w:r>
        <w:rPr>
          <w:rFonts w:ascii="Calibri" w:cs="Calibri" w:eastAsia="Calibri" w:hAnsi="Calibri"/>
          <w:color w:val="1A1A1A"/>
          <w:sz w:val="21"/>
          <w:szCs w:val="21"/>
        </w:rPr>
        <w:t xml:space="preserve">Code status as active, dormant, or closed, with a date and a dated evidence artifact.</w:t>
      </w:r>
    </w:p>
    <w:p>
      <w:pPr>
        <w:pStyle w:val="ListParagraph"/>
        <w:numPr>
          <w:ilvl w:val="0"/>
          <w:numId w:val="23"/>
        </w:numPr>
        <w:spacing w:after="90" w:line="276"/>
      </w:pPr>
      <w:r>
        <w:rPr>
          <w:rFonts w:ascii="Calibri" w:cs="Calibri" w:eastAsia="Calibri" w:hAnsi="Calibri"/>
          <w:color w:val="1A1A1A"/>
          <w:sz w:val="21"/>
          <w:szCs w:val="21"/>
        </w:rPr>
        <w:t xml:space="preserve">Both research assistants code the four framework dimensions independently; the lead reviewer adjudicates.</w:t>
      </w:r>
    </w:p>
    <w:p>
      <w:pPr>
        <w:pStyle w:val="ListParagraph"/>
        <w:numPr>
          <w:ilvl w:val="0"/>
          <w:numId w:val="23"/>
        </w:numPr>
        <w:spacing w:after="90" w:line="276"/>
      </w:pPr>
      <w:r>
        <w:rPr>
          <w:rFonts w:ascii="Calibri" w:cs="Calibri" w:eastAsia="Calibri" w:hAnsi="Calibri"/>
          <w:color w:val="1A1A1A"/>
          <w:sz w:val="21"/>
          <w:szCs w:val="21"/>
        </w:rPr>
        <w:t xml:space="preserve">AI Role 3 codes C3, C4, C5 and the four dimensions blind. Withhold its output from all three humans until the adjudicated value is recorded.</w:t>
      </w:r>
    </w:p>
    <w:p>
      <w:pPr>
        <w:pStyle w:val="ListParagraph"/>
        <w:numPr>
          <w:ilvl w:val="0"/>
          <w:numId w:val="23"/>
        </w:numPr>
        <w:spacing w:after="90" w:line="276"/>
      </w:pPr>
      <w:r>
        <w:rPr>
          <w:rFonts w:ascii="Calibri" w:cs="Calibri" w:eastAsia="Calibri" w:hAnsi="Calibri"/>
          <w:color w:val="1A1A1A"/>
          <w:sz w:val="21"/>
          <w:szCs w:val="21"/>
        </w:rPr>
        <w:t xml:space="preserve">Archive a capture of every page supporting a self-label, a non-lexicon description, or a status determination.</w:t>
      </w:r>
    </w:p>
    <w:p>
      <w:pPr>
        <w:pStyle w:val="ListParagraph"/>
        <w:numPr>
          <w:ilvl w:val="0"/>
          <w:numId w:val="23"/>
        </w:numPr>
        <w:spacing w:after="90" w:line="276"/>
      </w:pPr>
      <w:r>
        <w:rPr>
          <w:rFonts w:ascii="Calibri" w:cs="Calibri" w:eastAsia="Calibri" w:hAnsi="Calibri"/>
          <w:color w:val="1A1A1A"/>
          <w:sz w:val="21"/>
          <w:szCs w:val="21"/>
        </w:rPr>
        <w:t xml:space="preserve">Record any field that cannot be determined as undetermined with a note, and route it to adjudication rather than assigning a value.</w:t>
      </w:r>
    </w:p>
    <w:p>
      <w:pPr>
        <w:pStyle w:val="Heading3"/>
        <w:spacing w:after="100" w:before="220"/>
      </w:pPr>
      <w:r>
        <w:rPr>
          <w:rFonts w:ascii="Calibri" w:cs="Calibri" w:eastAsia="Calibri" w:hAnsi="Calibri"/>
          <w:b/>
          <w:bCs/>
          <w:color w:val="1C7293"/>
          <w:sz w:val="22"/>
          <w:szCs w:val="22"/>
        </w:rPr>
        <w:t xml:space="preserve">Stopping</w:t>
      </w:r>
    </w:p>
    <w:p>
      <w:pPr>
        <w:pStyle w:val="ListParagraph"/>
        <w:numPr>
          <w:ilvl w:val="0"/>
          <w:numId w:val="24"/>
        </w:numPr>
        <w:spacing w:after="90" w:line="276"/>
      </w:pPr>
      <w:r>
        <w:rPr>
          <w:rFonts w:ascii="Calibri" w:cs="Calibri" w:eastAsia="Calibri" w:hAnsi="Calibri"/>
          <w:color w:val="1A1A1A"/>
          <w:sz w:val="21"/>
          <w:szCs w:val="21"/>
        </w:rPr>
        <w:t xml:space="preserve">Track, per block, the number of consecutively coded organizations producing no new code on the four dimensions or on ecosystem role.</w:t>
      </w:r>
    </w:p>
    <w:p>
      <w:pPr>
        <w:pStyle w:val="ListParagraph"/>
        <w:numPr>
          <w:ilvl w:val="0"/>
          <w:numId w:val="24"/>
        </w:numPr>
        <w:spacing w:after="90" w:line="276"/>
      </w:pPr>
      <w:r>
        <w:rPr>
          <w:rFonts w:ascii="Calibri" w:cs="Calibri" w:eastAsia="Calibri" w:hAnsi="Calibri"/>
          <w:color w:val="1A1A1A"/>
          <w:sz w:val="21"/>
          <w:szCs w:val="21"/>
        </w:rPr>
        <w:t xml:space="preserve">Stop sampling in a block when that count reaches six. Reset the count whenever a new code appears, and count only adjudicated new codes.</w:t>
      </w:r>
    </w:p>
    <w:p>
      <w:pPr>
        <w:pStyle w:val="ListParagraph"/>
        <w:numPr>
          <w:ilvl w:val="0"/>
          <w:numId w:val="24"/>
        </w:numPr>
        <w:spacing w:after="90" w:line="276"/>
      </w:pPr>
      <w:r>
        <w:rPr>
          <w:rFonts w:ascii="Calibri" w:cs="Calibri" w:eastAsia="Calibri" w:hAnsi="Calibri"/>
          <w:color w:val="1A1A1A"/>
          <w:sz w:val="21"/>
          <w:szCs w:val="21"/>
        </w:rPr>
        <w:t xml:space="preserve">Do not count records excluded at this pass, or frame-operator records, toward the six.</w:t>
      </w:r>
    </w:p>
    <w:p>
      <w:pPr>
        <w:pStyle w:val="ListParagraph"/>
        <w:numPr>
          <w:ilvl w:val="0"/>
          <w:numId w:val="24"/>
        </w:numPr>
        <w:spacing w:after="90" w:line="276"/>
      </w:pPr>
      <w:r>
        <w:rPr>
          <w:rFonts w:ascii="Calibri" w:cs="Calibri" w:eastAsia="Calibri" w:hAnsi="Calibri"/>
          <w:color w:val="1A1A1A"/>
          <w:sz w:val="21"/>
          <w:szCs w:val="21"/>
        </w:rPr>
        <w:t xml:space="preserve">If a block exhausts its frames before reaching six, report it as exhausted with the number coded and the state of the counter, and treat the exhaustion as a finding about that tradition's organizational density. Do not add frames to compensate.</w:t>
      </w: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CONFLICTS</w:t>
            </w:r>
          </w:p>
          <w:p>
            <w:pPr>
              <w:spacing w:after="0" w:line="276"/>
            </w:pPr>
            <w:r>
              <w:rPr>
                <w:rFonts w:ascii="Calibri" w:cs="Calibri" w:eastAsia="Calibri" w:hAnsi="Calibri"/>
                <w:color w:val="1A1A1A"/>
                <w:sz w:val="20"/>
                <w:szCs w:val="20"/>
              </w:rPr>
              <w:t xml:space="preserve">Records for any organization in which an author holds a governance or staff role — including the Alliance of Civic Technologists, which enters as a frame operator, and Code for Charlottesville — are coded independently by both research assistants. The conflicted author does not screen, code, adjudicate, or review them. Disagreements on those records are reported unadjudicated.</w:t>
            </w:r>
          </w:p>
        </w:tc>
      </w:tr>
    </w:tbl>
    <w:p>
      <w:pPr>
        <w:pStyle w:val="Heading2"/>
        <w:spacing w:after="140" w:before="320"/>
      </w:pPr>
      <w:r>
        <w:rPr>
          <w:rFonts w:ascii="Cambria" w:cs="Cambria" w:eastAsia="Cambria" w:hAnsi="Cambria"/>
          <w:b/>
          <w:bCs/>
          <w:color w:val="065A82"/>
          <w:sz w:val="26"/>
          <w:szCs w:val="26"/>
        </w:rPr>
        <w:t xml:space="preserve">O8 — Boundary audits and partner probe</w:t>
      </w:r>
    </w:p>
    <w:p>
      <w:pPr>
        <w:pStyle w:val="ListParagraph"/>
        <w:numPr>
          <w:ilvl w:val="0"/>
          <w:numId w:val="25"/>
        </w:numPr>
        <w:spacing w:after="90" w:line="276"/>
      </w:pPr>
      <w:r>
        <w:rPr>
          <w:rFonts w:ascii="Calibri" w:cs="Calibri" w:eastAsia="Calibri" w:hAnsi="Calibri"/>
          <w:color w:val="1A1A1A"/>
          <w:sz w:val="21"/>
          <w:szCs w:val="21"/>
        </w:rPr>
        <w:t xml:space="preserve">Draw 100 records at random, with a recorded seed, from the Civic Tech Field Guide's United States records not typed as organizations. Screen against C1.</w:t>
      </w:r>
    </w:p>
    <w:p>
      <w:pPr>
        <w:pStyle w:val="ListParagraph"/>
        <w:numPr>
          <w:ilvl w:val="0"/>
          <w:numId w:val="25"/>
        </w:numPr>
        <w:spacing w:after="90" w:line="276"/>
      </w:pPr>
      <w:r>
        <w:rPr>
          <w:rFonts w:ascii="Calibri" w:cs="Calibri" w:eastAsia="Calibri" w:hAnsi="Calibri"/>
          <w:color w:val="1A1A1A"/>
          <w:sz w:val="21"/>
          <w:szCs w:val="21"/>
        </w:rPr>
        <w:t xml:space="preserve">Draw 100 records the same way from United States records with no type recorded. Screen against C1.</w:t>
      </w:r>
    </w:p>
    <w:p>
      <w:pPr>
        <w:pStyle w:val="ListParagraph"/>
        <w:numPr>
          <w:ilvl w:val="0"/>
          <w:numId w:val="25"/>
        </w:numPr>
        <w:spacing w:after="90" w:line="276"/>
      </w:pPr>
      <w:r>
        <w:rPr>
          <w:rFonts w:ascii="Calibri" w:cs="Calibri" w:eastAsia="Calibri" w:hAnsi="Calibri"/>
          <w:color w:val="1A1A1A"/>
          <w:sz w:val="21"/>
          <w:szCs w:val="21"/>
        </w:rPr>
        <w:t xml:space="preserve">Run both audits to their full sample size regardless of interim results, and report the pass rates with confidence intervals as a bound on the frame's completeness.</w:t>
      </w:r>
    </w:p>
    <w:p>
      <w:pPr>
        <w:pStyle w:val="ListParagraph"/>
        <w:numPr>
          <w:ilvl w:val="0"/>
          <w:numId w:val="25"/>
        </w:numPr>
        <w:spacing w:after="90" w:line="276"/>
      </w:pPr>
      <w:r>
        <w:rPr>
          <w:rFonts w:ascii="Calibri" w:cs="Calibri" w:eastAsia="Calibri" w:hAnsi="Calibri"/>
          <w:color w:val="1A1A1A"/>
          <w:sz w:val="21"/>
          <w:szCs w:val="21"/>
        </w:rPr>
        <w:t xml:space="preserve">Assemble all organizations named in partner_orgs_named on included records that are not themselves in the candidate pool.</w:t>
      </w:r>
    </w:p>
    <w:p>
      <w:pPr>
        <w:pStyle w:val="ListParagraph"/>
        <w:numPr>
          <w:ilvl w:val="0"/>
          <w:numId w:val="25"/>
        </w:numPr>
        <w:spacing w:after="90" w:line="276"/>
      </w:pPr>
      <w:r>
        <w:rPr>
          <w:rFonts w:ascii="Calibri" w:cs="Calibri" w:eastAsia="Calibri" w:hAnsi="Calibri"/>
          <w:color w:val="1A1A1A"/>
          <w:sz w:val="21"/>
          <w:szCs w:val="21"/>
        </w:rPr>
        <w:t xml:space="preserve">Draw 50 at random with a recorded seed, and code them on the label fields only. If fewer than 50 exist, code all and report the number.</w:t>
      </w:r>
    </w:p>
    <w:p>
      <w:pPr>
        <w:pStyle w:val="Heading2"/>
        <w:spacing w:after="140" w:before="320"/>
      </w:pPr>
      <w:r>
        <w:rPr>
          <w:rFonts w:ascii="Cambria" w:cs="Cambria" w:eastAsia="Cambria" w:hAnsi="Cambria"/>
          <w:b/>
          <w:bCs/>
          <w:color w:val="065A82"/>
          <w:sz w:val="26"/>
          <w:szCs w:val="26"/>
        </w:rPr>
        <w:t xml:space="preserve">O9 — Validate and report</w:t>
      </w:r>
    </w:p>
    <w:p>
      <w:pPr>
        <w:pStyle w:val="Heading3"/>
        <w:spacing w:after="100" w:before="220"/>
      </w:pPr>
      <w:r>
        <w:rPr>
          <w:rFonts w:ascii="Calibri" w:cs="Calibri" w:eastAsia="Calibri" w:hAnsi="Calibri"/>
          <w:b/>
          <w:bCs/>
          <w:color w:val="1C7293"/>
          <w:sz w:val="22"/>
          <w:szCs w:val="22"/>
        </w:rPr>
        <w:t xml:space="preserve">Reliability</w:t>
      </w:r>
    </w:p>
    <w:p>
      <w:pPr>
        <w:pStyle w:val="ListParagraph"/>
        <w:numPr>
          <w:ilvl w:val="0"/>
          <w:numId w:val="26"/>
        </w:numPr>
        <w:spacing w:after="90" w:line="276"/>
      </w:pPr>
      <w:r>
        <w:rPr>
          <w:rFonts w:ascii="Calibri" w:cs="Calibri" w:eastAsia="Calibri" w:hAnsi="Calibri"/>
          <w:color w:val="1A1A1A"/>
          <w:sz w:val="21"/>
          <w:szCs w:val="21"/>
        </w:rPr>
        <w:t xml:space="preserve">Compute human-to-human κ over all coded records for each judgment-dependent field, at calibration, midpoint, and end, so drift is visible.</w:t>
      </w:r>
    </w:p>
    <w:p>
      <w:pPr>
        <w:pStyle w:val="ListParagraph"/>
        <w:numPr>
          <w:ilvl w:val="0"/>
          <w:numId w:val="26"/>
        </w:numPr>
        <w:spacing w:after="90" w:line="276"/>
      </w:pPr>
      <w:r>
        <w:rPr>
          <w:rFonts w:ascii="Calibri" w:cs="Calibri" w:eastAsia="Calibri" w:hAnsi="Calibri"/>
          <w:color w:val="1A1A1A"/>
          <w:sz w:val="21"/>
          <w:szCs w:val="21"/>
        </w:rPr>
        <w:t xml:space="preserve">Compute human-to-AI agreement separately, clearly labelled, so neither statistic is mistaken for the other.</w:t>
      </w:r>
    </w:p>
    <w:p>
      <w:pPr>
        <w:pStyle w:val="ListParagraph"/>
        <w:numPr>
          <w:ilvl w:val="0"/>
          <w:numId w:val="26"/>
        </w:numPr>
        <w:spacing w:after="90" w:line="276"/>
      </w:pPr>
      <w:r>
        <w:rPr>
          <w:rFonts w:ascii="Calibri" w:cs="Calibri" w:eastAsia="Calibri" w:hAnsi="Calibri"/>
          <w:color w:val="1A1A1A"/>
          <w:sz w:val="21"/>
          <w:szCs w:val="21"/>
        </w:rPr>
        <w:t xml:space="preserve">Review records where the model disagreed with both human coders, or where all three diverged, after adjudication is recorded. Log any resulting change with its reason and report the count.</w:t>
      </w:r>
    </w:p>
    <w:p>
      <w:pPr>
        <w:pStyle w:val="Heading3"/>
        <w:spacing w:after="100" w:before="220"/>
      </w:pPr>
      <w:r>
        <w:rPr>
          <w:rFonts w:ascii="Calibri" w:cs="Calibri" w:eastAsia="Calibri" w:hAnsi="Calibri"/>
          <w:b/>
          <w:bCs/>
          <w:color w:val="1C7293"/>
          <w:sz w:val="22"/>
          <w:szCs w:val="22"/>
        </w:rPr>
        <w:t xml:space="preserve">Analysis</w:t>
      </w:r>
    </w:p>
    <w:p>
      <w:pPr>
        <w:pStyle w:val="ListParagraph"/>
        <w:numPr>
          <w:ilvl w:val="0"/>
          <w:numId w:val="27"/>
        </w:numPr>
        <w:spacing w:after="90" w:line="276"/>
      </w:pPr>
      <w:r>
        <w:rPr>
          <w:rFonts w:ascii="Calibri" w:cs="Calibri" w:eastAsia="Calibri" w:hAnsi="Calibri"/>
          <w:color w:val="1A1A1A"/>
          <w:sz w:val="21"/>
          <w:szCs w:val="21"/>
        </w:rPr>
        <w:t xml:space="preserve">Report unique-organization yield per frame and per block.</w:t>
      </w:r>
    </w:p>
    <w:p>
      <w:pPr>
        <w:pStyle w:val="ListParagraph"/>
        <w:numPr>
          <w:ilvl w:val="0"/>
          <w:numId w:val="27"/>
        </w:numPr>
        <w:spacing w:after="90" w:line="276"/>
      </w:pPr>
      <w:r>
        <w:rPr>
          <w:rFonts w:ascii="Calibri" w:cs="Calibri" w:eastAsia="Calibri" w:hAnsi="Calibri"/>
          <w:color w:val="1A1A1A"/>
          <w:sz w:val="21"/>
          <w:szCs w:val="21"/>
        </w:rPr>
        <w:t xml:space="preserve">Report the unit-resolution rate. Compare Blocks B and C only; Block A is excluded because PIT-UN lists universities, so its rate reflects a listing convention rather than organizational form.</w:t>
      </w:r>
    </w:p>
    <w:p>
      <w:pPr>
        <w:pStyle w:val="ListParagraph"/>
        <w:numPr>
          <w:ilvl w:val="0"/>
          <w:numId w:val="27"/>
        </w:numPr>
        <w:spacing w:after="90" w:line="276"/>
      </w:pPr>
      <w:r>
        <w:rPr>
          <w:rFonts w:ascii="Calibri" w:cs="Calibri" w:eastAsia="Calibri" w:hAnsi="Calibri"/>
          <w:color w:val="1A1A1A"/>
          <w:sz w:val="21"/>
          <w:szCs w:val="21"/>
        </w:rPr>
        <w:t xml:space="preserve">Report frame redundancy per block as description only. Do not compare it across blocks as evidence of population size — Ford helped create the network PIT-UN enumerates, and ACT succeeded the sunset brigade network.</w:t>
      </w:r>
    </w:p>
    <w:p>
      <w:pPr>
        <w:pStyle w:val="ListParagraph"/>
        <w:numPr>
          <w:ilvl w:val="0"/>
          <w:numId w:val="27"/>
        </w:numPr>
        <w:spacing w:after="90" w:line="276"/>
      </w:pPr>
      <w:r>
        <w:rPr>
          <w:rFonts w:ascii="Calibri" w:cs="Calibri" w:eastAsia="Calibri" w:hAnsi="Calibri"/>
          <w:color w:val="1A1A1A"/>
          <w:sz w:val="21"/>
          <w:szCs w:val="21"/>
        </w:rPr>
        <w:t xml:space="preserve">Pool the non-lexicon self-descriptions and code them into emergent categories: both research assistants independently over the full set, lead reviewer adjudicating, no AI. Report which categories recur across organizations, which cut across blocks, and which appear among frame operators.</w:t>
      </w:r>
    </w:p>
    <w:p>
      <w:pPr>
        <w:pStyle w:val="ListParagraph"/>
        <w:numPr>
          <w:ilvl w:val="0"/>
          <w:numId w:val="27"/>
        </w:numPr>
        <w:spacing w:after="90" w:line="276"/>
      </w:pPr>
      <w:r>
        <w:rPr>
          <w:rFonts w:ascii="Calibri" w:cs="Calibri" w:eastAsia="Calibri" w:hAnsi="Calibri"/>
          <w:color w:val="1A1A1A"/>
          <w:sz w:val="21"/>
          <w:szCs w:val="21"/>
        </w:rPr>
        <w:t xml:space="preserve">Compare the organizational findings against the literature findings on the four framework dimensions, structurally rather than distributionally.</w:t>
      </w:r>
    </w:p>
    <w:p>
      <w:pPr>
        <w:pStyle w:val="Heading3"/>
        <w:spacing w:after="100" w:before="220"/>
      </w:pPr>
      <w:r>
        <w:rPr>
          <w:rFonts w:ascii="Calibri" w:cs="Calibri" w:eastAsia="Calibri" w:hAnsi="Calibri"/>
          <w:b/>
          <w:bCs/>
          <w:color w:val="1C7293"/>
          <w:sz w:val="22"/>
          <w:szCs w:val="22"/>
        </w:rPr>
        <w:t xml:space="preserve">Sensitivity</w:t>
      </w:r>
    </w:p>
    <w:p>
      <w:pPr>
        <w:pStyle w:val="ListParagraph"/>
        <w:numPr>
          <w:ilvl w:val="0"/>
          <w:numId w:val="15"/>
        </w:numPr>
        <w:spacing w:after="80" w:line="276"/>
      </w:pPr>
      <w:r>
        <w:rPr>
          <w:rFonts w:ascii="Calibri" w:cs="Calibri" w:eastAsia="Calibri" w:hAnsi="Calibri"/>
          <w:color w:val="1A1A1A"/>
          <w:sz w:val="21"/>
          <w:szCs w:val="21"/>
        </w:rPr>
        <w:t xml:space="preserve">Activity sensitivity: re-run the main descriptive results excluding dormant and closed organizations.</w:t>
      </w:r>
    </w:p>
    <w:p>
      <w:pPr>
        <w:pStyle w:val="ListParagraph"/>
        <w:numPr>
          <w:ilvl w:val="0"/>
          <w:numId w:val="15"/>
        </w:numPr>
        <w:spacing w:after="80" w:line="276"/>
      </w:pPr>
      <w:r>
        <w:rPr>
          <w:rFonts w:ascii="Calibri" w:cs="Calibri" w:eastAsia="Calibri" w:hAnsi="Calibri"/>
          <w:color w:val="1A1A1A"/>
          <w:sz w:val="21"/>
          <w:szCs w:val="21"/>
        </w:rPr>
        <w:t xml:space="preserve">Leave-one-frame-out: re-run block-level results dropping each frame in turn.</w:t>
      </w:r>
    </w:p>
    <w:p>
      <w:pPr>
        <w:pStyle w:val="ListParagraph"/>
        <w:numPr>
          <w:ilvl w:val="0"/>
          <w:numId w:val="15"/>
        </w:numPr>
        <w:spacing w:after="80" w:line="276"/>
      </w:pPr>
      <w:r>
        <w:rPr>
          <w:rFonts w:ascii="Calibri" w:cs="Calibri" w:eastAsia="Calibri" w:hAnsi="Calibri"/>
          <w:color w:val="1A1A1A"/>
          <w:sz w:val="21"/>
          <w:szCs w:val="21"/>
        </w:rPr>
        <w:t xml:space="preserve">Multi-frame subset: analyze organizations claimed by frames from two or more blocks, but only where the subset reaches ten; below that, report it as not conducted with the count and the organizations listed.</w:t>
      </w:r>
    </w:p>
    <w:p>
      <w:pPr>
        <w:pStyle w:val="ListParagraph"/>
        <w:numPr>
          <w:ilvl w:val="0"/>
          <w:numId w:val="15"/>
        </w:numPr>
        <w:spacing w:after="80" w:line="276"/>
      </w:pPr>
      <w:r>
        <w:rPr>
          <w:rFonts w:ascii="Calibri" w:cs="Calibri" w:eastAsia="Calibri" w:hAnsi="Calibri"/>
          <w:color w:val="1A1A1A"/>
          <w:sz w:val="21"/>
          <w:szCs w:val="21"/>
        </w:rPr>
        <w:t xml:space="preserve">Unit-resolution bound: report the counts of unresolvable, unit_unresolved, and unit_known_not_surfaced records per frame. This is a reported bound, not a recomputation — those records are deliberately uncoded.</w:t>
      </w:r>
    </w:p>
    <w:p>
      <w:pPr>
        <w:pStyle w:val="Heading3"/>
        <w:spacing w:after="100" w:before="220"/>
      </w:pPr>
      <w:r>
        <w:rPr>
          <w:rFonts w:ascii="Calibri" w:cs="Calibri" w:eastAsia="Calibri" w:hAnsi="Calibri"/>
          <w:b/>
          <w:bCs/>
          <w:color w:val="1C7293"/>
          <w:sz w:val="22"/>
          <w:szCs w:val="22"/>
        </w:rPr>
        <w:t xml:space="preserve">Reporting rules</w:t>
      </w:r>
    </w:p>
    <w:p>
      <w:pPr>
        <w:pStyle w:val="ListParagraph"/>
        <w:numPr>
          <w:ilvl w:val="0"/>
          <w:numId w:val="28"/>
        </w:numPr>
        <w:spacing w:after="90" w:line="276"/>
      </w:pPr>
      <w:r>
        <w:rPr>
          <w:rFonts w:ascii="Calibri" w:cs="Calibri" w:eastAsia="Calibri" w:hAnsi="Calibri"/>
          <w:color w:val="1A1A1A"/>
          <w:sz w:val="21"/>
          <w:szCs w:val="21"/>
        </w:rPr>
        <w:t xml:space="preserve">Report every result per frame before any pooled figure.</w:t>
      </w:r>
    </w:p>
    <w:p>
      <w:pPr>
        <w:pStyle w:val="ListParagraph"/>
        <w:numPr>
          <w:ilvl w:val="0"/>
          <w:numId w:val="28"/>
        </w:numPr>
        <w:spacing w:after="90" w:line="276"/>
      </w:pPr>
      <w:r>
        <w:rPr>
          <w:rFonts w:ascii="Calibri" w:cs="Calibri" w:eastAsia="Calibri" w:hAnsi="Calibri"/>
          <w:color w:val="1A1A1A"/>
          <w:sz w:val="21"/>
          <w:szCs w:val="21"/>
        </w:rPr>
        <w:t xml:space="preserve">Attach a population statement to every figure: which frames, which block, whether operators are included, and whether the denominator is the enumerated pool, the screened pool, or the coded sample.</w:t>
      </w:r>
    </w:p>
    <w:p>
      <w:pPr>
        <w:pStyle w:val="ListParagraph"/>
        <w:numPr>
          <w:ilvl w:val="0"/>
          <w:numId w:val="28"/>
        </w:numPr>
        <w:spacing w:after="90" w:line="276"/>
      </w:pPr>
      <w:r>
        <w:rPr>
          <w:rFonts w:ascii="Calibri" w:cs="Calibri" w:eastAsia="Calibri" w:hAnsi="Calibri"/>
          <w:color w:val="1A1A1A"/>
          <w:sz w:val="21"/>
          <w:szCs w:val="21"/>
        </w:rPr>
        <w:t xml:space="preserve">Report screening pass rates and tier rates per frame only, alongside a statement of what that frame selects for. Do not aggregate them to block level or compare them across blocks.</w:t>
      </w:r>
    </w:p>
    <w:p>
      <w:pPr>
        <w:pStyle w:val="ListParagraph"/>
        <w:numPr>
          <w:ilvl w:val="0"/>
          <w:numId w:val="28"/>
        </w:numPr>
        <w:spacing w:after="90" w:line="276"/>
      </w:pPr>
      <w:r>
        <w:rPr>
          <w:rFonts w:ascii="Calibri" w:cs="Calibri" w:eastAsia="Calibri" w:hAnsi="Calibri"/>
          <w:color w:val="1A1A1A"/>
          <w:sz w:val="21"/>
          <w:szCs w:val="21"/>
        </w:rPr>
        <w:t xml:space="preserve">Report no population-level proportion, coverage estimate, or rate over any population beyond the frame set.</w:t>
      </w:r>
    </w:p>
    <w:p>
      <w:pPr>
        <w:pStyle w:val="ListParagraph"/>
        <w:numPr>
          <w:ilvl w:val="0"/>
          <w:numId w:val="28"/>
        </w:numPr>
        <w:spacing w:after="90" w:line="276"/>
      </w:pPr>
      <w:r>
        <w:rPr>
          <w:rFonts w:ascii="Calibri" w:cs="Calibri" w:eastAsia="Calibri" w:hAnsi="Calibri"/>
          <w:color w:val="1A1A1A"/>
          <w:sz w:val="21"/>
          <w:szCs w:val="21"/>
        </w:rPr>
        <w:t xml:space="preserve">Report the proportion of undetermined values per field as a finding about what organizations disclose.</w:t>
      </w:r>
    </w:p>
    <w:p>
      <w:r>
        <w:br w:type="page"/>
      </w:r>
    </w:p>
    <w:p>
      <w:pPr>
        <w:pStyle w:val="Heading1"/>
        <w:spacing w:after="200" w:before="360"/>
      </w:pPr>
      <w:r>
        <w:rPr>
          <w:rFonts w:ascii="Cambria" w:cs="Cambria" w:eastAsia="Cambria" w:hAnsi="Cambria"/>
          <w:b/>
          <w:bCs/>
          <w:color w:val="12263A"/>
          <w:sz w:val="32"/>
          <w:szCs w:val="32"/>
        </w:rPr>
        <w:t xml:space="preserve">Appendix — Cross-strand dependencies</w:t>
      </w:r>
    </w:p>
    <w:p>
      <w:pPr>
        <w:spacing w:after="120" w:line="276"/>
      </w:pPr>
      <w:r>
        <w:rPr>
          <w:rFonts w:ascii="Calibri" w:cs="Calibri" w:eastAsia="Calibri" w:hAnsi="Calibri"/>
          <w:color w:val="5A6B78"/>
          <w:sz w:val="21"/>
          <w:szCs w:val="21"/>
        </w:rPr>
        <w:t xml:space="preserve">Four points where the strands touch, and one place where they must not.</w:t>
      </w:r>
    </w:p>
    <w:p>
      <w:pPr>
        <w:spacing w:after="80"/>
      </w:pPr>
    </w:p>
    <w:tbl>
      <w:tblPr>
        <w:tblW w:type="dxa" w:w="9360"/>
        <w:tblBorders>
          <w:top w:val="single" w:color="C9D6DF" w:sz="4"/>
          <w:left w:val="none"/>
          <w:bottom w:val="single" w:color="C9D6DF" w:sz="4"/>
          <w:right w:val="none"/>
          <w:insideH w:val="single" w:color="DCE5EB" w:sz="2"/>
          <w:insideV w:val="none"/>
        </w:tblBorders>
      </w:tblPr>
      <w:tblGrid>
        <w:gridCol w:w="2400"/>
        <w:gridCol w:w="6960"/>
      </w:tblGrid>
      <w:tr>
        <w:trPr>
          <w:tblHeader/>
        </w:trPr>
        <w:tc>
          <w:tcPr>
            <w:tcW w:type="dxa" w:w="240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Point</w:t>
            </w:r>
          </w:p>
        </w:tc>
        <w:tc>
          <w:tcPr>
            <w:tcW w:type="dxa" w:w="6960"/>
            <w:shd w:fill="EAF0F4" w:val="clear"/>
            <w:tcMar>
              <w:top w:type="dxa" w:w="100"/>
              <w:left w:type="dxa" w:w="120"/>
              <w:bottom w:type="dxa" w:w="100"/>
              <w:right w:type="dxa" w:w="120"/>
            </w:tcMar>
          </w:tcPr>
          <w:p>
            <w:pPr>
              <w:spacing w:after="0" w:line="276"/>
            </w:pPr>
            <w:r>
              <w:rPr>
                <w:rFonts w:ascii="Calibri" w:cs="Calibri" w:eastAsia="Calibri" w:hAnsi="Calibri"/>
                <w:b/>
                <w:bCs/>
                <w:color w:val="12263A"/>
                <w:sz w:val="19"/>
                <w:szCs w:val="19"/>
              </w:rPr>
              <w:t xml:space="preserve">Dependency</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Registration freeze</w:t>
            </w:r>
          </w:p>
        </w:tc>
        <w:tc>
          <w:tcPr>
            <w:tcW w:type="dxa" w:w="69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Neither strand starts until the update is frozen. Hard dependency.</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Framework dimensions</w:t>
            </w:r>
          </w:p>
        </w:tc>
        <w:tc>
          <w:tcPr>
            <w:tcW w:type="dxa" w:w="69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Both strands code the same four dimensions. A change to the wording at either pilot must be carried to the other strand's instrument, or the synthesis loses its common axis.</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Synthesis</w:t>
            </w:r>
          </w:p>
        </w:tc>
        <w:tc>
          <w:tcPr>
            <w:tcW w:type="dxa" w:w="69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L9 Tier 3 and O9 both feed the final comparison. Both must reach charting before the comparison begins.</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Lexicon</w:t>
            </w:r>
          </w:p>
        </w:tc>
        <w:tc>
          <w:tcPr>
            <w:tcW w:type="dxa" w:w="69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The frozen lexicon governs the organizational strand only. If the literature strand surfaces a term absent from it, that is a finding, not a reason to amend the lexicon mid-collection.</w:t>
            </w:r>
          </w:p>
        </w:tc>
      </w:tr>
      <w:tr>
        <w:tc>
          <w:tcPr>
            <w:tcW w:type="dxa" w:w="240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What must not touch</w:t>
            </w:r>
          </w:p>
        </w:tc>
        <w:tc>
          <w:tcPr>
            <w:tcW w:type="dxa" w:w="6960"/>
            <w:tcMar>
              <w:top w:type="dxa" w:w="90"/>
              <w:left w:type="dxa" w:w="120"/>
              <w:bottom w:type="dxa" w:w="90"/>
              <w:right w:type="dxa" w:w="120"/>
            </w:tcMar>
          </w:tcPr>
          <w:p>
            <w:pPr>
              <w:spacing w:after="0" w:line="276"/>
            </w:pPr>
            <w:r>
              <w:rPr>
                <w:rFonts w:ascii="Calibri" w:cs="Calibri" w:eastAsia="Calibri" w:hAnsi="Calibri"/>
                <w:color w:val="1A1A1A"/>
                <w:sz w:val="19"/>
                <w:szCs w:val="19"/>
              </w:rPr>
              <w:t xml:space="preserve">Organizations encountered incidentally during the literature search do not enter the organizational candidate pool. The frame register is the sole route in.</w:t>
            </w:r>
          </w:p>
        </w:tc>
      </w:tr>
    </w:tbl>
    <w:p>
      <w:pPr>
        <w:spacing w:after="200"/>
      </w:pPr>
    </w:p>
    <w:tbl>
      <w:tblPr>
        <w:tblW w:type="dxa" w:w="9360"/>
        <w:tblBorders>
          <w:top w:val="single" w:color="FBF0DC" w:sz="2"/>
          <w:left w:val="single" w:color="8A5300" w:sz="18"/>
          <w:bottom w:val="single" w:color="FBF0DC" w:sz="2"/>
          <w:right w:val="single" w:color="FBF0DC" w:sz="2"/>
          <w:insideH w:val="none"/>
          <w:insideV w:val="none"/>
        </w:tblBorders>
      </w:tblPr>
      <w:tblGrid>
        <w:gridCol w:w="9360"/>
      </w:tblGrid>
      <w:tr>
        <w:tc>
          <w:tcPr>
            <w:tcW w:type="dxa" w:w="9360"/>
            <w:shd w:fill="FBF0DC" w:val="clear"/>
            <w:tcMar>
              <w:top w:type="dxa" w:w="140"/>
              <w:left w:type="dxa" w:w="200"/>
              <w:bottom w:type="dxa" w:w="140"/>
              <w:right w:type="dxa" w:w="200"/>
            </w:tcMar>
          </w:tcPr>
          <w:p>
            <w:pPr>
              <w:spacing w:after="60" w:line="276"/>
            </w:pPr>
            <w:r>
              <w:rPr>
                <w:rFonts w:ascii="Calibri" w:cs="Calibri" w:eastAsia="Calibri" w:hAnsi="Calibri"/>
                <w:b/>
                <w:bCs/>
                <w:color w:val="8A5300"/>
                <w:sz w:val="19"/>
                <w:szCs w:val="19"/>
              </w:rPr>
              <w:t xml:space="preserve">CAPACITY</w:t>
            </w:r>
          </w:p>
          <w:p>
            <w:pPr>
              <w:spacing w:after="0" w:line="276"/>
            </w:pPr>
            <w:r>
              <w:rPr>
                <w:rFonts w:ascii="Calibri" w:cs="Calibri" w:eastAsia="Calibri" w:hAnsi="Calibri"/>
                <w:color w:val="1A1A1A"/>
                <w:sz w:val="20"/>
                <w:szCs w:val="20"/>
              </w:rPr>
              <w:t xml:space="preserve">The organizational strand is estimated at roughly 480 combined research-assistant hours and 135 lead-reviewer hours — about 1.5 to 1.7 semesters for two assistants at ten hours a week. Coding the sample and the first screening pass are together about sixty per cent of that. Nothing in the protocol is time-boxed, so extending across two semesters requires no registration change; adding a third assistant likewise does not.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40"/>
      <w:jc w:val="right"/>
    </w:pPr>
    <w:r>
      <w:rPr>
        <w:rFonts w:ascii="Calibri" w:cs="Calibri" w:eastAsia="Calibri" w:hAnsi="Calibri"/>
        <w:color w:val="5A6B78"/>
        <w:sz w:val="16"/>
        <w:szCs w:val="16"/>
      </w:rPr>
      <w:t xml:space="preserve">TPG — Step-by-Step Execution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bullet"/>
      <w:lvlText w:val="•"/>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2026-08-18T12:22:11.246Z</dcterms:created>
  <dcterms:modified xsi:type="dcterms:W3CDTF">2026-08-18T12:22:11.246Z</dcterms:modified>
</cp:coreProperties>
</file>

<file path=docProps/custom.xml><?xml version="1.0" encoding="utf-8"?>
<Properties xmlns="http://schemas.openxmlformats.org/officeDocument/2006/custom-properties" xmlns:vt="http://schemas.openxmlformats.org/officeDocument/2006/docPropsVTypes"/>
</file>