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/>
          <w:sz w:val="28"/>
        </w:rPr>
      </w:pPr>
    </w:p>
    <w:p>
      <w:pPr>
        <w:snapToGrid w:val="0"/>
        <w:spacing w:line="620" w:lineRule="atLeast"/>
        <w:jc w:val="center"/>
        <w:rPr>
          <w:rFonts w:hint="eastAsia" w:ascii="宋体" w:hAnsi="宋体" w:eastAsia="宋体"/>
          <w:b/>
          <w:spacing w:val="40"/>
          <w:sz w:val="44"/>
          <w:szCs w:val="44"/>
        </w:rPr>
      </w:pPr>
      <w:r>
        <w:rPr>
          <w:rFonts w:hint="eastAsia" w:ascii="宋体" w:hAnsi="宋体" w:eastAsia="宋体"/>
          <w:b/>
          <w:spacing w:val="40"/>
          <w:sz w:val="44"/>
          <w:szCs w:val="44"/>
        </w:rPr>
        <w:t>华电莱州发电有限公司</w:t>
      </w:r>
    </w:p>
    <w:p>
      <w:pPr>
        <w:spacing w:line="360" w:lineRule="auto"/>
        <w:jc w:val="center"/>
        <w:rPr>
          <w:rFonts w:hint="eastAsia" w:ascii="宋体" w:hAnsi="宋体" w:eastAsia="宋体"/>
          <w:b/>
          <w:spacing w:val="40"/>
          <w:sz w:val="32"/>
        </w:rPr>
      </w:pPr>
    </w:p>
    <w:p>
      <w:pPr>
        <w:spacing w:line="360" w:lineRule="auto"/>
        <w:jc w:val="center"/>
        <w:rPr>
          <w:rFonts w:hint="eastAsia" w:ascii="宋体" w:hAnsi="宋体" w:eastAsia="宋体"/>
          <w:b/>
          <w:spacing w:val="40"/>
          <w:sz w:val="32"/>
        </w:rPr>
      </w:pPr>
      <w:r>
        <w:rPr>
          <w:rFonts w:hint="eastAsia" w:ascii="宋体" w:hAnsi="宋体" w:eastAsia="宋体"/>
          <w:b/>
          <w:spacing w:val="4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5168265" cy="635"/>
                <wp:effectExtent l="0" t="28575" r="13335" b="469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63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pt;margin-top:13.9pt;height:0.05pt;width:406.95pt;z-index:251659264;mso-width-relative:page;mso-height-relative:page;" filled="f" stroked="t" coordsize="21600,21600" o:gfxdata="UEsDBAoAAAAAAIdO4kAAAAAAAAAAAAAAAAAEAAAAZHJzL1BLAwQUAAAACACHTuJAVZZNadgAAAAI&#10;AQAADwAAAGRycy9kb3ducmV2LnhtbE2PMU/DMBCFdyT+g3VILBV10krghjgdKlgYkNoywObGRxIR&#10;n1PbbQK/nusE47v39O595XpyvThjiJ0nDfk8A4FUe9tRo+Ft/3ynQMRkyJreE2r4xgjr6vqqNIX1&#10;I23xvEuN4BKKhdHQpjQUUsa6RWfi3A9I7H364ExiGRppgxm53PVykWX30pmO+ENrBty0WH/tTk6D&#10;3cb4tJnUz/I1vByP72r2Me5nWt/e5NkjiIRT+gvDZT5Ph4o3HfyJbBQ9a8UoScPigQnYV8t8BeJw&#10;OaxAVqX8D1D9AlBLAwQUAAAACACHTuJAHICx4vsBAADtAwAADgAAAGRycy9lMm9Eb2MueG1srVNL&#10;jhMxEN0jcQfLe9JJUJpRK51ZTBg2CCIxHKBiu7st/JPtpJNLcAEkdrBiyZ7bzHAMyu4m82GTBVk4&#10;Zdfr53qvysvLg1ZkL3yQ1tR0NplSIgyzXJq2ph9vrl9cUBIiGA7KGlHTowj0cvX82bJ3lZjbziou&#10;PEESE6re1bSL0VVFEVgnNISJdcJgsrFeQ8StbwvuoUd2rYr5dFoWvfXcectECHi6HpJ0ZPTnENqm&#10;kUysLdtpYeLA6oWCiJJCJ12gq1xt0wgW3zdNEJGomqLSmFe8BONtWovVEqrWg+skG0uAc0p4okmD&#10;NHjpiWoNEcjOy3+otGTeBtvECbO6GIRkR1DFbPrEmw8dOJG1oNXBnUwP/4+WvdtvPJG8piUlBjQ2&#10;/O7Lz9vP337/+orr3Y/vpEwm9S5UiL0yGz/ugtv4pPjQeJ3+UQs5ZGOPJ2PFIRKGh4tZeTEvF5Qw&#10;zJUvF4mxuP/U+RDfCKtJCmqqpEmqoYL92xAH6F9IOlaG9Mj5arbALjLAGWyw9xhqhzpiJ80NdvNT&#10;pghWSX4tlUofBt9ur5Qne0jTkH9jJY9g6a41hG7A5VSCQdUJ4K8NJ/Ho0CeDz4OmSrTglCiBrylF&#10;GRlBqnOQaIIy6EWydzA0RVvLj9iVnfOy7dCQWa4yZXAKsnPjxKYxe7jPTPevdP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ZZNadgAAAAIAQAADwAAAAAAAAABACAAAAAiAAAAZHJzL2Rvd25yZXYu&#10;eG1sUEsBAhQAFAAAAAgAh07iQByAseL7AQAA7QMAAA4AAAAAAAAAAQAgAAAAJwEAAGRycy9lMm9E&#10;b2MueG1sUEsFBgAAAAAGAAYAWQEAAJQ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center"/>
        <w:rPr>
          <w:rFonts w:hint="eastAsia" w:ascii="宋体" w:hAnsi="宋体"/>
          <w:b/>
          <w:spacing w:val="40"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pacing w:val="40"/>
          <w:sz w:val="52"/>
          <w:szCs w:val="52"/>
          <w:lang w:val="en-US" w:eastAsia="zh-CN"/>
        </w:rPr>
        <w:t>#4机小机轴承XY向振动大</w:t>
      </w:r>
    </w:p>
    <w:p>
      <w:pPr>
        <w:spacing w:line="360" w:lineRule="auto"/>
        <w:jc w:val="center"/>
        <w:rPr>
          <w:rFonts w:hint="eastAsia" w:ascii="宋体" w:hAnsi="宋体"/>
          <w:b/>
          <w:spacing w:val="40"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pacing w:val="40"/>
          <w:sz w:val="52"/>
          <w:szCs w:val="52"/>
          <w:lang w:val="en-US" w:eastAsia="zh-CN"/>
        </w:rPr>
        <w:t>加装平衡块方案</w:t>
      </w:r>
    </w:p>
    <w:p>
      <w:pPr>
        <w:spacing w:line="360" w:lineRule="auto"/>
        <w:jc w:val="center"/>
        <w:rPr>
          <w:rFonts w:hint="eastAsia" w:ascii="宋体" w:hAnsi="宋体"/>
          <w:b/>
          <w:spacing w:val="40"/>
          <w:sz w:val="52"/>
          <w:szCs w:val="52"/>
          <w:lang w:val="en-US" w:eastAsia="zh-CN"/>
        </w:rPr>
      </w:pPr>
    </w:p>
    <w:p>
      <w:pPr>
        <w:snapToGrid w:val="0"/>
        <w:spacing w:line="620" w:lineRule="atLeast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lang w:val="en-US" w:eastAsia="zh-CN"/>
        </w:rPr>
        <w:t xml:space="preserve">    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批 准：</w:t>
      </w:r>
    </w:p>
    <w:p>
      <w:pPr>
        <w:snapToGrid w:val="0"/>
        <w:spacing w:line="620" w:lineRule="atLeast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</w:p>
    <w:p>
      <w:pPr>
        <w:snapToGrid w:val="0"/>
        <w:spacing w:line="620" w:lineRule="atLeast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 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审 定：</w:t>
      </w:r>
    </w:p>
    <w:p>
      <w:pPr>
        <w:snapToGrid w:val="0"/>
        <w:spacing w:line="620" w:lineRule="atLeast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/>
        </w:rPr>
      </w:pPr>
    </w:p>
    <w:p>
      <w:pPr>
        <w:snapToGrid w:val="0"/>
        <w:spacing w:line="620" w:lineRule="atLeast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 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审 核：</w:t>
      </w:r>
    </w:p>
    <w:p>
      <w:pPr>
        <w:snapToGrid w:val="0"/>
        <w:spacing w:line="620" w:lineRule="atLeast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/>
        </w:rPr>
      </w:pPr>
    </w:p>
    <w:p>
      <w:pPr>
        <w:snapToGrid w:val="0"/>
        <w:spacing w:line="620" w:lineRule="atLeast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 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编 写：</w:t>
      </w:r>
    </w:p>
    <w:p>
      <w:pPr>
        <w:snapToGrid w:val="0"/>
        <w:spacing w:line="620" w:lineRule="atLeast"/>
        <w:ind w:firstLine="3360" w:firstLineChars="1050"/>
        <w:rPr>
          <w:rFonts w:hint="eastAsia" w:ascii="仿宋_GB2312" w:eastAsia="仿宋_GB2312"/>
          <w:sz w:val="32"/>
        </w:rPr>
      </w:pPr>
    </w:p>
    <w:p>
      <w:pPr>
        <w:snapToGrid w:val="0"/>
        <w:spacing w:line="620" w:lineRule="atLeast"/>
        <w:rPr>
          <w:rFonts w:hint="eastAsia" w:ascii="仿宋_GB2312" w:eastAsia="仿宋_GB2312"/>
          <w:sz w:val="32"/>
        </w:rPr>
      </w:pPr>
    </w:p>
    <w:p>
      <w:pPr>
        <w:snapToGrid w:val="0"/>
        <w:spacing w:line="620" w:lineRule="atLeast"/>
        <w:ind w:firstLine="3360" w:firstLineChars="1050"/>
        <w:rPr>
          <w:rFonts w:hint="eastAsia" w:ascii="仿宋_GB2312" w:eastAsia="仿宋_GB2312"/>
          <w:sz w:val="32"/>
        </w:rPr>
      </w:pPr>
    </w:p>
    <w:p>
      <w:pPr>
        <w:snapToGrid w:val="0"/>
        <w:spacing w:line="620" w:lineRule="atLeast"/>
        <w:ind w:left="0" w:leftChars="0" w:right="0" w:rightChars="0" w:firstLine="0" w:firstLineChars="0"/>
        <w:jc w:val="center"/>
        <w:rPr>
          <w:rFonts w:hint="default" w:ascii="仿宋_GB2312" w:eastAsia="仿宋_GB2312"/>
          <w:b/>
          <w:bCs/>
          <w:sz w:val="24"/>
          <w:szCs w:val="24"/>
          <w:lang w:val="en-US"/>
        </w:rPr>
      </w:pPr>
      <w:r>
        <w:rPr>
          <w:rFonts w:hint="eastAsia" w:ascii="仿宋_GB2312" w:eastAsia="仿宋_GB2312"/>
          <w:b/>
          <w:bCs/>
          <w:sz w:val="32"/>
          <w:lang w:val="en-US" w:eastAsia="zh-CN"/>
        </w:rPr>
        <w:t>2023年06月07日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2098" w:right="1587" w:bottom="1417" w:left="1587" w:header="851" w:footer="992" w:gutter="0"/>
          <w:pgNumType w:fmt="numberInDash"/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sectPr>
          <w:footerReference r:id="rId4" w:type="default"/>
          <w:pgSz w:w="11906" w:h="16838"/>
          <w:pgMar w:top="2098" w:right="1587" w:bottom="1417" w:left="1587" w:header="851" w:footer="992" w:gutter="0"/>
          <w:pgNumType w:fmt="numberInDash"/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概述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highlight w:val="none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highlight w:val="none"/>
          <w:lang w:val="en-US" w:eastAsia="zh-CN"/>
        </w:rPr>
        <w:t xml:space="preserve">     2023年06月05日18：55分，#4机小机升转速至4550r/min过程中，#1轴承X向振动最大91.77μm，#1轴承Y向最大106.95μm；#2轴承X向振动最大60.34μm，#2轴承Y向最大77.92μm。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9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non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538470" cy="3368040"/>
                  <wp:effectExtent l="0" t="0" r="5080" b="38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470" cy="336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详细技术方案</w:t>
      </w:r>
    </w:p>
    <w:p>
      <w:pPr>
        <w:numPr>
          <w:ilvl w:val="0"/>
          <w:numId w:val="0"/>
        </w:numPr>
        <w:ind w:leftChars="0" w:firstLine="600" w:firstLineChars="200"/>
        <w:rPr>
          <w:rFonts w:hint="eastAsia" w:ascii="仿宋_GB2312" w:hAnsi="宋体" w:eastAsia="仿宋_GB2312"/>
          <w:snapToGrid w:val="0"/>
          <w:kern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自给水泵向小机方向看，小机轴承X向振动探头位于左水平偏上45°；Y方向振动探头位于右水平偏上45°；相位探头（键相器）位于垂直方向；转子逆时针转动。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_GB2312" w:hAnsi="宋体" w:eastAsia="仿宋_GB2312"/>
                <w:snapToGrid w:val="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napToGrid w:val="0"/>
                <w:kern w:val="0"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2145665" cy="2865755"/>
                  <wp:effectExtent l="0" t="0" r="6985" b="10795"/>
                  <wp:docPr id="18" name="图片 18" descr="bd87008c4b6cab4422293585eeda1b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bd87008c4b6cab4422293585eeda1b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665" cy="28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default" w:ascii="仿宋_GB2312" w:hAnsi="宋体" w:eastAsia="仿宋_GB2312"/>
          <w:snapToGrid w:val="0"/>
          <w:color w:val="auto"/>
          <w:kern w:val="0"/>
          <w:sz w:val="30"/>
          <w:szCs w:val="30"/>
          <w:highlight w:val="none"/>
          <w:lang w:val="en-US" w:eastAsia="zh-CN"/>
        </w:rPr>
      </w:pPr>
      <w:r>
        <w:rPr>
          <w:rFonts w:hint="eastAsia" w:ascii="仿宋_GB2312" w:hAnsi="宋体" w:eastAsia="仿宋_GB2312"/>
          <w:snapToGrid w:val="0"/>
          <w:color w:val="auto"/>
          <w:kern w:val="0"/>
          <w:sz w:val="30"/>
          <w:szCs w:val="30"/>
          <w:highlight w:val="none"/>
          <w:lang w:val="en-US" w:eastAsia="zh-CN"/>
        </w:rPr>
        <w:t>图一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color w:val="auto"/>
          <w:kern w:val="0"/>
          <w:sz w:val="30"/>
          <w:szCs w:val="30"/>
          <w:highlight w:val="none"/>
          <w:lang w:val="en-US" w:eastAsia="zh-CN"/>
        </w:rPr>
      </w:pPr>
      <w:r>
        <w:rPr>
          <w:rFonts w:hint="eastAsia" w:ascii="仿宋_GB2312" w:hAnsi="宋体" w:eastAsia="仿宋_GB2312"/>
          <w:snapToGrid w:val="0"/>
          <w:color w:val="auto"/>
          <w:kern w:val="0"/>
          <w:sz w:val="30"/>
          <w:szCs w:val="30"/>
          <w:highlight w:val="none"/>
          <w:lang w:val="en-US" w:eastAsia="zh-CN"/>
        </w:rPr>
        <w:t>（一）运行期间测量原始数据：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_GB2312" w:hAnsi="宋体" w:eastAsia="仿宋_GB2312"/>
          <w:snapToGrid w:val="0"/>
          <w:color w:val="0000FF"/>
          <w:kern w:val="0"/>
          <w:sz w:val="30"/>
          <w:szCs w:val="30"/>
          <w:highlight w:val="none"/>
          <w:lang w:val="en-US" w:eastAsia="zh-CN"/>
        </w:rPr>
      </w:pPr>
      <w:r>
        <w:rPr>
          <w:rFonts w:hint="eastAsia" w:ascii="仿宋_GB2312" w:hAnsi="宋体" w:eastAsia="仿宋_GB2312"/>
          <w:snapToGrid w:val="0"/>
          <w:color w:val="0000FF"/>
          <w:kern w:val="0"/>
          <w:sz w:val="30"/>
          <w:szCs w:val="30"/>
          <w:highlight w:val="none"/>
          <w:lang w:val="en-US" w:eastAsia="zh-CN"/>
        </w:rPr>
        <w:t>2023年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highlight w:val="none"/>
          <w:lang w:val="en-US" w:eastAsia="zh-CN"/>
        </w:rPr>
        <w:t>06月05日</w:t>
      </w:r>
      <w:r>
        <w:rPr>
          <w:rFonts w:hint="eastAsia" w:ascii="仿宋_GB2312" w:hAnsi="宋体" w:eastAsia="仿宋_GB2312"/>
          <w:snapToGrid w:val="0"/>
          <w:color w:val="0000FF"/>
          <w:kern w:val="0"/>
          <w:sz w:val="30"/>
          <w:szCs w:val="30"/>
          <w:highlight w:val="none"/>
          <w:lang w:val="en-US" w:eastAsia="zh-CN"/>
        </w:rPr>
        <w:t>，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highlight w:val="none"/>
          <w:lang w:val="en-US" w:eastAsia="zh-CN"/>
        </w:rPr>
        <w:t>#4机小机转速4550r/min时</w:t>
      </w:r>
      <w:r>
        <w:rPr>
          <w:rFonts w:hint="eastAsia" w:ascii="仿宋_GB2312" w:hAnsi="宋体" w:eastAsia="仿宋_GB2312"/>
          <w:snapToGrid w:val="0"/>
          <w:color w:val="0000FF"/>
          <w:kern w:val="0"/>
          <w:sz w:val="30"/>
          <w:szCs w:val="30"/>
          <w:highlight w:val="none"/>
          <w:lang w:val="en-US" w:eastAsia="zh-CN"/>
        </w:rPr>
        <w:t>工频振动数据：(μm)</w:t>
      </w: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171"/>
        <w:gridCol w:w="1171"/>
        <w:gridCol w:w="1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368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eastAsia="宋体"/>
                <w:color w:val="0000FF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highlight w:val="none"/>
                <w:lang w:val="en-US" w:eastAsia="zh-CN"/>
              </w:rPr>
              <w:t>1X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 w:eastAsia="宋体"/>
                <w:color w:val="0000FF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24"/>
                <w:szCs w:val="32"/>
                <w:highlight w:val="none"/>
                <w:lang w:val="en-US" w:eastAsia="zh-CN"/>
              </w:rPr>
              <w:t>1Y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  <w:color w:val="0000FF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highlight w:val="none"/>
                <w:lang w:val="en-US" w:eastAsia="zh-CN"/>
              </w:rPr>
              <w:t>2X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  <w:color w:val="0000FF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color w:val="0000FF"/>
                <w:sz w:val="24"/>
                <w:szCs w:val="32"/>
                <w:highlight w:val="no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368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eastAsia="宋体"/>
                <w:color w:val="0000FF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highlight w:val="none"/>
                <w:lang w:val="en-US" w:eastAsia="zh-CN"/>
              </w:rPr>
              <w:t>87.28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eastAsia="宋体"/>
                <w:color w:val="0000FF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highlight w:val="none"/>
                <w:lang w:val="en-US" w:eastAsia="zh-CN"/>
              </w:rPr>
              <w:t>101.93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color w:val="0000FF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highlight w:val="none"/>
                <w:lang w:val="en-US" w:eastAsia="zh-CN"/>
              </w:rPr>
              <w:t>53.45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color w:val="0000FF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highlight w:val="none"/>
                <w:lang w:val="en-US" w:eastAsia="zh-CN"/>
              </w:rPr>
              <w:t>75.93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_GB2312" w:hAnsi="宋体" w:eastAsia="仿宋_GB2312"/>
          <w:snapToGrid w:val="0"/>
          <w:color w:val="0000FF"/>
          <w:kern w:val="0"/>
          <w:sz w:val="30"/>
          <w:szCs w:val="30"/>
          <w:highlight w:val="none"/>
          <w:lang w:val="en-US" w:eastAsia="zh-CN"/>
        </w:rPr>
      </w:pPr>
      <w:r>
        <w:rPr>
          <w:rFonts w:hint="eastAsia" w:ascii="仿宋_GB2312" w:hAnsi="宋体" w:eastAsia="仿宋_GB2312"/>
          <w:snapToGrid w:val="0"/>
          <w:color w:val="0000FF"/>
          <w:kern w:val="0"/>
          <w:sz w:val="30"/>
          <w:szCs w:val="30"/>
          <w:highlight w:val="none"/>
          <w:lang w:val="en-US" w:eastAsia="zh-CN"/>
        </w:rPr>
        <w:t>2023年06月03日，#4机小机转速4590r/min时工频振动数据：(μm)</w:t>
      </w: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171"/>
        <w:gridCol w:w="1171"/>
        <w:gridCol w:w="1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368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eastAsia="宋体"/>
                <w:color w:val="0000FF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highlight w:val="none"/>
                <w:lang w:val="en-US" w:eastAsia="zh-CN"/>
              </w:rPr>
              <w:t>1X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 w:eastAsia="宋体"/>
                <w:color w:val="0000FF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24"/>
                <w:szCs w:val="32"/>
                <w:highlight w:val="none"/>
                <w:lang w:val="en-US" w:eastAsia="zh-CN"/>
              </w:rPr>
              <w:t>1Y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  <w:color w:val="0000FF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highlight w:val="none"/>
                <w:lang w:val="en-US" w:eastAsia="zh-CN"/>
              </w:rPr>
              <w:t>2X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  <w:color w:val="0000FF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color w:val="0000FF"/>
                <w:sz w:val="24"/>
                <w:szCs w:val="32"/>
                <w:highlight w:val="no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368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eastAsia="宋体"/>
                <w:color w:val="0000FF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highlight w:val="none"/>
                <w:lang w:val="en-US" w:eastAsia="zh-CN"/>
              </w:rPr>
              <w:t>79.73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eastAsia="宋体"/>
                <w:color w:val="0000FF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highlight w:val="none"/>
                <w:lang w:val="en-US" w:eastAsia="zh-CN"/>
              </w:rPr>
              <w:t>98.35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color w:val="0000FF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highlight w:val="none"/>
                <w:lang w:val="en-US" w:eastAsia="zh-CN"/>
              </w:rPr>
              <w:t>49.35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color w:val="0000FF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highlight w:val="none"/>
                <w:lang w:val="en-US" w:eastAsia="zh-CN"/>
              </w:rPr>
              <w:t>72.63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_GB2312" w:hAnsi="宋体" w:eastAsia="仿宋_GB2312"/>
          <w:snapToGrid w:val="0"/>
          <w:color w:val="auto"/>
          <w:kern w:val="0"/>
          <w:sz w:val="30"/>
          <w:szCs w:val="30"/>
          <w:highlight w:val="none"/>
          <w:lang w:val="en-US" w:eastAsia="zh-CN"/>
        </w:rPr>
      </w:pPr>
      <w:r>
        <w:rPr>
          <w:rFonts w:hint="eastAsia" w:ascii="仿宋_GB2312" w:hAnsi="宋体" w:eastAsia="仿宋_GB2312"/>
          <w:snapToGrid w:val="0"/>
          <w:color w:val="auto"/>
          <w:kern w:val="0"/>
          <w:sz w:val="30"/>
          <w:szCs w:val="30"/>
          <w:highlight w:val="none"/>
          <w:lang w:val="en-US" w:eastAsia="zh-CN"/>
        </w:rPr>
        <w:t>目标：降低小机轴承XY向振动水平。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（二）加重位置：增速器--小机转子联轴器小机侧联轴器螺栓上。（如图二箭头位置）。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4"/>
        <w:gridCol w:w="4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4" w:type="dxa"/>
            <w:vAlign w:val="center"/>
          </w:tcPr>
          <w:p>
            <w:pPr>
              <w:numPr>
                <w:ilvl w:val="0"/>
                <w:numId w:val="0"/>
              </w:numPr>
              <w:ind w:leftChars="0" w:firstLine="600" w:firstLineChars="200"/>
              <w:jc w:val="center"/>
              <w:rPr>
                <w:rFonts w:hint="eastAsia" w:ascii="仿宋_GB2312" w:hAnsi="宋体" w:eastAsia="仿宋_GB2312"/>
                <w:snapToGrid w:val="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1193800</wp:posOffset>
                      </wp:positionV>
                      <wp:extent cx="802005" cy="658495"/>
                      <wp:effectExtent l="0" t="7620" r="17145" b="635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815590" y="6285230"/>
                                <a:ext cx="802005" cy="6584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30.5pt;margin-top:94pt;height:51.85pt;width:63.15pt;z-index:251660288;mso-width-relative:page;mso-height-relative:page;" filled="f" stroked="t" coordsize="21600,21600" o:gfxdata="UEsDBAoAAAAAAIdO4kAAAAAAAAAAAAAAAAAEAAAAZHJzL1BLAwQUAAAACACHTuJA6vhK9NsAAAAL&#10;AQAADwAAAGRycy9kb3ducmV2LnhtbE2PT2vCQBDF7wW/wzKF3uomipqm2YgKPRQqUhsKva3ZyR/M&#10;zobsRu237/TU3ubxe7x5L1vfbCcuOPjWkYJ4GoFAKp1pqVZQfLw8JiB80GR05wgVfKOHdT65y3Rq&#10;3JXe8XIMteAQ8qlW0ITQp1L6skGr/dT1SMwqN1gdWA61NIO+crjt5CyKltLqlvhDo3vcNViej6NV&#10;sNi7ol5sit0eP8e37WtRVe3XQamH+zh6BhHwFv7M8Fufq0POnU5uJONFp2C2jHlLYJAkfLBjnqzm&#10;IE6MnuIVyDyT/zfkP1BLAwQUAAAACACHTuJAGOU6KSkCAAANBAAADgAAAGRycy9lMm9Eb2MueG1s&#10;rVPNjtMwEL4j8Q6W7zRp2ay60aZ7aCkcEFQCHmDqOIkl/2nsbdqX4AWQOAEn4LR3ngaWx2CcdBdY&#10;Lnsgh2jsmflmvm/G5xd7o9lOYlDOVnw6yTmTVrha2bbib16vH805CxFsDdpZWfGDDPxi8fDBee9L&#10;OXOd07VERiA2lL2veBejL7MsiE4aCBPnpSVn49BApCO2WY3QE7rR2SzPT7PeYe3RCRkC3a5GJz8i&#10;4n0AXdMoIVdOXBpp44iKUkMkSqFTPvDF0G3TSBFfNk2QkemKE9M4/KkI2dv0zxbnULYIvlPi2ALc&#10;p4U7nAwoS0VvoVYQgV2i+gfKKIEuuCZOhDPZSGRQhFhM8zvavOrAy4ELSR38rejh/8GKF7sNMlXT&#10;JpxwZsHQxK/fXf14+/H665fvH65+fnuf7M+fGPlJrN6HknKWdoPHU/AbTMz3DRrWaOWfEdagBbFj&#10;+4rP5tOiOCPBDxU/nc2L2eOj7HIfmaCAeU57UXAmUkAxPzkrUqVshEzQHkN8Kp1hyah4iAiq7eLS&#10;WUsDdjiWg93zEMfEm4SUbN1aaU33UGrLemruLC+oGwG0vA0tDZnGkwDBtpyBbulViIgDg+C0qlN6&#10;yg7Ybpca2Q5ol9brnL5jn3+FpdorCN0YN7hSGJRGRXo4WpnE+CYbyghKP7E1iwdP2gOi63lq08ia&#10;My2pm2SNvLQlXdIIRtGTtXX1YZjFcE9bMih33Oi0hn+eh+zfr3j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r4SvTbAAAACwEAAA8AAAAAAAAAAQAgAAAAIgAAAGRycy9kb3ducmV2LnhtbFBLAQIU&#10;ABQAAAAIAIdO4kAY5TopKQIAAA0EAAAOAAAAAAAAAAEAIAAAACoBAABkcnMvZTJvRG9jLnhtbFBL&#10;BQYAAAAABgAGAFkBAADFBQAAAAA=&#10;">
                      <v:fill on="f" focussize="0,0"/>
                      <v:stroke weight="1.5pt" color="#FF0000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宋体" w:eastAsia="仿宋_GB2312"/>
                <w:snapToGrid w:val="0"/>
                <w:kern w:val="0"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2091055" cy="2917825"/>
                  <wp:effectExtent l="0" t="0" r="4445" b="15875"/>
                  <wp:docPr id="15" name="图片 15" descr="c6a658dc2c84348006c67b71eb71f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c6a658dc2c84348006c67b71eb71fc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291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_GB2312" w:hAnsi="宋体" w:eastAsia="仿宋_GB2312"/>
                <w:snapToGrid w:val="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napToGrid w:val="0"/>
                <w:kern w:val="0"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2145665" cy="2865120"/>
                  <wp:effectExtent l="0" t="0" r="6985" b="11430"/>
                  <wp:docPr id="16" name="图片 16" descr="3990203662cb92ae5c6c75272d67c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3990203662cb92ae5c6c75272d67c8f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665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before="15" w:beforeLines="0" w:after="15" w:afterLines="0" w:line="240" w:lineRule="auto"/>
        <w:ind w:right="0" w:rightChars="0"/>
        <w:jc w:val="center"/>
        <w:textAlignment w:val="auto"/>
        <w:outlineLvl w:val="9"/>
        <w:rPr>
          <w:rFonts w:hint="eastAsia" w:ascii="仿宋_GB2312" w:hAnsi="仿宋_GB2312" w:eastAsia="仿宋_GB2312" w:cs="宋体"/>
          <w:color w:val="000000"/>
          <w:sz w:val="30"/>
          <w:szCs w:val="21"/>
          <w:lang w:val="en-US" w:eastAsia="zh-CN"/>
        </w:rPr>
      </w:pPr>
      <w:r>
        <w:rPr>
          <w:rFonts w:hint="eastAsia" w:ascii="仿宋_GB2312" w:hAnsi="仿宋_GB2312" w:eastAsia="仿宋_GB2312" w:cs="宋体"/>
          <w:color w:val="000000"/>
          <w:sz w:val="30"/>
          <w:szCs w:val="21"/>
          <w:lang w:val="en-US" w:eastAsia="zh-CN"/>
        </w:rPr>
        <w:t>图二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（三）加重方案:</w:t>
      </w:r>
    </w:p>
    <w:p>
      <w:pPr>
        <w:numPr>
          <w:ilvl w:val="0"/>
          <w:numId w:val="0"/>
        </w:numPr>
        <w:ind w:leftChars="0" w:firstLine="600" w:firstLineChars="20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加重方案：100g/175°，即以键相为零位，逆转向175°位置为加重位置。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（四）现场加装动平衡块所需工具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1） 天平或者电子称；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2） 平衡块切割工具；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3） 平衡块修磨工具；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4） 平衡块钻孔、攻丝工具；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5） 油性标记笔 1 支；</w:t>
      </w:r>
    </w:p>
    <w:p>
      <w:pPr>
        <w:numPr>
          <w:ilvl w:val="0"/>
          <w:numId w:val="0"/>
        </w:numPr>
        <w:ind w:leftChars="0"/>
        <w:rPr>
          <w:rFonts w:hint="default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6） 游标卡尺；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7） 手动盘车工具；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8） 配重专用工装；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9）12梅花扳手、15N.m力矩扳手。</w:t>
      </w:r>
    </w:p>
    <w:p>
      <w:pPr>
        <w:numPr>
          <w:ilvl w:val="0"/>
          <w:numId w:val="0"/>
        </w:numPr>
        <w:ind w:leftChars="0"/>
        <w:rPr>
          <w:rFonts w:hint="default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10）链钳。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（五）平衡块加装方案</w:t>
      </w:r>
    </w:p>
    <w:p>
      <w:pPr>
        <w:numPr>
          <w:ilvl w:val="0"/>
          <w:numId w:val="0"/>
        </w:numPr>
        <w:ind w:leftChars="0"/>
        <w:rPr>
          <w:rFonts w:hint="default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1）根据上海电气SD(Z)91/84/10型45MW驱动给水泵变转速凝汽式汽轮机产品使用说明书要求，停机后采取连续盘车直至调节级后温度低于150℃。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2）当缸温降至150℃时，停止小机盘车运行，停运小机润滑油，小机顶轴油不停运，检修人员拆除盘车电机电源线及热控测点线，拆除盘车装置，手动盘车，将增速器-小机转子联轴器小机侧联轴器对应方位的螺栓拆除，更换新型加长螺栓，加装平衡块垫片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3）平衡块加装到位后，复装小机盘车，恢复措施。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（六）现场加装动平衡块人员配备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1）修配、安装平衡块人员。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2）就地手动盘车人员。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（七）现场动平衡块加装过程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1) 盘车状态下记录大轴偏心。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2) 加配重人员预先称准平衡块及新型螺栓总量。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3) 调节级后温度低于150℃可停运小机盘车，停运小机润滑油（注：停运小机盘车及小机润滑油后不要进行加装平衡块工作，需连续观察各瓦温是否出现异常，如瓦温升高较快，需开启盘车，直至瓦温恢复，此时缸温不具备加装动平衡块条件，停止加装工作。如半小时内各轴承瓦温不超过100℃，则可开始进行加装平衡块工作）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4) 热控人员配合机务人员确定键相位置，打开#2轴承箱呼吸器确定零位，引出零位至#1轴承箱正上方位置作为零位基准，手动盘车（逆时针）至加装平衡块位置停留在轴承箱正上方。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5）安装人员加装平衡块，平衡块垫片及新型螺栓重量要超过原有螺栓重量100g。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（八）投盘车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记录转子偏心，如果偏心值与停盘车前不一致，要求连续盘车直至转子偏心值恢复。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（九）小机冲转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1）首先盘车100r/min，观察平衡效果。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2）小机暖缸、冲转，升至额定转速4697r/min时观察平衡效果。</w:t>
      </w:r>
    </w:p>
    <w:p>
      <w:pPr>
        <w:numPr>
          <w:ilvl w:val="0"/>
          <w:numId w:val="0"/>
        </w:numPr>
        <w:ind w:leftChars="0"/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</w:pPr>
      <w:r>
        <w:rPr>
          <w:rFonts w:hint="eastAsia" w:ascii="仿宋_GB2312" w:hAnsi="宋体" w:eastAsia="仿宋_GB2312"/>
          <w:snapToGrid w:val="0"/>
          <w:kern w:val="0"/>
          <w:sz w:val="30"/>
          <w:szCs w:val="30"/>
          <w:lang w:val="en-US" w:eastAsia="zh-CN"/>
        </w:rPr>
        <w:t>3）平衡工作结束。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before="15" w:beforeLines="0" w:after="15" w:afterLines="0" w:line="240" w:lineRule="auto"/>
        <w:ind w:right="0" w:rightChars="0" w:firstLine="210" w:firstLineChars="1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before="15" w:beforeLines="0" w:after="15" w:afterLines="0" w:line="240" w:lineRule="auto"/>
        <w:ind w:right="0" w:rightChars="0" w:firstLine="210" w:firstLineChars="1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before="15" w:beforeLines="0" w:after="15" w:afterLines="0" w:line="24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p/>
    <w:sectPr>
      <w:footerReference r:id="rId5" w:type="default"/>
      <w:pgSz w:w="11906" w:h="16838"/>
      <w:pgMar w:top="2098" w:right="1587" w:bottom="1417" w:left="1587" w:header="851" w:footer="992" w:gutter="0"/>
      <w:pgNumType w:fmt="numberInDash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84A6F"/>
    <w:multiLevelType w:val="singleLevel"/>
    <w:tmpl w:val="5F584A6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YzEyODRiNWQxZjU5Mzc2YTkwNzg4MzdjMmNiZmMifQ=="/>
  </w:docVars>
  <w:rsids>
    <w:rsidRoot w:val="48751DD1"/>
    <w:rsid w:val="0188336E"/>
    <w:rsid w:val="07596786"/>
    <w:rsid w:val="1A120F02"/>
    <w:rsid w:val="21714093"/>
    <w:rsid w:val="239642D8"/>
    <w:rsid w:val="25C65411"/>
    <w:rsid w:val="34856377"/>
    <w:rsid w:val="3A0D5212"/>
    <w:rsid w:val="3B6C314C"/>
    <w:rsid w:val="3F7C122E"/>
    <w:rsid w:val="423D2BC0"/>
    <w:rsid w:val="484432EB"/>
    <w:rsid w:val="48751DD1"/>
    <w:rsid w:val="4E5D64DC"/>
    <w:rsid w:val="4FEA1184"/>
    <w:rsid w:val="552D545D"/>
    <w:rsid w:val="572F1337"/>
    <w:rsid w:val="59EB7C30"/>
    <w:rsid w:val="5BEA79AB"/>
    <w:rsid w:val="6719165F"/>
    <w:rsid w:val="68B8536F"/>
    <w:rsid w:val="6D590E30"/>
    <w:rsid w:val="73EF135D"/>
    <w:rsid w:val="751C2E04"/>
    <w:rsid w:val="75FD5BF9"/>
    <w:rsid w:val="7B87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1139</Words>
  <Characters>1328</Characters>
  <Lines>0</Lines>
  <Paragraphs>0</Paragraphs>
  <TotalTime>48</TotalTime>
  <ScaleCrop>false</ScaleCrop>
  <LinksUpToDate>false</LinksUpToDate>
  <CharactersWithSpaces>1397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2022-06-07T06:18:00Z</dcterms:created>
  <dc:creator>Administrator</dc:creator>
  <cp:lastModifiedBy>qinfupeng</cp:lastModifiedBy>
  <cp:lastPrinted>2023-06-08T00:07:52Z</cp:lastPrinted>
  <dcterms:modified xsi:type="dcterms:W3CDTF">2023-06-08T02:53:02Z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D0A3D6AD37DE48B8A50D16F114AE33D8_12</vt:lpwstr>
  </property>
</Properties>
</file>