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Amazon paid $1 billion per year for NFL's Thursday Night Football.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Rogers paid $5.2 billion over 12 years for NHL Canadian rights.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How do media companies decide what sports content is worth?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The five factor valuation framework factor one audience size and demographics.</w:t>
      </w:r>
    </w:p>
    <w:p>
      <w:r>
        <w:rPr>
          <w:color w:val="969696"/>
          <w:sz w:val="18"/>
        </w:rPr>
        <w:t xml:space="preserve">[0:24] </w:t>
      </w:r>
      <w:r>
        <w:rPr>
          <w:sz w:val="22"/>
        </w:rPr>
        <w:t>Larger, more valuable audiences command higher prices.</w:t>
      </w:r>
    </w:p>
    <w:p>
      <w:r>
        <w:rPr>
          <w:color w:val="969696"/>
          <w:sz w:val="18"/>
        </w:rPr>
        <w:t xml:space="preserve">[0:28] </w:t>
      </w:r>
      <w:r>
        <w:rPr>
          <w:sz w:val="22"/>
        </w:rPr>
        <w:t>NFL regular season games averaged 17 to 19 million viewers with premium demographics males 18 to 49, a demographic with a high income.</w:t>
      </w:r>
    </w:p>
    <w:p>
      <w:r>
        <w:rPr>
          <w:color w:val="969696"/>
          <w:sz w:val="18"/>
        </w:rPr>
        <w:t xml:space="preserve">[0:37] </w:t>
      </w:r>
      <w:r>
        <w:rPr>
          <w:sz w:val="22"/>
        </w:rPr>
        <w:t>Advertisers pay 50 to $70 per thousand viewers, double non-sports rates.</w:t>
      </w:r>
    </w:p>
    <w:p>
      <w:r>
        <w:rPr>
          <w:color w:val="969696"/>
          <w:sz w:val="18"/>
        </w:rPr>
        <w:t xml:space="preserve">[0:42] </w:t>
      </w:r>
      <w:r>
        <w:rPr>
          <w:sz w:val="22"/>
        </w:rPr>
        <w:t>Here's a critical point. Model viewership trends, not just current numbers Rogers assumed stable NHL ratings.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They experienced ratings declines of 12% or more in recent seasons.</w:t>
      </w:r>
    </w:p>
    <w:p>
      <w:r>
        <w:rPr>
          <w:color w:val="969696"/>
          <w:sz w:val="18"/>
        </w:rPr>
        <w:t xml:space="preserve">[0:54] </w:t>
      </w:r>
      <w:r>
        <w:rPr>
          <w:sz w:val="22"/>
        </w:rPr>
        <w:t>That's hundreds of millions in lost revenue. Factor two exclusivity and competition.</w:t>
      </w:r>
    </w:p>
    <w:p>
      <w:r>
        <w:rPr>
          <w:color w:val="969696"/>
          <w:sz w:val="18"/>
        </w:rPr>
        <w:t xml:space="preserve">[1:00] </w:t>
      </w:r>
      <w:r>
        <w:rPr>
          <w:sz w:val="22"/>
        </w:rPr>
        <w:t>More bidders equals higher prices. Exclusive rights costs 2 to 3 times more than non-exclusive.</w:t>
      </w:r>
    </w:p>
    <w:p>
      <w:r>
        <w:rPr>
          <w:color w:val="969696"/>
          <w:sz w:val="18"/>
        </w:rPr>
        <w:t xml:space="preserve">[1:06] </w:t>
      </w:r>
      <w:r>
        <w:rPr>
          <w:sz w:val="22"/>
        </w:rPr>
        <w:t>When Amazon, Apple and traditional networks compete for NFL rights, prices skyrocket.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NFL deal increased significantly from 2011 to 2022, driven by competitive bidding among multiple platforms.</w:t>
      </w:r>
    </w:p>
    <w:p>
      <w:r>
        <w:rPr>
          <w:color w:val="969696"/>
          <w:sz w:val="18"/>
        </w:rPr>
        <w:t xml:space="preserve">[1:18] </w:t>
      </w:r>
      <w:r>
        <w:rPr>
          <w:sz w:val="22"/>
        </w:rPr>
        <w:t>Factor three content, volume and scheduling quality matters more than quantity.</w:t>
      </w:r>
    </w:p>
    <w:p>
      <w:r>
        <w:rPr>
          <w:color w:val="969696"/>
          <w:sz w:val="18"/>
        </w:rPr>
        <w:t xml:space="preserve">[1:24] </w:t>
      </w:r>
      <w:r>
        <w:rPr>
          <w:sz w:val="22"/>
        </w:rPr>
        <w:t>One NFL primetime game is worth 10 to 15 midweek NHL games.</w:t>
      </w:r>
    </w:p>
    <w:p>
      <w:r>
        <w:rPr>
          <w:color w:val="969696"/>
          <w:sz w:val="18"/>
        </w:rPr>
        <w:t xml:space="preserve">[1:29] </w:t>
      </w:r>
      <w:r>
        <w:rPr>
          <w:sz w:val="22"/>
        </w:rPr>
        <w:t>Concentrated scheduling windows NFL Sundays create predictable audience habits and higher per game value factor for brand alignment and sponsorship.</w:t>
      </w:r>
    </w:p>
    <w:p>
      <w:r>
        <w:rPr>
          <w:color w:val="969696"/>
          <w:sz w:val="18"/>
        </w:rPr>
        <w:t xml:space="preserve">[1:39] </w:t>
      </w:r>
      <w:r>
        <w:rPr>
          <w:sz w:val="22"/>
        </w:rPr>
        <w:t>Sponsorship revenue can subsidize 20 to 35% of rights costs.</w:t>
      </w:r>
    </w:p>
    <w:p>
      <w:r>
        <w:rPr>
          <w:color w:val="969696"/>
          <w:sz w:val="18"/>
        </w:rPr>
        <w:t xml:space="preserve">[1:43] </w:t>
      </w:r>
      <w:r>
        <w:rPr>
          <w:sz w:val="22"/>
        </w:rPr>
        <w:t>Strong brand alignment with sponsor categories. Automotive beer financial services creates premium sponsorship opportunities.</w:t>
      </w:r>
    </w:p>
    <w:p>
      <w:r>
        <w:rPr>
          <w:color w:val="969696"/>
          <w:sz w:val="18"/>
        </w:rPr>
        <w:t xml:space="preserve">[1:51] </w:t>
      </w:r>
      <w:r>
        <w:rPr>
          <w:sz w:val="22"/>
        </w:rPr>
        <w:t>Without sponsorship integration, profitability becomes harder to achieve.</w:t>
      </w:r>
    </w:p>
    <w:p>
      <w:r>
        <w:rPr>
          <w:color w:val="969696"/>
          <w:sz w:val="18"/>
        </w:rPr>
        <w:t xml:space="preserve">[1:55] </w:t>
      </w:r>
      <w:r>
        <w:rPr>
          <w:sz w:val="22"/>
        </w:rPr>
        <w:t>Factor five platform strategy fit. Sometimes you pay more than a property is worth because it serves strategic goals.</w:t>
      </w:r>
    </w:p>
    <w:p>
      <w:r>
        <w:rPr>
          <w:color w:val="969696"/>
          <w:sz w:val="18"/>
        </w:rPr>
        <w:t xml:space="preserve">[2:02] </w:t>
      </w:r>
      <w:r>
        <w:rPr>
          <w:sz w:val="22"/>
        </w:rPr>
        <w:t>Amazon's $1 billion per year for NFL drive subscriber acquisition and loyalty for Prime membership.</w:t>
      </w:r>
    </w:p>
    <w:p>
      <w:r>
        <w:rPr>
          <w:color w:val="969696"/>
          <w:sz w:val="18"/>
        </w:rPr>
        <w:t xml:space="preserve">[2:08] </w:t>
      </w:r>
      <w:r>
        <w:rPr>
          <w:sz w:val="22"/>
        </w:rPr>
        <w:t>With reported record Prime signups during NFL broadcasts. However, strategic value must be measurable and achievable.</w:t>
      </w:r>
    </w:p>
    <w:p>
      <w:r>
        <w:rPr>
          <w:color w:val="969696"/>
          <w:sz w:val="18"/>
        </w:rPr>
        <w:t xml:space="preserve">[2:14] </w:t>
      </w:r>
      <w:r>
        <w:rPr>
          <w:sz w:val="22"/>
        </w:rPr>
        <w:t>Warning strategic value justifications must be grounded in data.</w:t>
      </w:r>
    </w:p>
    <w:p>
      <w:r>
        <w:rPr>
          <w:color w:val="969696"/>
          <w:sz w:val="18"/>
        </w:rPr>
        <w:t xml:space="preserve">[2:18] </w:t>
      </w:r>
      <w:r>
        <w:rPr>
          <w:sz w:val="22"/>
        </w:rPr>
        <w:t>Rogers justified overpaying with subscriber defense logic,</w:t>
      </w:r>
    </w:p>
    <w:p>
      <w:r>
        <w:rPr>
          <w:color w:val="969696"/>
          <w:sz w:val="18"/>
        </w:rPr>
        <w:t xml:space="preserve">[2:21] </w:t>
      </w:r>
      <w:r>
        <w:rPr>
          <w:sz w:val="22"/>
        </w:rPr>
        <w:t>but couldn't prove the relationship between NHL rights and subscriber retention when subscribers left anyway, the case collapsed.</w:t>
      </w:r>
    </w:p>
    <w:p>
      <w:r>
        <w:rPr>
          <w:color w:val="969696"/>
          <w:sz w:val="18"/>
        </w:rPr>
        <w:t xml:space="preserve">[2:27] </w:t>
      </w:r>
      <w:r>
        <w:rPr>
          <w:sz w:val="22"/>
        </w:rPr>
        <w:t>NFL deal increased significantly from 2011 to 2022, driven by competitive bidding among multiple platforms.</w:t>
      </w:r>
    </w:p>
    <w:p>
      <w:r>
        <w:rPr>
          <w:color w:val="969696"/>
          <w:sz w:val="18"/>
        </w:rPr>
        <w:t xml:space="preserve">[2:33] </w:t>
      </w:r>
      <w:r>
        <w:rPr>
          <w:sz w:val="22"/>
        </w:rPr>
        <w:t>The five factors audience size and demographics, exclusivity and competition, content volume and scheduling, brand alignment and sponsorship.</w:t>
      </w:r>
    </w:p>
    <w:p>
      <w:r>
        <w:rPr>
          <w:color w:val="969696"/>
          <w:sz w:val="18"/>
        </w:rPr>
        <w:t xml:space="preserve">[2:40] </w:t>
      </w:r>
      <w:r>
        <w:rPr>
          <w:sz w:val="22"/>
        </w:rPr>
        <w:t>Platform strategy fit in the streaming war simulation. You'll apply this framework to make your own billion dollar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487172-E59D-4CE0-893C-996D8B52FA0B}"/>
</file>

<file path=customXml/itemProps3.xml><?xml version="1.0" encoding="utf-8"?>
<ds:datastoreItem xmlns:ds="http://schemas.openxmlformats.org/officeDocument/2006/customXml" ds:itemID="{F8CD1828-51FD-47A6-9782-C4EC15CE0CF5}"/>
</file>

<file path=customXml/itemProps4.xml><?xml version="1.0" encoding="utf-8"?>
<ds:datastoreItem xmlns:ds="http://schemas.openxmlformats.org/officeDocument/2006/customXml" ds:itemID="{A28C101E-741F-4FBC-9CE8-78CB5B0465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