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I want to start week three with a problem that haunts every CMO I know.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Major brands spend hundreds of millions of dollars annually on sports sponsorships globally.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For example, Nike's comprehensive sports sponsorship portfolio spans every league, athlete and major property you can think of.</w:t>
      </w:r>
    </w:p>
    <w:p>
      <w:r>
        <w:rPr>
          <w:color w:val="969696"/>
          <w:sz w:val="18"/>
        </w:rPr>
        <w:t xml:space="preserve">[0:22] </w:t>
      </w:r>
      <w:r>
        <w:rPr>
          <w:sz w:val="22"/>
        </w:rPr>
        <w:t>Your CFO looks at this budget and asks, what are we getting for this investment?</w:t>
      </w:r>
    </w:p>
    <w:p>
      <w:r>
        <w:rPr>
          <w:color w:val="969696"/>
          <w:sz w:val="18"/>
        </w:rPr>
        <w:t xml:space="preserve">[0:27] </w:t>
      </w:r>
      <w:r>
        <w:rPr>
          <w:sz w:val="22"/>
        </w:rPr>
        <w:t>So you show them the metrics.</w:t>
      </w:r>
    </w:p>
    <w:p>
      <w:r>
        <w:rPr>
          <w:color w:val="969696"/>
          <w:sz w:val="18"/>
        </w:rPr>
        <w:t xml:space="preserve">[0:28] </w:t>
      </w:r>
      <w:r>
        <w:rPr>
          <w:sz w:val="22"/>
        </w:rPr>
        <w:t>Billions of social media impressions, billions of TV viewers reached high brand awareness among sports fans, and they ask the killer follow up.</w:t>
      </w:r>
    </w:p>
    <w:p>
      <w:r>
        <w:rPr>
          <w:color w:val="969696"/>
          <w:sz w:val="18"/>
        </w:rPr>
        <w:t xml:space="preserve">[0:37] </w:t>
      </w:r>
      <w:r>
        <w:rPr>
          <w:sz w:val="22"/>
        </w:rPr>
        <w:t>How many shoes did that sell? Silence. Because here's the uncomfortable truth.</w:t>
      </w:r>
    </w:p>
    <w:p>
      <w:r>
        <w:rPr>
          <w:color w:val="969696"/>
          <w:sz w:val="18"/>
        </w:rPr>
        <w:t xml:space="preserve">[0:42] </w:t>
      </w:r>
      <w:r>
        <w:rPr>
          <w:sz w:val="22"/>
        </w:rPr>
        <w:t>Most sponsorship ROI is fuzzy. We measure impressions, not conversions.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But something changed in 2018. Sports betting legalization created sponsors who can measure conversion.</w:t>
      </w:r>
    </w:p>
    <w:p>
      <w:r>
        <w:rPr>
          <w:color w:val="969696"/>
          <w:sz w:val="18"/>
        </w:rPr>
        <w:t xml:space="preserve">[0:53] </w:t>
      </w:r>
      <w:r>
        <w:rPr>
          <w:sz w:val="22"/>
        </w:rPr>
        <w:t>FanDuel. DraftKings. Bet MGM.</w:t>
      </w:r>
    </w:p>
    <w:p>
      <w:r>
        <w:rPr>
          <w:color w:val="969696"/>
          <w:sz w:val="18"/>
        </w:rPr>
        <w:t xml:space="preserve">[0:56] </w:t>
      </w:r>
      <w:r>
        <w:rPr>
          <w:sz w:val="22"/>
        </w:rPr>
        <w:t>When a betting operator sponsors a team, they know exactly how many people downloaded the app, placed a bet, and became customers.</w:t>
      </w:r>
    </w:p>
    <w:p>
      <w:r>
        <w:rPr>
          <w:color w:val="969696"/>
          <w:sz w:val="18"/>
        </w:rPr>
        <w:t xml:space="preserve">[1:03] </w:t>
      </w:r>
      <w:r>
        <w:rPr>
          <w:sz w:val="22"/>
        </w:rPr>
        <w:t>That attribution loop changes everything about sponsorship valuation.</w:t>
      </w:r>
    </w:p>
    <w:p>
      <w:r>
        <w:rPr>
          <w:color w:val="969696"/>
          <w:sz w:val="18"/>
        </w:rPr>
        <w:t xml:space="preserve">[1:07] </w:t>
      </w:r>
      <w:r>
        <w:rPr>
          <w:sz w:val="22"/>
        </w:rPr>
        <w:t>This week, you'll learn to think like both sides the brand trying to prove ROI and the betting operator who actually tan.</w:t>
      </w:r>
    </w:p>
    <w:p>
      <w:r>
        <w:rPr>
          <w:color w:val="969696"/>
          <w:sz w:val="18"/>
        </w:rPr>
        <w:t xml:space="preserve">[1:14] </w:t>
      </w:r>
      <w:r>
        <w:rPr>
          <w:sz w:val="22"/>
        </w:rPr>
        <w:t>By the end of this week, you'll design an activation plan that answers the Cfo's question with data, not hope.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B792710-1EF2-48DC-A89A-C597B499016D}"/>
</file>

<file path=customXml/itemProps3.xml><?xml version="1.0" encoding="utf-8"?>
<ds:datastoreItem xmlns:ds="http://schemas.openxmlformats.org/officeDocument/2006/customXml" ds:itemID="{E3A2B98C-CE74-4BD4-91ED-BB6B5B087F8D}"/>
</file>

<file path=customXml/itemProps4.xml><?xml version="1.0" encoding="utf-8"?>
<ds:datastoreItem xmlns:ds="http://schemas.openxmlformats.org/officeDocument/2006/customXml" ds:itemID="{DB9398A6-5B9E-4DCA-969F-977FF1FFF2D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