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969696"/>
          <w:sz w:val="18"/>
        </w:rPr>
        <w:t xml:space="preserve">[0:05] </w:t>
      </w:r>
      <w:r>
        <w:rPr>
          <w:sz w:val="22"/>
        </w:rPr>
        <w:t>[Auto-generated transcript. Edits may have been applied for clarity.] FanDuel and DraftKings entered the market aggressively following the 2018 Supreme Court decision that legalized sports betting across states.</w:t>
      </w:r>
    </w:p>
    <w:p>
      <w:r>
        <w:rPr>
          <w:color w:val="969696"/>
          <w:sz w:val="18"/>
        </w:rPr>
        <w:t xml:space="preserve">[0:14] </w:t>
      </w:r>
      <w:r>
        <w:rPr>
          <w:sz w:val="22"/>
        </w:rPr>
        <w:t>They pursued rapid expansion through substantial marketing investments and sponsorship partnerships.</w:t>
      </w:r>
    </w:p>
    <w:p>
      <w:r>
        <w:rPr>
          <w:color w:val="969696"/>
          <w:sz w:val="18"/>
        </w:rPr>
        <w:t xml:space="preserve">[0:20] </w:t>
      </w:r>
      <w:r>
        <w:rPr>
          <w:sz w:val="22"/>
        </w:rPr>
        <w:t>When sports betting legalized state by state starting in May 2018.</w:t>
      </w:r>
    </w:p>
    <w:p>
      <w:r>
        <w:rPr>
          <w:color w:val="969696"/>
          <w:sz w:val="18"/>
        </w:rPr>
        <w:t xml:space="preserve">[0:24] </w:t>
      </w:r>
      <w:r>
        <w:rPr>
          <w:sz w:val="22"/>
        </w:rPr>
        <w:t>Operators faced a strategic choice acquire customers now to establish market presence or move cautiously and risk losing market share.</w:t>
      </w:r>
    </w:p>
    <w:p>
      <w:r>
        <w:rPr>
          <w:color w:val="969696"/>
          <w:sz w:val="18"/>
        </w:rPr>
        <w:t xml:space="preserve">[0:32] </w:t>
      </w:r>
      <w:r>
        <w:rPr>
          <w:sz w:val="22"/>
        </w:rPr>
        <w:t>FanDuel and DraftKings chose aggressive expansion spending heavily on customer acquisition to build first mover advantage in new markets.</w:t>
      </w:r>
    </w:p>
    <w:p>
      <w:r>
        <w:rPr>
          <w:color w:val="969696"/>
          <w:sz w:val="18"/>
        </w:rPr>
        <w:t xml:space="preserve">[0:41] </w:t>
      </w:r>
      <w:r>
        <w:rPr>
          <w:sz w:val="22"/>
        </w:rPr>
        <w:t>FanDuel sponsorship strategy focuses on market penetration and customer acquisition.</w:t>
      </w:r>
    </w:p>
    <w:p>
      <w:r>
        <w:rPr>
          <w:color w:val="969696"/>
          <w:sz w:val="18"/>
        </w:rPr>
        <w:t xml:space="preserve">[0:46] </w:t>
      </w:r>
      <w:r>
        <w:rPr>
          <w:sz w:val="22"/>
        </w:rPr>
        <w:t>Every NFL partnership,</w:t>
      </w:r>
    </w:p>
    <w:p>
      <w:r>
        <w:rPr>
          <w:color w:val="969696"/>
          <w:sz w:val="18"/>
        </w:rPr>
        <w:t xml:space="preserve">[0:47] </w:t>
      </w:r>
      <w:r>
        <w:rPr>
          <w:sz w:val="22"/>
        </w:rPr>
        <w:t>every stadium sponsorship and every broadcast integration has a clear goal drive customer adoption through increased visibility.</w:t>
      </w:r>
    </w:p>
    <w:p>
      <w:r>
        <w:rPr>
          <w:color w:val="969696"/>
          <w:sz w:val="18"/>
        </w:rPr>
        <w:t xml:space="preserve">[0:55] </w:t>
      </w:r>
      <w:r>
        <w:rPr>
          <w:sz w:val="22"/>
        </w:rPr>
        <w:t>Unlike traditional sponsors measuring brand awareness,</w:t>
      </w:r>
    </w:p>
    <w:p>
      <w:r>
        <w:rPr>
          <w:color w:val="969696"/>
          <w:sz w:val="18"/>
        </w:rPr>
        <w:t xml:space="preserve">[0:58] </w:t>
      </w:r>
      <w:r>
        <w:rPr>
          <w:sz w:val="22"/>
        </w:rPr>
        <w:t>betting operators measure cost per install and conversion metrics directly tied to business outcomes.</w:t>
      </w:r>
    </w:p>
    <w:p>
      <w:r>
        <w:rPr>
          <w:color w:val="969696"/>
          <w:sz w:val="18"/>
        </w:rPr>
        <w:t xml:space="preserve">[1:04] </w:t>
      </w:r>
      <w:r>
        <w:rPr>
          <w:sz w:val="22"/>
        </w:rPr>
        <w:t>Here's the case dilemma what's the path to profitability?</w:t>
      </w:r>
    </w:p>
    <w:p>
      <w:r>
        <w:rPr>
          <w:color w:val="969696"/>
          <w:sz w:val="18"/>
        </w:rPr>
        <w:t xml:space="preserve">[1:07] </w:t>
      </w:r>
      <w:r>
        <w:rPr>
          <w:sz w:val="22"/>
        </w:rPr>
        <w:t>Aggressive market entry requires substantial investment.</w:t>
      </w:r>
    </w:p>
    <w:p>
      <w:r>
        <w:rPr>
          <w:color w:val="969696"/>
          <w:sz w:val="18"/>
        </w:rPr>
        <w:t xml:space="preserve">[1:11] </w:t>
      </w:r>
      <w:r>
        <w:rPr>
          <w:sz w:val="22"/>
        </w:rPr>
        <w:t>The question becomes how do operators transition from customer acquisition to sustainable profitability?</w:t>
      </w:r>
    </w:p>
    <w:p>
      <w:r>
        <w:rPr>
          <w:color w:val="969696"/>
          <w:sz w:val="18"/>
        </w:rPr>
        <w:t xml:space="preserve">[1:17] </w:t>
      </w:r>
      <w:r>
        <w:rPr>
          <w:sz w:val="22"/>
        </w:rPr>
        <w:t>Your analysis should evaluate unit economics and the factors that determine long term viability in this market.</w:t>
      </w:r>
    </w:p>
    <w:p>
      <w:r>
        <w:rPr>
          <w:color w:val="969696"/>
          <w:sz w:val="18"/>
        </w:rPr>
        <w:t xml:space="preserve">[1:24] </w:t>
      </w:r>
      <w:r>
        <w:rPr>
          <w:sz w:val="22"/>
        </w:rPr>
        <w:t>As you read the FanDuel case. Focus on customer economics, acquisition costs, lifetime value, retention rates, and the timeline to profitability.</w:t>
      </w:r>
    </w:p>
    <w:p>
      <w:r>
        <w:rPr>
          <w:color w:val="969696"/>
          <w:sz w:val="18"/>
        </w:rPr>
        <w:t xml:space="preserve">[1:33] </w:t>
      </w:r>
      <w:r>
        <w:rPr>
          <w:sz w:val="22"/>
        </w:rPr>
        <w:t>The Eye Case Coach will help you analyze these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21E26B7D07E749B3796CCC00B88F65" ma:contentTypeVersion="20" ma:contentTypeDescription="Create a new document." ma:contentTypeScope="" ma:versionID="87d24ffbd22ce702eeb81eed793ecee4">
  <xsd:schema xmlns:xsd="http://www.w3.org/2001/XMLSchema" xmlns:xs="http://www.w3.org/2001/XMLSchema" xmlns:p="http://schemas.microsoft.com/office/2006/metadata/properties" xmlns:ns1="http://schemas.microsoft.com/sharepoint/v3" xmlns:ns2="7c9071bc-97bb-491b-80fd-592434b0a6cf" xmlns:ns3="2a3e1fc3-b103-42c7-b3f9-9de0b03202e5" targetNamespace="http://schemas.microsoft.com/office/2006/metadata/properties" ma:root="true" ma:fieldsID="ba1568276c113e1f83848db8686a6b36" ns1:_="" ns2:_="" ns3:_="">
    <xsd:import namespace="http://schemas.microsoft.com/sharepoint/v3"/>
    <xsd:import namespace="7c9071bc-97bb-491b-80fd-592434b0a6cf"/>
    <xsd:import namespace="2a3e1fc3-b103-42c7-b3f9-9de0b03202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071bc-97bb-491b-80fd-592434b0a6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395f24-4410-4580-986c-70591393c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e1fc3-b103-42c7-b3f9-9de0b03202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5819af-a3e7-4469-be90-fba2578fd4f1}" ma:internalName="TaxCatchAll" ma:showField="CatchAllData" ma:web="2a3e1fc3-b103-42c7-b3f9-9de0b03202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3e1fc3-b103-42c7-b3f9-9de0b03202e5" xsi:nil="true"/>
    <_ip_UnifiedCompliancePolicyUIAction xmlns="http://schemas.microsoft.com/sharepoint/v3" xsi:nil="true"/>
    <lcf76f155ced4ddcb4097134ff3c332f xmlns="7c9071bc-97bb-491b-80fd-592434b0a6cf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6C0C91-555B-40E6-98E4-88E5E82A5573}"/>
</file>

<file path=customXml/itemProps3.xml><?xml version="1.0" encoding="utf-8"?>
<ds:datastoreItem xmlns:ds="http://schemas.openxmlformats.org/officeDocument/2006/customXml" ds:itemID="{14740ADB-A562-49EA-BE4F-BBFF91283105}"/>
</file>

<file path=customXml/itemProps4.xml><?xml version="1.0" encoding="utf-8"?>
<ds:datastoreItem xmlns:ds="http://schemas.openxmlformats.org/officeDocument/2006/customXml" ds:itemID="{F0D30845-79FD-4636-B65A-69AF13DD7F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0x0101003E21E26B7D07E749B3796CCC00B88F65</vt:lpwstr>
  </property>
</Properties>
</file>