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fl-league-expansion-project"/>
    <w:p>
      <w:pPr>
        <w:pStyle w:val="Heading1"/>
      </w:pPr>
      <w:r>
        <w:t xml:space="preserve">CFL League Expansion Project</w:t>
      </w:r>
    </w:p>
    <w:bookmarkStart w:id="9" w:name="X4db8351fe18b15be97c655ea293227e243a7205"/>
    <w:p>
      <w:pPr>
        <w:pStyle w:val="Heading2"/>
      </w:pPr>
      <w:r>
        <w:t xml:space="preserve">Student Capstone Assignment | The Business of Sports Marketing</w:t>
      </w:r>
    </w:p>
    <w:p>
      <w:r>
        <w:pict>
          <v:rect style="width:0;height:1.5pt" o:hralign="center" o:hrstd="t" o:hr="t"/>
        </w:pict>
      </w:r>
    </w:p>
    <w:bookmarkEnd w:id="9"/>
    <w:bookmarkStart w:id="10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Students develop a comprehensive expansion proposal for a</w:t>
      </w:r>
      <w:r>
        <w:t xml:space="preserve"> </w:t>
      </w:r>
      <w:r>
        <w:rPr>
          <w:b/>
          <w:bCs/>
        </w:rPr>
        <w:t xml:space="preserve">10th CFL franchise</w:t>
      </w:r>
      <w:r>
        <w:t xml:space="preserve"> </w:t>
      </w:r>
      <w:r>
        <w:t xml:space="preserve">in a city of their choice.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0"/>
    <w:bookmarkStart w:id="16" w:name="project-structure-5-milestones"/>
    <w:p>
      <w:pPr>
        <w:pStyle w:val="Heading2"/>
      </w:pPr>
      <w:r>
        <w:t xml:space="preserve">Project Structure (5 Milestones)</w:t>
      </w:r>
    </w:p>
    <w:bookmarkStart w:id="11" w:name="X43fa0d695e8289e0f44e3ab18ae6f12d567c40f"/>
    <w:p>
      <w:pPr>
        <w:pStyle w:val="Heading3"/>
      </w:pPr>
      <w:r>
        <w:t xml:space="preserve">Milestone 1: Market Selection &amp; Revenue Projections (Week 1)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Market Analysis Brief (2–3 pages)</w:t>
      </w:r>
    </w:p>
    <w:p>
      <w:pPr>
        <w:numPr>
          <w:ilvl w:val="0"/>
          <w:numId w:val="1001"/>
        </w:numPr>
      </w:pPr>
      <w:r>
        <w:t xml:space="preserve">Choose an expansion city and justify the selection (population, sports landscape, corporate base, venue options)</w:t>
      </w:r>
    </w:p>
    <w:p>
      <w:pPr>
        <w:numPr>
          <w:ilvl w:val="0"/>
          <w:numId w:val="1001"/>
        </w:numPr>
      </w:pPr>
      <w:r>
        <w:t xml:space="preserve">5-year revenue projections across all five streams</w:t>
      </w:r>
    </w:p>
    <w:p>
      <w:pPr>
        <w:numPr>
          <w:ilvl w:val="0"/>
          <w:numId w:val="1001"/>
        </w:numPr>
      </w:pPr>
      <w:r>
        <w:t xml:space="preserve">Competitive analysis: What competes for the same dollars?</w:t>
      </w:r>
    </w:p>
    <w:bookmarkEnd w:id="11"/>
    <w:bookmarkStart w:id="12" w:name="Xaa44c41150bab68496b315fd67b995da8e588bf"/>
    <w:p>
      <w:pPr>
        <w:pStyle w:val="Heading3"/>
      </w:pPr>
      <w:r>
        <w:t xml:space="preserve">Milestone 2: Media &amp; Content Strategy (Week 2)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Media Strategy Memo (2–3 pages)</w:t>
      </w:r>
    </w:p>
    <w:p>
      <w:pPr>
        <w:numPr>
          <w:ilvl w:val="0"/>
          <w:numId w:val="1002"/>
        </w:numPr>
      </w:pPr>
      <w:r>
        <w:t xml:space="preserve">CFL–TSN deal structure and revenue-sharing implications</w:t>
      </w:r>
    </w:p>
    <w:p>
      <w:pPr>
        <w:numPr>
          <w:ilvl w:val="0"/>
          <w:numId w:val="1002"/>
        </w:numPr>
      </w:pPr>
      <w:r>
        <w:t xml:space="preserve">Local media strategy (broadcast, digital, streaming)</w:t>
      </w:r>
    </w:p>
    <w:p>
      <w:pPr>
        <w:numPr>
          <w:ilvl w:val="0"/>
          <w:numId w:val="1002"/>
        </w:numPr>
      </w:pPr>
      <w:r>
        <w:t xml:space="preserve">Content and fan engagement plan (social media, behind the scenes, community building)</w:t>
      </w:r>
    </w:p>
    <w:bookmarkEnd w:id="12"/>
    <w:bookmarkStart w:id="13" w:name="X1c2847e16b3cfd1c3f78cd5230b1c66c8b231bc"/>
    <w:p>
      <w:pPr>
        <w:pStyle w:val="Heading3"/>
      </w:pPr>
      <w:r>
        <w:t xml:space="preserve">Milestone 3: Sponsorship &amp; Betting Strategy (Week 3)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Sponsorship Strategy (2–3 pages)</w:t>
      </w:r>
    </w:p>
    <w:p>
      <w:pPr>
        <w:numPr>
          <w:ilvl w:val="0"/>
          <w:numId w:val="1003"/>
        </w:numPr>
      </w:pPr>
      <w:r>
        <w:t xml:space="preserve">Sponsorship inventory (naming rights, jersey, category partners)</w:t>
      </w:r>
    </w:p>
    <w:p>
      <w:pPr>
        <w:numPr>
          <w:ilvl w:val="0"/>
          <w:numId w:val="1003"/>
        </w:numPr>
      </w:pPr>
      <w:r>
        <w:t xml:space="preserve">Tiered partnership structure with pricing and ROI projections</w:t>
      </w:r>
    </w:p>
    <w:p>
      <w:pPr>
        <w:numPr>
          <w:ilvl w:val="0"/>
          <w:numId w:val="1003"/>
        </w:numPr>
      </w:pPr>
      <w:r>
        <w:t xml:space="preserve">Sports betting integration (provincial regulations, operator partnerships, responsible gambling)</w:t>
      </w:r>
    </w:p>
    <w:bookmarkEnd w:id="13"/>
    <w:bookmarkStart w:id="14" w:name="X640ef119630f9128b9ce106e3d5248da7f69c6a"/>
    <w:p>
      <w:pPr>
        <w:pStyle w:val="Heading3"/>
      </w:pPr>
      <w:r>
        <w:t xml:space="preserve">Milestone 4: Brand Building &amp; Launch Strategy (Week 4)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Brand Ambassador &amp; Launch Strategy (2–3 pages)</w:t>
      </w:r>
    </w:p>
    <w:p>
      <w:pPr>
        <w:numPr>
          <w:ilvl w:val="0"/>
          <w:numId w:val="1004"/>
        </w:numPr>
      </w:pPr>
      <w:r>
        <w:t xml:space="preserve">Brand identity (name, colours, positioning, connection to city)</w:t>
      </w:r>
    </w:p>
    <w:p>
      <w:pPr>
        <w:numPr>
          <w:ilvl w:val="0"/>
          <w:numId w:val="1004"/>
        </w:numPr>
      </w:pPr>
      <w:r>
        <w:t xml:space="preserve">Launch campaign (pre-launch buzz, reveal strategy, season-ticket campaign)</w:t>
      </w:r>
    </w:p>
    <w:p>
      <w:pPr>
        <w:numPr>
          <w:ilvl w:val="0"/>
          <w:numId w:val="1004"/>
        </w:numPr>
      </w:pPr>
      <w:r>
        <w:t xml:space="preserve">Community integration (youth programs, school partnerships, charitable foundation)</w:t>
      </w:r>
    </w:p>
    <w:bookmarkEnd w:id="14"/>
    <w:bookmarkStart w:id="15" w:name="X1686c7a11fae80696d9391a6715399f6cf8c7ab"/>
    <w:p>
      <w:pPr>
        <w:pStyle w:val="Heading3"/>
      </w:pPr>
      <w:r>
        <w:t xml:space="preserve">Milestone 5: Final Expansion Proposal (Week 5)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Executive Summary (3–4 pages)</w:t>
      </w:r>
    </w:p>
    <w:p>
      <w:pPr>
        <w:numPr>
          <w:ilvl w:val="0"/>
          <w:numId w:val="1005"/>
        </w:numPr>
      </w:pPr>
      <w:r>
        <w:t xml:space="preserve">Executive overview: Investment thesis—why this market, why now</w:t>
      </w:r>
    </w:p>
    <w:p>
      <w:pPr>
        <w:numPr>
          <w:ilvl w:val="0"/>
          <w:numId w:val="1005"/>
        </w:numPr>
      </w:pPr>
      <w:r>
        <w:t xml:space="preserve">Synthesised strategy: Market, media, sponsorship, brand pillars</w:t>
      </w:r>
    </w:p>
    <w:p>
      <w:pPr>
        <w:numPr>
          <w:ilvl w:val="0"/>
          <w:numId w:val="1005"/>
        </w:numPr>
      </w:pPr>
      <w:r>
        <w:t xml:space="preserve">Financial summary: 5-year P&amp;L, investment required, break-even</w:t>
      </w:r>
    </w:p>
    <w:p>
      <w:pPr>
        <w:numPr>
          <w:ilvl w:val="0"/>
          <w:numId w:val="1005"/>
        </w:numPr>
      </w:pPr>
      <w:r>
        <w:t xml:space="preserve">Risk analysis: Top three risks with mitigation strategies</w:t>
      </w:r>
    </w:p>
    <w:p>
      <w:pPr>
        <w:numPr>
          <w:ilvl w:val="0"/>
          <w:numId w:val="1005"/>
        </w:numPr>
      </w:pPr>
      <w:r>
        <w:t xml:space="preserve">5-year vision: Where this franchise will be in 2031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five-revenue-streams-framework"/>
    <w:p>
      <w:pPr>
        <w:pStyle w:val="Heading2"/>
      </w:pPr>
      <w:r>
        <w:t xml:space="preserve">Five Revenue Streams Framework</w:t>
      </w:r>
    </w:p>
    <w:p>
      <w:pPr>
        <w:pStyle w:val="FirstParagraph"/>
      </w:pPr>
      <w:r>
        <w:t xml:space="preserve">Students must project 5-year revenue across all five streams: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What Students Analyse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Media Rights</w:t>
            </w:r>
          </w:p>
        </w:tc>
        <w:tc>
          <w:tcPr/>
          <w:p>
            <w:pPr>
              <w:pStyle w:val="Compact"/>
            </w:pPr>
            <w:r>
              <w:t xml:space="preserve">CFL–TSN revenue sharing, local broadcast partnerships, streaming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Ticketing</w:t>
            </w:r>
          </w:p>
        </w:tc>
        <w:tc>
          <w:tcPr/>
          <w:p>
            <w:pPr>
              <w:pStyle w:val="Compact"/>
            </w:pPr>
            <w:r>
              <w:t xml:space="preserve">Stadium capacity, pricing tiers, attendance projections, game-day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Sponsorship</w:t>
            </w:r>
          </w:p>
        </w:tc>
        <w:tc>
          <w:tcPr/>
          <w:p>
            <w:pPr>
              <w:pStyle w:val="Compact"/>
            </w:pPr>
            <w:r>
              <w:t xml:space="preserve">Naming rights, jersey sponsors, tiered partnership structure, activation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Merchandise</w:t>
            </w:r>
          </w:p>
        </w:tc>
        <w:tc>
          <w:tcPr/>
          <w:p>
            <w:pPr>
              <w:pStyle w:val="Compact"/>
            </w:pPr>
            <w:r>
              <w:t xml:space="preserve">New market dynamics, retail strategy, e-commerce, licensing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Betting</w:t>
            </w:r>
          </w:p>
        </w:tc>
        <w:tc>
          <w:tcPr/>
          <w:p>
            <w:pPr>
              <w:pStyle w:val="Compact"/>
            </w:pPr>
            <w:r>
              <w:t xml:space="preserve">Provincial regulations, operator partnerships, in-stadium experience, data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how-students-are-evaluated"/>
    <w:p>
      <w:pPr>
        <w:pStyle w:val="Heading2"/>
      </w:pPr>
      <w:r>
        <w:t xml:space="preserve">How Students Are Evaluated</w:t>
      </w:r>
    </w:p>
    <w:p>
      <w:pPr>
        <w:pStyle w:val="FirstParagraph"/>
      </w:pPr>
      <w:r>
        <w:t xml:space="preserve">Each milestone is assessed on: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Market/Strategic Logic</w:t>
      </w:r>
      <w:r>
        <w:t xml:space="preserve">: Does the analysis make sense for the chosen city?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Financial Realism</w:t>
      </w:r>
      <w:r>
        <w:t xml:space="preserve">: Are projections grounded in CFL economics?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Framework Application</w:t>
      </w:r>
      <w:r>
        <w:t xml:space="preserve">: Does the work show they learned the course content?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Professional Quality</w:t>
      </w:r>
      <w:r>
        <w:t xml:space="preserve">: Is it board-ready?</w:t>
      </w:r>
    </w:p>
    <w:p>
      <w:r>
        <w:pict>
          <v:rect style="width:0;height:1.5pt" o:hralign="center" o:hrstd="t" o:hr="t"/>
        </w:pict>
      </w:r>
    </w:p>
    <w:bookmarkEnd w:id="18"/>
    <w:bookmarkStart w:id="19" w:name="suggested-expansion-cities"/>
    <w:p>
      <w:pPr>
        <w:pStyle w:val="Heading2"/>
      </w:pPr>
      <w:r>
        <w:t xml:space="preserve">Suggested Expansion Cities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Key Consideration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Halifax</w:t>
            </w:r>
          </w:p>
        </w:tc>
        <w:tc>
          <w:tcPr/>
          <w:p>
            <w:pPr>
              <w:pStyle w:val="Compact"/>
            </w:pPr>
            <w:r>
              <w:t xml:space="preserve">450K</w:t>
            </w:r>
          </w:p>
        </w:tc>
        <w:tc>
          <w:tcPr/>
          <w:p>
            <w:pPr>
              <w:pStyle w:val="Compact"/>
            </w:pPr>
            <w:r>
              <w:t xml:space="preserve">No major pro sports, strong football culture, Atlantic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Quebec City</w:t>
            </w:r>
          </w:p>
        </w:tc>
        <w:tc>
          <w:tcPr/>
          <w:p>
            <w:pPr>
              <w:pStyle w:val="Compact"/>
            </w:pPr>
            <w:r>
              <w:t xml:space="preserve">550K</w:t>
            </w:r>
          </w:p>
        </w:tc>
        <w:tc>
          <w:tcPr/>
          <w:p>
            <w:pPr>
              <w:pStyle w:val="Compact"/>
            </w:pPr>
            <w:r>
              <w:t xml:space="preserve">Francophone opportunity, passionate sports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Kitchener-Waterloo</w:t>
            </w:r>
          </w:p>
        </w:tc>
        <w:tc>
          <w:tcPr/>
          <w:p>
            <w:pPr>
              <w:pStyle w:val="Compact"/>
            </w:pPr>
            <w:r>
              <w:t xml:space="preserve">600K</w:t>
            </w:r>
          </w:p>
        </w:tc>
        <w:tc>
          <w:tcPr/>
          <w:p>
            <w:pPr>
              <w:pStyle w:val="Compact"/>
            </w:pPr>
            <w:r>
              <w:t xml:space="preserve">Tech hub, young demographics, proximity to Toronto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London, ON</w:t>
            </w:r>
          </w:p>
        </w:tc>
        <w:tc>
          <w:tcPr/>
          <w:p>
            <w:pPr>
              <w:pStyle w:val="Compact"/>
            </w:pPr>
            <w:r>
              <w:t xml:space="preserve">500K</w:t>
            </w:r>
          </w:p>
        </w:tc>
        <w:tc>
          <w:tcPr/>
          <w:p>
            <w:pPr>
              <w:pStyle w:val="Compact"/>
            </w:pPr>
            <w:r>
              <w:t xml:space="preserve">Proximity to GTA, university presence, corporate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Moncton</w:t>
            </w:r>
          </w:p>
        </w:tc>
        <w:tc>
          <w:tcPr/>
          <w:p>
            <w:pPr>
              <w:pStyle w:val="Compact"/>
            </w:pPr>
            <w:r>
              <w:t xml:space="preserve">170K</w:t>
            </w:r>
          </w:p>
        </w:tc>
        <w:tc>
          <w:tcPr/>
          <w:p>
            <w:pPr>
              <w:pStyle w:val="Compact"/>
            </w:pPr>
            <w:r>
              <w:t xml:space="preserve">Atlantic alternative, existing stadium, smaller-market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Victoria</w:t>
            </w:r>
          </w:p>
        </w:tc>
        <w:tc>
          <w:tcPr/>
          <w:p>
            <w:pPr>
              <w:pStyle w:val="Compact"/>
            </w:pPr>
            <w:r>
              <w:t xml:space="preserve">400K</w:t>
            </w:r>
          </w:p>
        </w:tc>
        <w:tc>
          <w:tcPr/>
          <w:p>
            <w:pPr>
              <w:pStyle w:val="Compact"/>
            </w:pPr>
            <w:r>
              <w:t xml:space="preserve">No CFL presence, limited corporate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Saskatoon</w:t>
            </w:r>
          </w:p>
        </w:tc>
        <w:tc>
          <w:tcPr/>
          <w:p>
            <w:pPr>
              <w:pStyle w:val="Compact"/>
            </w:pPr>
            <w:r>
              <w:t xml:space="preserve">330K</w:t>
            </w:r>
          </w:p>
        </w:tc>
        <w:tc>
          <w:tcPr/>
          <w:p>
            <w:pPr>
              <w:pStyle w:val="Compact"/>
            </w:pPr>
            <w:r>
              <w:t xml:space="preserve">Proven CFL market, but Roughriders cannibalization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ourse-integration"/>
    <w:p>
      <w:pPr>
        <w:pStyle w:val="Heading2"/>
      </w:pPr>
      <w:r>
        <w:t xml:space="preserve">Course Integration</w:t>
      </w:r>
    </w:p>
    <w:p>
      <w:pPr>
        <w:pStyle w:val="FirstParagraph"/>
      </w:pPr>
      <w:r>
        <w:t xml:space="preserve">Each milestone builds on weekly course content: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Week 1:</w:t>
      </w:r>
      <w:r>
        <w:t xml:space="preserve"> </w:t>
      </w:r>
      <w:r>
        <w:t xml:space="preserve">Revenue ecosystem analysis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Week 2:</w:t>
      </w:r>
      <w:r>
        <w:t xml:space="preserve"> </w:t>
      </w:r>
      <w:r>
        <w:t xml:space="preserve">Media rights valuation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Week 3:</w:t>
      </w:r>
      <w:r>
        <w:t xml:space="preserve"> </w:t>
      </w:r>
      <w:r>
        <w:t xml:space="preserve">Sponsorship ROI and betting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Week 4:</w:t>
      </w:r>
      <w:r>
        <w:t xml:space="preserve"> </w:t>
      </w:r>
      <w:r>
        <w:t xml:space="preserve">Athlete brands &amp; emerging sports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Week 5:</w:t>
      </w:r>
      <w:r>
        <w:t xml:space="preserve"> </w:t>
      </w:r>
      <w:r>
        <w:t xml:space="preserve">Heritage vs. innovation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Business of Sports Marketing | Ivey Business School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411E5C3-E906-47C9-99C4-9A14F5AF6752}"/>
</file>

<file path=customXml/itemProps2.xml><?xml version="1.0" encoding="utf-8"?>
<ds:datastoreItem xmlns:ds="http://schemas.openxmlformats.org/officeDocument/2006/customXml" ds:itemID="{D8837D93-54BA-4BBB-BB31-B340B2C2D8A4}"/>
</file>

<file path=customXml/itemProps3.xml><?xml version="1.0" encoding="utf-8"?>
<ds:datastoreItem xmlns:ds="http://schemas.openxmlformats.org/officeDocument/2006/customXml" ds:itemID="{9D7057B6-471A-4A51-A7B1-A512D489CAF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2026-01-21T14:19:56Z</dcterms:created>
  <dcterms:modified xsi:type="dcterms:W3CDTF">2026-01-21T14:19:56Z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