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2173E1AD"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EndPr/>
        <w:sdtContent>
          <w:r w:rsidR="000C7B40">
            <w:rPr>
              <w:rFonts w:ascii="Times New Roman" w:hAnsi="Times New Roman"/>
              <w:b/>
              <w:szCs w:val="24"/>
            </w:rPr>
            <w:t>GOV</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18T00:00:00Z">
            <w:dateFormat w:val="M/d/yyyy"/>
            <w:lid w:val="en-US"/>
            <w:storeMappedDataAs w:val="dateTime"/>
            <w:calendar w:val="gregorian"/>
          </w:date>
        </w:sdtPr>
        <w:sdtEndPr/>
        <w:sdtContent>
          <w:r w:rsidR="000C7B40">
            <w:rPr>
              <w:rFonts w:ascii="Times New Roman" w:hAnsi="Times New Roman"/>
              <w:b/>
              <w:szCs w:val="24"/>
            </w:rPr>
            <w:t>5/18/2026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3624B2D9"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EndPr/>
        <w:sdtContent>
          <w:r w:rsidR="000C7B40">
            <w:rPr>
              <w:rFonts w:ascii="Times New Roman" w:hAnsi="Times New Roman"/>
              <w:b/>
              <w:szCs w:val="24"/>
            </w:rPr>
            <w:t>HB 23</w:t>
          </w:r>
        </w:sdtContent>
      </w:sdt>
    </w:p>
    <w:p w14:paraId="0907FF79" w14:textId="77777777" w:rsidR="004A3D8A" w:rsidRPr="00384BE6" w:rsidRDefault="004A3D8A" w:rsidP="00605639">
      <w:pPr>
        <w:rPr>
          <w:rFonts w:ascii="Times New Roman" w:hAnsi="Times New Roman"/>
          <w:b/>
          <w:szCs w:val="24"/>
        </w:rPr>
      </w:pPr>
    </w:p>
    <w:p w14:paraId="68C9BB9A" w14:textId="69AC5EE8"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EndPr/>
        <w:sdtContent>
          <w:r w:rsidR="000C7B40">
            <w:rPr>
              <w:rFonts w:ascii="Times New Roman" w:hAnsi="Times New Roman"/>
              <w:b/>
              <w:szCs w:val="24"/>
            </w:rPr>
            <w:t>State Commission for Civil Rights</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096E4C72" w:rsidR="00605639" w:rsidRPr="00384BE6" w:rsidRDefault="003A79D4"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EndPr/>
        <w:sdtContent>
          <w:r w:rsidR="000C7B40">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End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End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16B89332" w14:textId="1386B3E9" w:rsidR="00605639" w:rsidRPr="00384BE6" w:rsidRDefault="00605639" w:rsidP="00605639">
      <w:pPr>
        <w:widowControl/>
        <w:spacing w:line="276" w:lineRule="auto"/>
        <w:rPr>
          <w:rFonts w:ascii="Times New Roman" w:hAnsi="Times New Roman"/>
          <w:i/>
          <w:iCs/>
          <w:szCs w:val="24"/>
        </w:rPr>
      </w:pPr>
      <w:r w:rsidRPr="00384BE6">
        <w:rPr>
          <w:rFonts w:ascii="Times New Roman" w:hAnsi="Times New Roman"/>
          <w:i/>
          <w:iCs/>
          <w:szCs w:val="24"/>
        </w:rPr>
        <w:t>Please be specific.</w:t>
      </w:r>
    </w:p>
    <w:p w14:paraId="31B09BE8" w14:textId="77777777" w:rsidR="004A3D8A" w:rsidRPr="00384BE6" w:rsidRDefault="004A3D8A" w:rsidP="00605639">
      <w:pPr>
        <w:widowControl/>
        <w:spacing w:line="276" w:lineRule="auto"/>
        <w:rPr>
          <w:rFonts w:ascii="Times New Roman" w:hAnsi="Times New Roman"/>
          <w:szCs w:val="24"/>
        </w:rPr>
      </w:pPr>
    </w:p>
    <w:bookmarkStart w:id="0" w:name="_Hlk134092544" w:displacedByCustomXml="next"/>
    <w:sdt>
      <w:sdtPr>
        <w:rPr>
          <w:rFonts w:ascii="Times New Roman" w:eastAsia="Calibri" w:hAnsi="Times New Roman"/>
          <w:bCs/>
          <w:snapToGrid/>
          <w:szCs w:val="24"/>
        </w:rPr>
        <w:id w:val="-1204008412"/>
        <w:placeholder>
          <w:docPart w:val="BC5B6613F9CA4CD19D9DB5716431E937"/>
        </w:placeholder>
      </w:sdtPr>
      <w:sdtEndPr/>
      <w:sdtContent>
        <w:sdt>
          <w:sdtPr>
            <w:rPr>
              <w:rFonts w:ascii="Times New Roman" w:eastAsia="Calibri" w:hAnsi="Times New Roman"/>
              <w:bCs/>
              <w:snapToGrid/>
              <w:szCs w:val="24"/>
            </w:rPr>
            <w:id w:val="-2109808720"/>
            <w:placeholder>
              <w:docPart w:val="313775AE791E45ADB09B76906871AE18"/>
            </w:placeholder>
          </w:sdtPr>
          <w:sdtContent>
            <w:p w14:paraId="421F9B5A" w14:textId="295BEF23" w:rsidR="00AE1FEA" w:rsidRPr="00384BE6" w:rsidRDefault="000C7B40" w:rsidP="00605639">
              <w:pPr>
                <w:widowControl/>
                <w:spacing w:line="276" w:lineRule="auto"/>
                <w:rPr>
                  <w:rFonts w:ascii="Times New Roman" w:eastAsia="Calibri" w:hAnsi="Times New Roman"/>
                  <w:bCs/>
                  <w:snapToGrid/>
                  <w:szCs w:val="24"/>
                </w:rPr>
              </w:pPr>
              <w:r>
                <w:rPr>
                  <w:rFonts w:ascii="Times New Roman" w:eastAsia="Calibri" w:hAnsi="Times New Roman"/>
                  <w:bCs/>
                  <w:snapToGrid/>
                  <w:szCs w:val="24"/>
                </w:rPr>
                <w:t>Although the bill is an administrative clean-up bill, civil rights are in the national dialogue. Affixing the Governor’s signature to the bill, as a legacy moment, show</w:t>
              </w:r>
              <w:r w:rsidR="00661D53">
                <w:rPr>
                  <w:rFonts w:ascii="Times New Roman" w:eastAsia="Calibri" w:hAnsi="Times New Roman"/>
                  <w:bCs/>
                  <w:snapToGrid/>
                  <w:szCs w:val="24"/>
                </w:rPr>
                <w:t>s</w:t>
              </w:r>
              <w:r>
                <w:rPr>
                  <w:rFonts w:ascii="Times New Roman" w:eastAsia="Calibri" w:hAnsi="Times New Roman"/>
                  <w:bCs/>
                  <w:snapToGrid/>
                  <w:szCs w:val="24"/>
                </w:rPr>
                <w:t xml:space="preserve"> support for civil rights without committing him to </w:t>
              </w:r>
              <w:r w:rsidR="00414816">
                <w:rPr>
                  <w:rFonts w:ascii="Times New Roman" w:eastAsia="Calibri" w:hAnsi="Times New Roman"/>
                  <w:bCs/>
                  <w:snapToGrid/>
                  <w:szCs w:val="24"/>
                </w:rPr>
                <w:t>controversial</w:t>
              </w:r>
              <w:r>
                <w:rPr>
                  <w:rFonts w:ascii="Times New Roman" w:eastAsia="Calibri" w:hAnsi="Times New Roman"/>
                  <w:bCs/>
                  <w:snapToGrid/>
                  <w:szCs w:val="24"/>
                </w:rPr>
                <w:t xml:space="preserve"> social justice issues</w:t>
              </w:r>
              <w:r w:rsidR="00414816">
                <w:rPr>
                  <w:rFonts w:ascii="Times New Roman" w:eastAsia="Calibri" w:hAnsi="Times New Roman"/>
                  <w:bCs/>
                  <w:snapToGrid/>
                  <w:szCs w:val="24"/>
                </w:rPr>
                <w:t xml:space="preserve"> while simultaneously showing support for religious jobs protected by the First Amendment. </w:t>
              </w:r>
              <w:r>
                <w:rPr>
                  <w:rFonts w:ascii="Times New Roman" w:eastAsia="Calibri" w:hAnsi="Times New Roman"/>
                  <w:bCs/>
                  <w:snapToGrid/>
                  <w:szCs w:val="24"/>
                </w:rPr>
                <w:t>The “for cause” removal provision also serves as a legacy moment for the Governor since his appointees will continue into the next administration.</w:t>
              </w:r>
            </w:p>
          </w:sdtContent>
        </w:sdt>
      </w:sdtContent>
    </w:sdt>
    <w:bookmarkEnd w:id="0" w:displacedByCustomXml="prev"/>
    <w:p w14:paraId="41F3A7DA" w14:textId="77777777" w:rsidR="00605639" w:rsidRPr="00384BE6" w:rsidRDefault="00605639" w:rsidP="00605639">
      <w:pPr>
        <w:widowControl/>
        <w:spacing w:line="276" w:lineRule="auto"/>
        <w:rPr>
          <w:rFonts w:ascii="Times New Roman" w:eastAsia="Calibri" w:hAnsi="Times New Roman"/>
          <w:b/>
          <w:snapToGrid/>
          <w:szCs w:val="24"/>
          <w:u w:val="single"/>
        </w:rPr>
      </w:pP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6E66EAB8" w14:textId="7B7DFEC4"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619192999"/>
        <w:placeholder>
          <w:docPart w:val="41E71D3F576E4830AF31EBF8F8ED1FEB"/>
        </w:placeholder>
      </w:sdtPr>
      <w:sdtEndPr/>
      <w:sdtContent>
        <w:p w14:paraId="6ED10DBE" w14:textId="77777777" w:rsidR="00661D53" w:rsidRPr="00661D53" w:rsidRDefault="00661D53" w:rsidP="00661D53">
          <w:pPr>
            <w:rPr>
              <w:rFonts w:ascii="Times New Roman" w:hAnsi="Times New Roman"/>
              <w:szCs w:val="24"/>
            </w:rPr>
          </w:pPr>
          <w:r w:rsidRPr="00661D53">
            <w:rPr>
              <w:rFonts w:ascii="Times New Roman" w:hAnsi="Times New Roman"/>
              <w:szCs w:val="24"/>
            </w:rPr>
            <w:t>First, it changes the commission’s name to align with its constitutionally mandated function enforcing the civil rights clause. The commission anticipates this will assist with avoiding confusion about the agency’s purpose.</w:t>
          </w:r>
        </w:p>
        <w:p w14:paraId="65091620" w14:textId="77777777" w:rsidR="00661D53" w:rsidRPr="00661D53" w:rsidRDefault="00661D53" w:rsidP="00661D53">
          <w:pPr>
            <w:rPr>
              <w:rFonts w:ascii="Times New Roman" w:hAnsi="Times New Roman"/>
              <w:szCs w:val="24"/>
            </w:rPr>
          </w:pPr>
        </w:p>
        <w:p w14:paraId="5F41FA05" w14:textId="10325121" w:rsidR="00661D53" w:rsidRDefault="00661D53" w:rsidP="00661D53">
          <w:pPr>
            <w:rPr>
              <w:rFonts w:ascii="Times New Roman" w:hAnsi="Times New Roman"/>
              <w:szCs w:val="24"/>
            </w:rPr>
          </w:pPr>
          <w:r w:rsidRPr="00661D53">
            <w:rPr>
              <w:rFonts w:ascii="Times New Roman" w:hAnsi="Times New Roman"/>
              <w:szCs w:val="24"/>
            </w:rPr>
            <w:lastRenderedPageBreak/>
            <w:t xml:space="preserve">Second, </w:t>
          </w:r>
          <w:r>
            <w:rPr>
              <w:rFonts w:ascii="Times New Roman" w:hAnsi="Times New Roman"/>
              <w:szCs w:val="24"/>
            </w:rPr>
            <w:t xml:space="preserve">it articulates authority for the Commission to settle a case during the investigation-phase, prior to issuing a determination, when the complainant, respondent, and executive director all agree to a remedy. The Commission started this practice </w:t>
          </w:r>
          <w:r w:rsidR="00414816">
            <w:rPr>
              <w:rFonts w:ascii="Times New Roman" w:hAnsi="Times New Roman"/>
              <w:szCs w:val="24"/>
            </w:rPr>
            <w:t>five</w:t>
          </w:r>
          <w:r>
            <w:rPr>
              <w:rFonts w:ascii="Times New Roman" w:hAnsi="Times New Roman"/>
              <w:szCs w:val="24"/>
            </w:rPr>
            <w:t xml:space="preserve"> years ago and it proved extremely popular with the labor bar, the business community, and complainants. All parties received certainty early on, and it avoided the expense of </w:t>
          </w:r>
          <w:r w:rsidR="000517DE">
            <w:rPr>
              <w:rFonts w:ascii="Times New Roman" w:hAnsi="Times New Roman"/>
              <w:szCs w:val="24"/>
            </w:rPr>
            <w:t xml:space="preserve">completing a full </w:t>
          </w:r>
          <w:r>
            <w:rPr>
              <w:rFonts w:ascii="Times New Roman" w:hAnsi="Times New Roman"/>
              <w:szCs w:val="24"/>
            </w:rPr>
            <w:t>investigation. However,</w:t>
          </w:r>
          <w:r w:rsidR="000517DE">
            <w:rPr>
              <w:rFonts w:ascii="Times New Roman" w:hAnsi="Times New Roman"/>
              <w:szCs w:val="24"/>
            </w:rPr>
            <w:t xml:space="preserve"> the Commission stopped this practice</w:t>
          </w:r>
          <w:r>
            <w:rPr>
              <w:rFonts w:ascii="Times New Roman" w:hAnsi="Times New Roman"/>
              <w:szCs w:val="24"/>
            </w:rPr>
            <w:t xml:space="preserve"> </w:t>
          </w:r>
          <w:r w:rsidR="00414816">
            <w:rPr>
              <w:rFonts w:ascii="Times New Roman" w:hAnsi="Times New Roman"/>
              <w:szCs w:val="24"/>
            </w:rPr>
            <w:t>three</w:t>
          </w:r>
          <w:r>
            <w:rPr>
              <w:rFonts w:ascii="Times New Roman" w:hAnsi="Times New Roman"/>
              <w:szCs w:val="24"/>
            </w:rPr>
            <w:t xml:space="preserve"> years ago </w:t>
          </w:r>
          <w:r w:rsidR="000517DE">
            <w:rPr>
              <w:rFonts w:ascii="Times New Roman" w:hAnsi="Times New Roman"/>
              <w:szCs w:val="24"/>
            </w:rPr>
            <w:t xml:space="preserve">when </w:t>
          </w:r>
          <w:r>
            <w:rPr>
              <w:rFonts w:ascii="Times New Roman" w:hAnsi="Times New Roman"/>
              <w:szCs w:val="24"/>
            </w:rPr>
            <w:t>the Department of Law refused to enforce a pre-determination settlement agreement, citing a lack of clear statutory authority.</w:t>
          </w:r>
          <w:r w:rsidR="000517DE">
            <w:rPr>
              <w:rFonts w:ascii="Times New Roman" w:hAnsi="Times New Roman"/>
              <w:szCs w:val="24"/>
            </w:rPr>
            <w:t xml:space="preserve"> Law’s position was that the Commission could not settle a case until it completed the investigation and issued the determination. This statutory change allows the Commission to settle cases early</w:t>
          </w:r>
          <w:r w:rsidR="00414816">
            <w:rPr>
              <w:rFonts w:ascii="Times New Roman" w:hAnsi="Times New Roman"/>
              <w:szCs w:val="24"/>
            </w:rPr>
            <w:t>, saving time and expense for all parties</w:t>
          </w:r>
          <w:r w:rsidR="000517DE">
            <w:rPr>
              <w:rFonts w:ascii="Times New Roman" w:hAnsi="Times New Roman"/>
              <w:szCs w:val="24"/>
            </w:rPr>
            <w:t>.</w:t>
          </w:r>
        </w:p>
        <w:p w14:paraId="7EA6CA19" w14:textId="77777777" w:rsidR="00661D53" w:rsidRDefault="00661D53" w:rsidP="00661D53">
          <w:pPr>
            <w:rPr>
              <w:rFonts w:ascii="Times New Roman" w:hAnsi="Times New Roman"/>
              <w:szCs w:val="24"/>
            </w:rPr>
          </w:pPr>
        </w:p>
        <w:p w14:paraId="28A2BD3E" w14:textId="3AA803FE" w:rsidR="00661D53" w:rsidRPr="00661D53" w:rsidRDefault="00661D53" w:rsidP="00661D53">
          <w:pPr>
            <w:rPr>
              <w:rFonts w:ascii="Times New Roman" w:hAnsi="Times New Roman"/>
              <w:szCs w:val="24"/>
            </w:rPr>
          </w:pPr>
          <w:r>
            <w:rPr>
              <w:rFonts w:ascii="Times New Roman" w:hAnsi="Times New Roman"/>
              <w:szCs w:val="24"/>
            </w:rPr>
            <w:t xml:space="preserve">Third, </w:t>
          </w:r>
          <w:r w:rsidRPr="00661D53">
            <w:rPr>
              <w:rFonts w:ascii="Times New Roman" w:hAnsi="Times New Roman"/>
              <w:szCs w:val="24"/>
            </w:rPr>
            <w:t xml:space="preserve">it changes current statutory due dates for the annual report and the equal employment opportunity assessment of the executive branch departments which is included in the annual report every three years. The current annual report deadline is the week prior to the legislative session. In 2026, the first legislative day is January 20, meaning ASCHR needed to </w:t>
          </w:r>
          <w:r w:rsidRPr="00661D53">
            <w:rPr>
              <w:rFonts w:ascii="Times New Roman" w:hAnsi="Times New Roman"/>
              <w:i/>
              <w:iCs/>
              <w:szCs w:val="24"/>
            </w:rPr>
            <w:t>deliver</w:t>
          </w:r>
          <w:r w:rsidRPr="00661D53">
            <w:rPr>
              <w:rFonts w:ascii="Times New Roman" w:hAnsi="Times New Roman"/>
              <w:szCs w:val="24"/>
            </w:rPr>
            <w:t xml:space="preserve"> the report by January 13. This gave the commission only six business days to analyze data, write the report, work with a publisher, print the report, and ensure its arrival in Juneau. The department assessments add an additional significant burden every three years and the commission’s practice is to involve the executive branch leadership in the analysis of each department’s data. Having each cabinet member sit down with their ASD and HR Business Partner to analyze data not available until January 1, then meet with ASCHR’s staff to discuss the data, and give ASCHR time to draft the analysis, work with a publisher, and include it in the annual report delivered to Juneau all within six business days is impossible. Current law also requires the commission to send only 40 hard copies to the Legislative Affairs Agency for the library to distribute. ASCHR is the only agency required to distribute its annual report this way, and the Legislative Library wants out of the distribution chain. During legislative discussions in 2023 there was overwhelming bipartisan support to have ASCHR submit its annual report in late fall, perhaps after elections and when legislators have time to review it, rather than during the session. Legislators also universally agreed that the data should be reported on the fiscal year rather than the calendar year. Publishing the report in the fall obviates the need to have an independent deadline for the 3-year assessment, which can therefore remain a component of the annual report. CSHB 23(L&amp;C) therefore moves the annual report due date to November 15 but retains the 3-year assessment as part of the annual report.  It also moves the document to electronic publication with notification to the legislature. </w:t>
          </w:r>
        </w:p>
        <w:p w14:paraId="0642B16B" w14:textId="77777777" w:rsidR="00661D53" w:rsidRPr="00661D53" w:rsidRDefault="00661D53" w:rsidP="00661D53">
          <w:pPr>
            <w:rPr>
              <w:rFonts w:ascii="Times New Roman" w:hAnsi="Times New Roman"/>
              <w:szCs w:val="24"/>
            </w:rPr>
          </w:pPr>
        </w:p>
        <w:p w14:paraId="479D0AB2" w14:textId="0004B7E5" w:rsidR="00661D53" w:rsidRPr="00661D53" w:rsidRDefault="000517DE" w:rsidP="00661D53">
          <w:pPr>
            <w:rPr>
              <w:rFonts w:ascii="Times New Roman" w:hAnsi="Times New Roman"/>
              <w:szCs w:val="24"/>
            </w:rPr>
          </w:pPr>
          <w:r>
            <w:rPr>
              <w:rFonts w:ascii="Times New Roman" w:hAnsi="Times New Roman"/>
              <w:szCs w:val="24"/>
            </w:rPr>
            <w:t>Fourth</w:t>
          </w:r>
          <w:r w:rsidR="00661D53" w:rsidRPr="00661D53">
            <w:rPr>
              <w:rFonts w:ascii="Times New Roman" w:hAnsi="Times New Roman"/>
              <w:szCs w:val="24"/>
            </w:rPr>
            <w:t xml:space="preserve">, the bill changes the definition of “employer” in the commission’s statute to encompass non-profit corporations. There is currently a jurisdictional hole in Alaska: nonprofits with more than 15 employees are covered by Title VII of the Civil Rights Act of 1964 and subject to investigation by the U.S. EEOC, and nonprofits in the Municipality of Anchorage are covered by Title 5 of the municipal code and subject to investigation by the Anchorage Equal Rights Commission. But smaller nonprofits outside Anchorage can effectively discriminate against employees with impunity. The only recourse an employee has in these circumstances is to file a private lawsuit, but when the compensatory damages for an hourly employee who mitigates by finding a new job may only amount to two weeks of backpay equaling a few thousand dollars, the cost of retaining an attorney to bring the suit can readily exceed recovery. Changing the </w:t>
          </w:r>
          <w:r w:rsidR="00661D53" w:rsidRPr="00661D53">
            <w:rPr>
              <w:rFonts w:ascii="Times New Roman" w:hAnsi="Times New Roman"/>
              <w:szCs w:val="24"/>
            </w:rPr>
            <w:lastRenderedPageBreak/>
            <w:t xml:space="preserve">definition of “employer” to include nonprofits effectively fills the jurisdictional void in Alaska. Granting ASCHR jurisdiction over nonprofits will also increase its federal receipts for complaints that are co-jurisdictional with the U.S. EEOC. Currently, ASCHR receives $830 per complaint for resolving cases also subject to federal jurisdiction, but ASCHR turns down referrals from the U.S. EEOC if the employer is a non-profit corporation, and ASCHR screens out all inquiries coming directly to it when the employer is a nonprofit. These entities include some of the largest and most profitable “non-profit” corporations in Alaska. To respect religious entities’ First Amendment rights, the committee substitute creates an affirmative defense for employers when a job includes ecclesiastical, spiritual, or religious responsibilities that further the study or advancement of religion. A medical doctor working for a non-profit is unlikely to have ecclesiastical responsibilities, whereas a teacher in a parochial school clearly falls within the defense. </w:t>
          </w:r>
        </w:p>
        <w:p w14:paraId="6EB02AAC" w14:textId="77777777" w:rsidR="00661D53" w:rsidRPr="00661D53" w:rsidRDefault="00661D53" w:rsidP="00661D53">
          <w:pPr>
            <w:rPr>
              <w:rFonts w:ascii="Times New Roman" w:hAnsi="Times New Roman"/>
              <w:szCs w:val="24"/>
            </w:rPr>
          </w:pPr>
        </w:p>
        <w:p w14:paraId="77620AC8" w14:textId="47C053AB" w:rsidR="00661D53" w:rsidRPr="00661D53" w:rsidRDefault="000517DE" w:rsidP="00661D53">
          <w:pPr>
            <w:rPr>
              <w:rFonts w:ascii="Times New Roman" w:hAnsi="Times New Roman"/>
              <w:szCs w:val="24"/>
            </w:rPr>
          </w:pPr>
          <w:r>
            <w:rPr>
              <w:rFonts w:ascii="Times New Roman" w:hAnsi="Times New Roman"/>
              <w:szCs w:val="24"/>
            </w:rPr>
            <w:t>Fifth</w:t>
          </w:r>
          <w:r w:rsidR="00661D53" w:rsidRPr="00661D53">
            <w:rPr>
              <w:rFonts w:ascii="Times New Roman" w:hAnsi="Times New Roman"/>
              <w:szCs w:val="24"/>
            </w:rPr>
            <w:t xml:space="preserve">, it grants the governor an express tool to remove a commissioner and provides that commissioner due process to challenge the removal decision. There may be times when a commissioner should be removed from office such as for incompetence, neglect of duty, misconduct, </w:t>
          </w:r>
          <w:r>
            <w:rPr>
              <w:rFonts w:ascii="Times New Roman" w:hAnsi="Times New Roman"/>
              <w:szCs w:val="24"/>
            </w:rPr>
            <w:t>etc</w:t>
          </w:r>
          <w:r w:rsidR="00661D53" w:rsidRPr="00661D53">
            <w:rPr>
              <w:rFonts w:ascii="Times New Roman" w:hAnsi="Times New Roman"/>
              <w:szCs w:val="24"/>
            </w:rPr>
            <w:t>. Although the legislative history is unclear, considering the requirement for legislative confirmation and financial disclosure,</w:t>
          </w:r>
          <w:r>
            <w:rPr>
              <w:rFonts w:ascii="Times New Roman" w:hAnsi="Times New Roman"/>
              <w:szCs w:val="24"/>
            </w:rPr>
            <w:t xml:space="preserve"> quasi-judicial status,</w:t>
          </w:r>
          <w:r w:rsidR="00661D53" w:rsidRPr="00661D53">
            <w:rPr>
              <w:rFonts w:ascii="Times New Roman" w:hAnsi="Times New Roman"/>
              <w:szCs w:val="24"/>
            </w:rPr>
            <w:t xml:space="preserve"> the nature of the 5-year rotating appointments, the commission’s broad jurisdiction which encompasses elected officials, and the need for the commission to remain apolitical in investigation and prosecution, </w:t>
          </w:r>
          <w:r>
            <w:rPr>
              <w:rFonts w:ascii="Times New Roman" w:hAnsi="Times New Roman"/>
              <w:szCs w:val="24"/>
            </w:rPr>
            <w:t>it is unlikely the legislature contemplated a need to remove commissioners</w:t>
          </w:r>
          <w:r w:rsidR="00661D53" w:rsidRPr="00661D53">
            <w:rPr>
              <w:rFonts w:ascii="Times New Roman" w:hAnsi="Times New Roman"/>
              <w:szCs w:val="24"/>
            </w:rPr>
            <w:t>. The bill creates a “for cause” removal provision, adapted from the Alaska Oil and Gas Conservation Commission, that allows the governor to remove a commissioner and provides the removed commissioner the opportunity to challenge the decision through a public hearing.</w:t>
          </w:r>
        </w:p>
        <w:p w14:paraId="5A34F9E8" w14:textId="07449611" w:rsidR="00384BE6" w:rsidRPr="00384BE6" w:rsidRDefault="003A79D4" w:rsidP="00384BE6">
          <w:pPr>
            <w:spacing w:line="276" w:lineRule="auto"/>
            <w:rPr>
              <w:rFonts w:ascii="Times New Roman" w:eastAsia="Calibri" w:hAnsi="Times New Roman"/>
              <w:bCs/>
              <w:szCs w:val="24"/>
            </w:rPr>
          </w:pPr>
        </w:p>
      </w:sdtContent>
    </w:sdt>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bCs/>
          <w:snapToGrid/>
          <w:szCs w:val="24"/>
        </w:rPr>
        <w:id w:val="-1287039817"/>
        <w:placeholder>
          <w:docPart w:val="770C63971E4640079F3480A565234B0E"/>
        </w:placeholder>
      </w:sdtPr>
      <w:sdtEndPr/>
      <w:sdtContent>
        <w:p w14:paraId="5654A3E0" w14:textId="77777777"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Section 1</w:t>
          </w:r>
        </w:p>
        <w:p w14:paraId="081FABE2" w14:textId="77777777" w:rsidR="000517DE" w:rsidRPr="000517DE" w:rsidRDefault="000517DE" w:rsidP="000517DE">
          <w:pPr>
            <w:rPr>
              <w:rFonts w:ascii="Times New Roman" w:hAnsi="Times New Roman"/>
              <w:szCs w:val="24"/>
            </w:rPr>
          </w:pPr>
          <w:r w:rsidRPr="000517DE">
            <w:rPr>
              <w:rFonts w:ascii="Times New Roman" w:hAnsi="Times New Roman"/>
              <w:szCs w:val="24"/>
            </w:rPr>
            <w:t>Amends the commission’s name to the Alaska State Commission for Civil Rights.</w:t>
          </w:r>
        </w:p>
        <w:p w14:paraId="5C41D428" w14:textId="77777777" w:rsidR="000517DE" w:rsidRDefault="000517DE" w:rsidP="000517DE">
          <w:pPr>
            <w:rPr>
              <w:rFonts w:ascii="Times New Roman" w:hAnsi="Times New Roman"/>
              <w:szCs w:val="24"/>
              <w:u w:val="single"/>
            </w:rPr>
          </w:pPr>
        </w:p>
        <w:p w14:paraId="4211B8F8" w14:textId="028FA88D"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Section 2</w:t>
          </w:r>
        </w:p>
        <w:p w14:paraId="3CF1E0F4" w14:textId="77777777" w:rsidR="000517DE" w:rsidRPr="000517DE" w:rsidRDefault="000517DE" w:rsidP="000517DE">
          <w:pPr>
            <w:rPr>
              <w:rFonts w:ascii="Times New Roman" w:hAnsi="Times New Roman"/>
              <w:szCs w:val="24"/>
            </w:rPr>
          </w:pPr>
          <w:r w:rsidRPr="000517DE">
            <w:rPr>
              <w:rFonts w:ascii="Times New Roman" w:hAnsi="Times New Roman"/>
              <w:szCs w:val="24"/>
            </w:rPr>
            <w:t>Creates a new subsection allowing the governor to remove a commissioner for cause and granting that commissioner a due process right through a public hearing.</w:t>
          </w:r>
        </w:p>
        <w:p w14:paraId="72ACEBE2" w14:textId="77777777" w:rsidR="000517DE" w:rsidRDefault="000517DE" w:rsidP="000517DE">
          <w:pPr>
            <w:rPr>
              <w:rFonts w:ascii="Times New Roman" w:hAnsi="Times New Roman"/>
              <w:szCs w:val="24"/>
              <w:u w:val="single"/>
            </w:rPr>
          </w:pPr>
        </w:p>
        <w:p w14:paraId="264FC8D5" w14:textId="6474DF71"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Section 3</w:t>
          </w:r>
        </w:p>
        <w:p w14:paraId="74969646" w14:textId="69765267" w:rsidR="000517DE" w:rsidRDefault="000517DE" w:rsidP="000517DE">
          <w:pPr>
            <w:rPr>
              <w:rFonts w:ascii="Times New Roman" w:hAnsi="Times New Roman"/>
              <w:szCs w:val="24"/>
            </w:rPr>
          </w:pPr>
          <w:r>
            <w:rPr>
              <w:rFonts w:ascii="Times New Roman" w:hAnsi="Times New Roman"/>
              <w:szCs w:val="24"/>
            </w:rPr>
            <w:t>Amends the authority for the complainant, executive director, and respondent</w:t>
          </w:r>
          <w:r w:rsidR="00414816">
            <w:rPr>
              <w:rFonts w:ascii="Times New Roman" w:hAnsi="Times New Roman"/>
              <w:szCs w:val="24"/>
            </w:rPr>
            <w:t xml:space="preserve"> to enter into a written agreement regarding the remedy to a complaint</w:t>
          </w:r>
          <w:r>
            <w:rPr>
              <w:rFonts w:ascii="Times New Roman" w:hAnsi="Times New Roman"/>
              <w:szCs w:val="24"/>
            </w:rPr>
            <w:t xml:space="preserve"> </w:t>
          </w:r>
          <w:r w:rsidR="00414816">
            <w:rPr>
              <w:rFonts w:ascii="Times New Roman" w:hAnsi="Times New Roman"/>
              <w:szCs w:val="24"/>
            </w:rPr>
            <w:t>before the investigator reaches a determination on the investigation. It authorizes such an agreement to be binding and enforceable as an order of the commission.</w:t>
          </w:r>
        </w:p>
        <w:p w14:paraId="7A5323E0" w14:textId="77777777" w:rsidR="000517DE" w:rsidRDefault="000517DE" w:rsidP="000517DE">
          <w:pPr>
            <w:rPr>
              <w:rFonts w:ascii="Times New Roman" w:hAnsi="Times New Roman"/>
              <w:szCs w:val="24"/>
            </w:rPr>
          </w:pPr>
        </w:p>
        <w:p w14:paraId="1080043D" w14:textId="344F1CEB" w:rsidR="000517DE" w:rsidRPr="000517DE" w:rsidRDefault="000517DE" w:rsidP="000517DE">
          <w:pPr>
            <w:rPr>
              <w:rFonts w:ascii="Times New Roman" w:hAnsi="Times New Roman"/>
              <w:szCs w:val="24"/>
              <w:u w:val="single"/>
            </w:rPr>
          </w:pPr>
          <w:r>
            <w:rPr>
              <w:rFonts w:ascii="Times New Roman" w:hAnsi="Times New Roman"/>
              <w:szCs w:val="24"/>
              <w:u w:val="single"/>
            </w:rPr>
            <w:t>Section 4</w:t>
          </w:r>
        </w:p>
        <w:p w14:paraId="5DD86533" w14:textId="500FFD94" w:rsidR="000517DE" w:rsidRDefault="000517DE" w:rsidP="000517DE">
          <w:pPr>
            <w:rPr>
              <w:rFonts w:ascii="Times New Roman" w:hAnsi="Times New Roman"/>
              <w:szCs w:val="24"/>
            </w:rPr>
          </w:pPr>
          <w:r w:rsidRPr="000517DE">
            <w:rPr>
              <w:rFonts w:ascii="Times New Roman" w:hAnsi="Times New Roman"/>
              <w:szCs w:val="24"/>
            </w:rPr>
            <w:t xml:space="preserve">Amends the date for the annual report to be produced by November 15 and modifies delivery </w:t>
          </w:r>
          <w:r w:rsidRPr="000517DE">
            <w:rPr>
              <w:rFonts w:ascii="Times New Roman" w:hAnsi="Times New Roman"/>
              <w:szCs w:val="24"/>
            </w:rPr>
            <w:lastRenderedPageBreak/>
            <w:t>from printed copies to online publication with electronic notification to the governor and legislature.</w:t>
          </w:r>
        </w:p>
        <w:p w14:paraId="0215E971" w14:textId="77777777" w:rsidR="00414816" w:rsidRPr="000517DE" w:rsidRDefault="00414816" w:rsidP="000517DE">
          <w:pPr>
            <w:rPr>
              <w:rFonts w:ascii="Times New Roman" w:hAnsi="Times New Roman"/>
              <w:szCs w:val="24"/>
            </w:rPr>
          </w:pPr>
        </w:p>
        <w:p w14:paraId="51AF3CDA" w14:textId="7F04FBED"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5</w:t>
          </w:r>
        </w:p>
        <w:p w14:paraId="4ABE638B" w14:textId="77777777" w:rsidR="000517DE" w:rsidRPr="000517DE" w:rsidRDefault="000517DE" w:rsidP="000517DE">
          <w:pPr>
            <w:rPr>
              <w:rFonts w:ascii="Times New Roman" w:hAnsi="Times New Roman"/>
              <w:szCs w:val="24"/>
            </w:rPr>
          </w:pPr>
          <w:r w:rsidRPr="000517DE">
            <w:rPr>
              <w:rFonts w:ascii="Times New Roman" w:hAnsi="Times New Roman"/>
              <w:szCs w:val="24"/>
            </w:rPr>
            <w:t>Creates an affirmative defense against an employment discrimination complaint when the employer is a religious entity that hires employees of a particular religion, and the employee is hired to engage in ecclesiastical, spiritual, or religious activities to further the study or advancement of religion.</w:t>
          </w:r>
        </w:p>
        <w:p w14:paraId="5A9CD8C2" w14:textId="77777777" w:rsidR="00414816" w:rsidRDefault="00414816" w:rsidP="000517DE">
          <w:pPr>
            <w:rPr>
              <w:rFonts w:ascii="Times New Roman" w:hAnsi="Times New Roman"/>
              <w:szCs w:val="24"/>
              <w:u w:val="single"/>
            </w:rPr>
          </w:pPr>
        </w:p>
        <w:p w14:paraId="04FD9800" w14:textId="5BCFCB57"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6</w:t>
          </w:r>
        </w:p>
        <w:p w14:paraId="0FBCFCF0" w14:textId="77777777" w:rsidR="000517DE" w:rsidRP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4D0A314D" w14:textId="77777777" w:rsidR="00414816" w:rsidRDefault="00414816" w:rsidP="000517DE">
          <w:pPr>
            <w:rPr>
              <w:rFonts w:ascii="Times New Roman" w:hAnsi="Times New Roman"/>
              <w:szCs w:val="24"/>
              <w:u w:val="single"/>
            </w:rPr>
          </w:pPr>
        </w:p>
        <w:p w14:paraId="60403ADC" w14:textId="415EE884"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7</w:t>
          </w:r>
        </w:p>
        <w:p w14:paraId="1B1EE231" w14:textId="77777777" w:rsidR="000517DE" w:rsidRP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252F1E7E" w14:textId="77777777" w:rsidR="00414816" w:rsidRDefault="00414816" w:rsidP="000517DE">
          <w:pPr>
            <w:rPr>
              <w:rFonts w:ascii="Times New Roman" w:hAnsi="Times New Roman"/>
              <w:szCs w:val="24"/>
              <w:u w:val="single"/>
            </w:rPr>
          </w:pPr>
        </w:p>
        <w:p w14:paraId="0AD8243B" w14:textId="484AFE5A"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8</w:t>
          </w:r>
        </w:p>
        <w:p w14:paraId="20F2A847" w14:textId="77777777" w:rsidR="000517DE" w:rsidRPr="000517DE" w:rsidRDefault="000517DE" w:rsidP="000517DE">
          <w:pPr>
            <w:rPr>
              <w:rFonts w:ascii="Times New Roman" w:hAnsi="Times New Roman"/>
              <w:szCs w:val="24"/>
            </w:rPr>
          </w:pPr>
          <w:r w:rsidRPr="000517DE">
            <w:rPr>
              <w:rFonts w:ascii="Times New Roman" w:hAnsi="Times New Roman"/>
              <w:szCs w:val="24"/>
            </w:rPr>
            <w:t>Amends the definition of employer in AS 18.80 to exclude only social and fraternal non-profit organizations.</w:t>
          </w:r>
        </w:p>
        <w:p w14:paraId="6B71B443" w14:textId="77777777" w:rsidR="00414816" w:rsidRDefault="00414816" w:rsidP="000517DE">
          <w:pPr>
            <w:rPr>
              <w:rFonts w:ascii="Times New Roman" w:hAnsi="Times New Roman"/>
              <w:szCs w:val="24"/>
              <w:u w:val="single"/>
            </w:rPr>
          </w:pPr>
        </w:p>
        <w:p w14:paraId="182E7227" w14:textId="3A04F682"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9</w:t>
          </w:r>
        </w:p>
        <w:p w14:paraId="48DE0B26" w14:textId="77777777" w:rsidR="000517DE" w:rsidRP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7663509E" w14:textId="77777777" w:rsidR="00414816" w:rsidRDefault="00414816" w:rsidP="000517DE">
          <w:pPr>
            <w:rPr>
              <w:rFonts w:ascii="Times New Roman" w:hAnsi="Times New Roman"/>
              <w:szCs w:val="24"/>
              <w:u w:val="single"/>
            </w:rPr>
          </w:pPr>
        </w:p>
        <w:p w14:paraId="095E8780" w14:textId="68AFC664"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 xml:space="preserve">Section </w:t>
          </w:r>
          <w:r w:rsidR="00414816">
            <w:rPr>
              <w:rFonts w:ascii="Times New Roman" w:hAnsi="Times New Roman"/>
              <w:szCs w:val="24"/>
              <w:u w:val="single"/>
            </w:rPr>
            <w:t>10</w:t>
          </w:r>
        </w:p>
        <w:p w14:paraId="0A80F30C" w14:textId="77777777" w:rsid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4A6611CA" w14:textId="77777777" w:rsidR="00414816" w:rsidRPr="000517DE" w:rsidRDefault="00414816" w:rsidP="000517DE">
          <w:pPr>
            <w:rPr>
              <w:rFonts w:ascii="Times New Roman" w:hAnsi="Times New Roman"/>
              <w:szCs w:val="24"/>
            </w:rPr>
          </w:pPr>
        </w:p>
        <w:p w14:paraId="0FF8DA05" w14:textId="5318833E"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Section 1</w:t>
          </w:r>
          <w:r w:rsidR="00414816">
            <w:rPr>
              <w:rFonts w:ascii="Times New Roman" w:hAnsi="Times New Roman"/>
              <w:szCs w:val="24"/>
              <w:u w:val="single"/>
            </w:rPr>
            <w:t>1</w:t>
          </w:r>
        </w:p>
        <w:p w14:paraId="58D0B04E" w14:textId="77777777" w:rsidR="000517DE" w:rsidRP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4F84EFAE" w14:textId="77777777" w:rsidR="00414816" w:rsidRDefault="00414816" w:rsidP="000517DE">
          <w:pPr>
            <w:rPr>
              <w:rFonts w:ascii="Times New Roman" w:hAnsi="Times New Roman"/>
              <w:szCs w:val="24"/>
              <w:u w:val="single"/>
            </w:rPr>
          </w:pPr>
        </w:p>
        <w:p w14:paraId="59088CE8" w14:textId="262D6DA3" w:rsidR="000517DE" w:rsidRPr="000517DE" w:rsidRDefault="000517DE" w:rsidP="000517DE">
          <w:pPr>
            <w:rPr>
              <w:rFonts w:ascii="Times New Roman" w:hAnsi="Times New Roman"/>
              <w:szCs w:val="24"/>
              <w:u w:val="single"/>
            </w:rPr>
          </w:pPr>
          <w:r w:rsidRPr="000517DE">
            <w:rPr>
              <w:rFonts w:ascii="Times New Roman" w:hAnsi="Times New Roman"/>
              <w:szCs w:val="24"/>
              <w:u w:val="single"/>
            </w:rPr>
            <w:t>Section 1</w:t>
          </w:r>
          <w:r w:rsidR="00414816">
            <w:rPr>
              <w:rFonts w:ascii="Times New Roman" w:hAnsi="Times New Roman"/>
              <w:szCs w:val="24"/>
              <w:u w:val="single"/>
            </w:rPr>
            <w:t>2</w:t>
          </w:r>
        </w:p>
        <w:p w14:paraId="381281B0" w14:textId="77777777" w:rsidR="000517DE" w:rsidRDefault="000517DE" w:rsidP="000517DE">
          <w:pPr>
            <w:rPr>
              <w:rFonts w:ascii="Times New Roman" w:hAnsi="Times New Roman"/>
              <w:szCs w:val="24"/>
            </w:rPr>
          </w:pPr>
          <w:r w:rsidRPr="000517DE">
            <w:rPr>
              <w:rFonts w:ascii="Times New Roman" w:hAnsi="Times New Roman"/>
              <w:szCs w:val="24"/>
            </w:rPr>
            <w:t>Conforming section to change the commission’s name to the Alaska State Commission for Civil Rights.</w:t>
          </w:r>
        </w:p>
        <w:p w14:paraId="5100478A" w14:textId="77777777" w:rsidR="00414816" w:rsidRDefault="00414816" w:rsidP="000517DE">
          <w:pPr>
            <w:rPr>
              <w:rFonts w:ascii="Times New Roman" w:hAnsi="Times New Roman"/>
              <w:szCs w:val="24"/>
            </w:rPr>
          </w:pPr>
        </w:p>
        <w:p w14:paraId="39CA4C93" w14:textId="704EFD91" w:rsidR="00414816" w:rsidRDefault="00414816" w:rsidP="000517DE">
          <w:pPr>
            <w:rPr>
              <w:rFonts w:ascii="Times New Roman" w:hAnsi="Times New Roman"/>
              <w:szCs w:val="24"/>
            </w:rPr>
          </w:pPr>
          <w:r>
            <w:rPr>
              <w:rFonts w:ascii="Times New Roman" w:hAnsi="Times New Roman"/>
              <w:szCs w:val="24"/>
              <w:u w:val="single"/>
            </w:rPr>
            <w:t>Section 13</w:t>
          </w:r>
        </w:p>
        <w:p w14:paraId="5DDFDB62" w14:textId="04431A36" w:rsidR="00414816" w:rsidRPr="00414816" w:rsidRDefault="00414816" w:rsidP="000517DE">
          <w:pPr>
            <w:rPr>
              <w:rFonts w:ascii="Times New Roman" w:hAnsi="Times New Roman"/>
              <w:szCs w:val="24"/>
            </w:rPr>
          </w:pPr>
          <w:r>
            <w:rPr>
              <w:rFonts w:ascii="Times New Roman" w:hAnsi="Times New Roman"/>
              <w:szCs w:val="24"/>
            </w:rPr>
            <w:t>States an effective date of January 1, 2027.</w:t>
          </w:r>
        </w:p>
        <w:p w14:paraId="1EF6950C" w14:textId="39061BDF" w:rsidR="00384BE6" w:rsidRPr="00384BE6" w:rsidRDefault="003A79D4" w:rsidP="00384BE6">
          <w:pPr>
            <w:spacing w:line="276" w:lineRule="auto"/>
            <w:rPr>
              <w:rFonts w:ascii="Times New Roman" w:eastAsia="Calibri" w:hAnsi="Times New Roman"/>
              <w:bCs/>
              <w:szCs w:val="24"/>
            </w:rPr>
          </w:pPr>
        </w:p>
      </w:sdtContent>
    </w:sdt>
    <w:p w14:paraId="1C8AA2B7" w14:textId="57E07994" w:rsidR="00605639"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503CF7EB" w14:textId="77777777" w:rsidR="00414816" w:rsidRDefault="00414816" w:rsidP="00605639">
      <w:pPr>
        <w:jc w:val="both"/>
        <w:rPr>
          <w:rFonts w:ascii="Times New Roman" w:hAnsi="Times New Roman"/>
          <w:i/>
          <w:iCs/>
          <w:szCs w:val="24"/>
        </w:rPr>
      </w:pPr>
    </w:p>
    <w:p w14:paraId="67D735F8" w14:textId="77777777" w:rsidR="00414816" w:rsidRDefault="00414816" w:rsidP="00605639">
      <w:pPr>
        <w:jc w:val="both"/>
        <w:rPr>
          <w:rFonts w:ascii="Times New Roman" w:hAnsi="Times New Roman"/>
          <w:i/>
          <w:iCs/>
          <w:szCs w:val="24"/>
        </w:rPr>
      </w:pPr>
    </w:p>
    <w:p w14:paraId="62C3FE7F" w14:textId="77777777" w:rsidR="00414816" w:rsidRPr="00384BE6" w:rsidRDefault="00414816" w:rsidP="00605639">
      <w:pPr>
        <w:jc w:val="both"/>
        <w:rPr>
          <w:rFonts w:ascii="Times New Roman" w:hAnsi="Times New Roman"/>
          <w:i/>
          <w:iCs/>
          <w:szCs w:val="24"/>
        </w:rPr>
      </w:pP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lastRenderedPageBreak/>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dtPr>
      <w:sdtEndPr/>
      <w:sdtContent>
        <w:p w14:paraId="436ADFE3" w14:textId="35D6162F" w:rsidR="00384BE6" w:rsidRPr="00384BE6" w:rsidRDefault="00414816" w:rsidP="00384BE6">
          <w:pPr>
            <w:spacing w:line="276" w:lineRule="auto"/>
            <w:rPr>
              <w:rFonts w:ascii="Times New Roman" w:eastAsia="Calibri" w:hAnsi="Times New Roman"/>
              <w:bCs/>
              <w:szCs w:val="24"/>
            </w:rPr>
          </w:pPr>
          <w:r>
            <w:rPr>
              <w:rFonts w:ascii="Times New Roman" w:eastAsia="Calibri" w:hAnsi="Times New Roman"/>
              <w:bCs/>
              <w:snapToGrid/>
              <w:szCs w:val="24"/>
            </w:rPr>
            <w:t>SB 117 was introduced as the senate companion</w:t>
          </w:r>
          <w:r w:rsidR="00CF0B38">
            <w:rPr>
              <w:rFonts w:ascii="Times New Roman" w:eastAsia="Calibri" w:hAnsi="Times New Roman"/>
              <w:bCs/>
              <w:snapToGrid/>
              <w:szCs w:val="24"/>
            </w:rPr>
            <w:t>, sponsored by the Senate State Affairs Committee</w:t>
          </w:r>
          <w:r>
            <w:rPr>
              <w:rFonts w:ascii="Times New Roman" w:eastAsia="Calibri" w:hAnsi="Times New Roman"/>
              <w:bCs/>
              <w:snapToGrid/>
              <w:szCs w:val="24"/>
            </w:rPr>
            <w:t>.</w:t>
          </w:r>
          <w:r w:rsidR="00CF0B38">
            <w:rPr>
              <w:rFonts w:ascii="Times New Roman" w:eastAsia="Calibri" w:hAnsi="Times New Roman"/>
              <w:bCs/>
              <w:snapToGrid/>
              <w:szCs w:val="24"/>
            </w:rPr>
            <w:t xml:space="preserve"> It was identical to the House Labor and Commerce Committee substitute that was unanimously passed by the house in 2025. SB 117 was ultimately referred to the Senate Finance Committee alongside HB 23. After HB 23 was identified as the vehicle, no further hearings were scheduled for SB 117.</w:t>
          </w:r>
          <w:r w:rsidR="00CF0B38">
            <w:rPr>
              <w:rFonts w:ascii="Times New Roman" w:eastAsia="Calibri" w:hAnsi="Times New Roman"/>
              <w:bCs/>
              <w:snapToGrid/>
              <w:szCs w:val="24"/>
            </w:rPr>
            <w:br/>
          </w:r>
          <w:r w:rsidR="00CF0B38">
            <w:rPr>
              <w:rFonts w:ascii="Times New Roman" w:eastAsia="Calibri" w:hAnsi="Times New Roman"/>
              <w:bCs/>
              <w:snapToGrid/>
              <w:szCs w:val="24"/>
            </w:rPr>
            <w:br/>
            <w:t>It is worth noting that Rep. Sarah Vance sponsored language identical to SB 117 and the CS to HB 23 during the 33</w:t>
          </w:r>
          <w:r w:rsidR="00CF0B38" w:rsidRPr="00CF0B38">
            <w:rPr>
              <w:rFonts w:ascii="Times New Roman" w:eastAsia="Calibri" w:hAnsi="Times New Roman"/>
              <w:bCs/>
              <w:snapToGrid/>
              <w:szCs w:val="24"/>
              <w:vertAlign w:val="superscript"/>
            </w:rPr>
            <w:t>rd</w:t>
          </w:r>
          <w:r w:rsidR="00CF0B38">
            <w:rPr>
              <w:rFonts w:ascii="Times New Roman" w:eastAsia="Calibri" w:hAnsi="Times New Roman"/>
              <w:bCs/>
              <w:snapToGrid/>
              <w:szCs w:val="24"/>
            </w:rPr>
            <w:t xml:space="preserve"> Legislature (2023-2024) as a House Judiciary Committee bill, then-HB 181. This bill was heard in committee but failed to advance due to the threat of members amending it on the house floor to add controversial social justice issues.</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EndPr/>
      <w:sdtContent>
        <w:p w14:paraId="63407A6D" w14:textId="032C675D" w:rsidR="00384BE6" w:rsidRPr="00384BE6" w:rsidRDefault="00CF0B38" w:rsidP="00384BE6">
          <w:pPr>
            <w:spacing w:line="276" w:lineRule="auto"/>
            <w:rPr>
              <w:rFonts w:ascii="Times New Roman" w:eastAsia="Calibri" w:hAnsi="Times New Roman"/>
              <w:bCs/>
              <w:szCs w:val="24"/>
            </w:rPr>
          </w:pPr>
          <w:r>
            <w:rPr>
              <w:rFonts w:ascii="Times New Roman" w:eastAsia="Calibri" w:hAnsi="Times New Roman"/>
              <w:bCs/>
              <w:snapToGrid/>
              <w:szCs w:val="24"/>
            </w:rPr>
            <w:t>Governor-appointed commissioners testified in support. There was no opposition testimony.</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dtPr>
      <w:sdtEndPr/>
      <w:sdtContent>
        <w:p w14:paraId="6ED5F2FA" w14:textId="337EC577" w:rsidR="00F8461D" w:rsidRDefault="00F8461D" w:rsidP="00605639">
          <w:pPr>
            <w:rPr>
              <w:rFonts w:ascii="Times New Roman" w:hAnsi="Times New Roman"/>
              <w:szCs w:val="24"/>
            </w:rPr>
          </w:pPr>
          <w:r>
            <w:rPr>
              <w:rFonts w:ascii="Times New Roman" w:hAnsi="Times New Roman"/>
              <w:szCs w:val="24"/>
            </w:rPr>
            <w:t>A bill signing ceremony could be scheduled in conjunction with a commission meeting. The next commission meeting is likely to be held at the end of June, but the specific time and location is TBD; likely in northern or northwest Alaska.</w:t>
          </w:r>
          <w:r w:rsidR="003A79D4">
            <w:rPr>
              <w:rFonts w:ascii="Times New Roman" w:hAnsi="Times New Roman"/>
              <w:szCs w:val="24"/>
            </w:rPr>
            <w:t xml:space="preserve"> The Commission could work to accommodate the Governor’s schedule.</w:t>
          </w:r>
        </w:p>
        <w:p w14:paraId="0EDBA72C" w14:textId="77777777" w:rsidR="00F8461D" w:rsidRDefault="00F8461D" w:rsidP="00605639">
          <w:pPr>
            <w:rPr>
              <w:rFonts w:ascii="Times New Roman" w:hAnsi="Times New Roman"/>
              <w:szCs w:val="24"/>
            </w:rPr>
          </w:pPr>
        </w:p>
        <w:p w14:paraId="3AEA2B37" w14:textId="075ACBFD" w:rsidR="00F8461D" w:rsidRDefault="00F8461D" w:rsidP="00605639">
          <w:pPr>
            <w:rPr>
              <w:rFonts w:ascii="Times New Roman" w:hAnsi="Times New Roman"/>
              <w:szCs w:val="24"/>
            </w:rPr>
          </w:pPr>
          <w:r>
            <w:rPr>
              <w:rFonts w:ascii="Times New Roman" w:hAnsi="Times New Roman"/>
              <w:szCs w:val="24"/>
            </w:rPr>
            <w:t>The Governor could sign it on the Anchorage park strip during the Juneteenth event</w:t>
          </w:r>
          <w:r w:rsidR="00EF0ED2">
            <w:rPr>
              <w:rFonts w:ascii="Times New Roman" w:hAnsi="Times New Roman"/>
              <w:szCs w:val="24"/>
            </w:rPr>
            <w:t>.</w:t>
          </w:r>
        </w:p>
        <w:p w14:paraId="7D4287EF" w14:textId="77777777" w:rsidR="00F8461D" w:rsidRDefault="00F8461D" w:rsidP="00605639">
          <w:pPr>
            <w:rPr>
              <w:rFonts w:ascii="Times New Roman" w:hAnsi="Times New Roman"/>
              <w:szCs w:val="24"/>
            </w:rPr>
          </w:pPr>
        </w:p>
        <w:p w14:paraId="7E824087" w14:textId="20D7436E" w:rsidR="00F8461D" w:rsidRDefault="00F8461D" w:rsidP="00605639">
          <w:pPr>
            <w:rPr>
              <w:rFonts w:ascii="Times New Roman" w:hAnsi="Times New Roman"/>
              <w:szCs w:val="24"/>
            </w:rPr>
          </w:pPr>
          <w:r>
            <w:rPr>
              <w:rFonts w:ascii="Times New Roman" w:hAnsi="Times New Roman"/>
              <w:szCs w:val="24"/>
            </w:rPr>
            <w:t>In the alternative, the bill could be signed at the Governor’s desk surrounded by his commissioners.</w:t>
          </w:r>
        </w:p>
        <w:p w14:paraId="676110C6" w14:textId="77777777" w:rsidR="00F8461D" w:rsidRDefault="00F8461D" w:rsidP="00605639">
          <w:pPr>
            <w:rPr>
              <w:rFonts w:ascii="Times New Roman" w:hAnsi="Times New Roman"/>
              <w:szCs w:val="24"/>
            </w:rPr>
          </w:pPr>
        </w:p>
        <w:p w14:paraId="3C1C25AE" w14:textId="7C65C5C5" w:rsidR="00F8461D" w:rsidRDefault="00F8461D" w:rsidP="00605639">
          <w:pPr>
            <w:rPr>
              <w:rFonts w:ascii="Times New Roman" w:hAnsi="Times New Roman"/>
              <w:szCs w:val="24"/>
            </w:rPr>
          </w:pPr>
          <w:r>
            <w:rPr>
              <w:rFonts w:ascii="Times New Roman" w:hAnsi="Times New Roman"/>
              <w:szCs w:val="24"/>
            </w:rPr>
            <w:t>William Craig, (907) 623-8588</w:t>
          </w:r>
        </w:p>
        <w:p w14:paraId="10605A62" w14:textId="77777777" w:rsidR="00F8461D" w:rsidRDefault="00F8461D" w:rsidP="00605639">
          <w:pPr>
            <w:rPr>
              <w:rFonts w:ascii="Times New Roman" w:hAnsi="Times New Roman"/>
              <w:szCs w:val="24"/>
            </w:rPr>
          </w:pPr>
          <w:r>
            <w:rPr>
              <w:rFonts w:ascii="Times New Roman" w:hAnsi="Times New Roman"/>
              <w:szCs w:val="24"/>
            </w:rPr>
            <w:t>Rebecca Carillo, (907) 321-2820</w:t>
          </w:r>
        </w:p>
        <w:p w14:paraId="02E296E1" w14:textId="77777777" w:rsidR="00F8461D" w:rsidRDefault="00F8461D" w:rsidP="00605639">
          <w:pPr>
            <w:rPr>
              <w:rFonts w:ascii="Times New Roman" w:hAnsi="Times New Roman"/>
              <w:szCs w:val="24"/>
            </w:rPr>
          </w:pPr>
          <w:r>
            <w:rPr>
              <w:rFonts w:ascii="Times New Roman" w:hAnsi="Times New Roman"/>
              <w:szCs w:val="24"/>
            </w:rPr>
            <w:t>Jesse Ruffridge, (509) 338-5892</w:t>
          </w:r>
        </w:p>
        <w:p w14:paraId="3AB7BB85" w14:textId="1098F3CC" w:rsidR="00F8461D" w:rsidRDefault="00F8461D" w:rsidP="00605639">
          <w:pPr>
            <w:rPr>
              <w:rFonts w:ascii="Times New Roman" w:hAnsi="Times New Roman"/>
              <w:szCs w:val="24"/>
            </w:rPr>
          </w:pPr>
          <w:r>
            <w:rPr>
              <w:rFonts w:ascii="Times New Roman" w:hAnsi="Times New Roman"/>
              <w:szCs w:val="24"/>
            </w:rPr>
            <w:t>Dorene Lorenz, (907) 360-8815</w:t>
          </w:r>
        </w:p>
        <w:p w14:paraId="3A873382" w14:textId="46746C53" w:rsidR="00F8461D" w:rsidRDefault="00F8461D" w:rsidP="00605639">
          <w:pPr>
            <w:rPr>
              <w:rFonts w:ascii="Times New Roman" w:hAnsi="Times New Roman"/>
              <w:szCs w:val="24"/>
            </w:rPr>
          </w:pPr>
          <w:r>
            <w:rPr>
              <w:rFonts w:ascii="Times New Roman" w:hAnsi="Times New Roman"/>
              <w:szCs w:val="24"/>
            </w:rPr>
            <w:t xml:space="preserve">Grace Salazar, (907) 250-2883 </w:t>
          </w:r>
        </w:p>
        <w:p w14:paraId="15D5575B" w14:textId="351A6CC0" w:rsidR="00F8461D" w:rsidRDefault="00F8461D" w:rsidP="00605639">
          <w:pPr>
            <w:rPr>
              <w:rFonts w:ascii="Times New Roman" w:hAnsi="Times New Roman"/>
              <w:szCs w:val="24"/>
            </w:rPr>
          </w:pPr>
          <w:r>
            <w:rPr>
              <w:rFonts w:ascii="Times New Roman" w:hAnsi="Times New Roman"/>
              <w:szCs w:val="24"/>
            </w:rPr>
            <w:t>Rob Corbisier (executive director), (907) 744-7253</w:t>
          </w:r>
        </w:p>
        <w:p w14:paraId="26830912" w14:textId="77777777" w:rsidR="00F8461D" w:rsidRDefault="00F8461D" w:rsidP="00605639">
          <w:pPr>
            <w:rPr>
              <w:rFonts w:ascii="Times New Roman" w:hAnsi="Times New Roman"/>
              <w:szCs w:val="24"/>
            </w:rPr>
          </w:pPr>
        </w:p>
        <w:p w14:paraId="6ED07CCC" w14:textId="3F38DD7B" w:rsidR="00F8461D" w:rsidRDefault="00F8461D" w:rsidP="00605639">
          <w:pPr>
            <w:rPr>
              <w:rFonts w:ascii="Times New Roman" w:hAnsi="Times New Roman"/>
              <w:szCs w:val="24"/>
            </w:rPr>
          </w:pPr>
          <w:r>
            <w:rPr>
              <w:rFonts w:ascii="Times New Roman" w:hAnsi="Times New Roman"/>
              <w:szCs w:val="24"/>
            </w:rPr>
            <w:t>Legislators to invite include:</w:t>
          </w:r>
        </w:p>
        <w:p w14:paraId="4CA0F090" w14:textId="415064A1" w:rsidR="00F8461D" w:rsidRDefault="00F8461D" w:rsidP="00605639">
          <w:pPr>
            <w:rPr>
              <w:rFonts w:ascii="Times New Roman" w:hAnsi="Times New Roman"/>
              <w:szCs w:val="24"/>
            </w:rPr>
          </w:pPr>
          <w:r>
            <w:rPr>
              <w:rFonts w:ascii="Times New Roman" w:hAnsi="Times New Roman"/>
              <w:szCs w:val="24"/>
            </w:rPr>
            <w:t>Rep. Prax, who introduced a bill during the 33</w:t>
          </w:r>
          <w:r w:rsidRPr="00F8461D">
            <w:rPr>
              <w:rFonts w:ascii="Times New Roman" w:hAnsi="Times New Roman"/>
              <w:szCs w:val="24"/>
              <w:vertAlign w:val="superscript"/>
            </w:rPr>
            <w:t>rd</w:t>
          </w:r>
          <w:r>
            <w:rPr>
              <w:rFonts w:ascii="Times New Roman" w:hAnsi="Times New Roman"/>
              <w:szCs w:val="24"/>
            </w:rPr>
            <w:t xml:space="preserve"> Legislature to address the annual report date.</w:t>
          </w:r>
        </w:p>
        <w:p w14:paraId="13D6051D" w14:textId="174877F9" w:rsidR="00F8461D" w:rsidRDefault="00F8461D" w:rsidP="00605639">
          <w:pPr>
            <w:rPr>
              <w:rFonts w:ascii="Times New Roman" w:hAnsi="Times New Roman"/>
              <w:szCs w:val="24"/>
            </w:rPr>
          </w:pPr>
          <w:r>
            <w:rPr>
              <w:rFonts w:ascii="Times New Roman" w:hAnsi="Times New Roman"/>
              <w:szCs w:val="24"/>
            </w:rPr>
            <w:t xml:space="preserve">Rep. Vance, who introduced </w:t>
          </w:r>
          <w:r w:rsidR="00EF0ED2">
            <w:rPr>
              <w:rFonts w:ascii="Times New Roman" w:hAnsi="Times New Roman"/>
              <w:szCs w:val="24"/>
            </w:rPr>
            <w:t xml:space="preserve">a </w:t>
          </w:r>
          <w:r>
            <w:rPr>
              <w:rFonts w:ascii="Times New Roman" w:hAnsi="Times New Roman"/>
              <w:szCs w:val="24"/>
            </w:rPr>
            <w:t xml:space="preserve">nearly identical </w:t>
          </w:r>
          <w:r w:rsidR="00EF0ED2">
            <w:rPr>
              <w:rFonts w:ascii="Times New Roman" w:hAnsi="Times New Roman"/>
              <w:szCs w:val="24"/>
            </w:rPr>
            <w:t>bill to</w:t>
          </w:r>
          <w:r>
            <w:rPr>
              <w:rFonts w:ascii="Times New Roman" w:hAnsi="Times New Roman"/>
              <w:szCs w:val="24"/>
            </w:rPr>
            <w:t xml:space="preserve"> current HB 23 during the 33</w:t>
          </w:r>
          <w:r w:rsidRPr="00F8461D">
            <w:rPr>
              <w:rFonts w:ascii="Times New Roman" w:hAnsi="Times New Roman"/>
              <w:szCs w:val="24"/>
              <w:vertAlign w:val="superscript"/>
            </w:rPr>
            <w:t>rd</w:t>
          </w:r>
          <w:r>
            <w:rPr>
              <w:rFonts w:ascii="Times New Roman" w:hAnsi="Times New Roman"/>
              <w:szCs w:val="24"/>
            </w:rPr>
            <w:t xml:space="preserve"> Legislature.</w:t>
          </w:r>
        </w:p>
        <w:p w14:paraId="6AC72016" w14:textId="77777777" w:rsidR="00F8461D" w:rsidRDefault="00F8461D" w:rsidP="00605639">
          <w:pPr>
            <w:rPr>
              <w:rFonts w:ascii="Times New Roman" w:hAnsi="Times New Roman"/>
              <w:szCs w:val="24"/>
            </w:rPr>
          </w:pPr>
          <w:r>
            <w:rPr>
              <w:rFonts w:ascii="Times New Roman" w:hAnsi="Times New Roman"/>
              <w:szCs w:val="24"/>
            </w:rPr>
            <w:t>Rep. Josephson, who sponsored HB 23.</w:t>
          </w:r>
        </w:p>
        <w:p w14:paraId="04D9A264" w14:textId="052EF376" w:rsidR="00605639" w:rsidRPr="00384BE6" w:rsidRDefault="00F8461D" w:rsidP="00605639">
          <w:pPr>
            <w:rPr>
              <w:rFonts w:ascii="Times New Roman" w:hAnsi="Times New Roman"/>
              <w:szCs w:val="24"/>
            </w:rPr>
          </w:pPr>
          <w:r>
            <w:rPr>
              <w:rFonts w:ascii="Times New Roman" w:hAnsi="Times New Roman"/>
              <w:szCs w:val="24"/>
            </w:rPr>
            <w:t>Sen. Kawasaki, who</w:t>
          </w:r>
          <w:r w:rsidR="00EF0ED2">
            <w:rPr>
              <w:rFonts w:ascii="Times New Roman" w:hAnsi="Times New Roman"/>
              <w:szCs w:val="24"/>
            </w:rPr>
            <w:t>se committee</w:t>
          </w:r>
          <w:r>
            <w:rPr>
              <w:rFonts w:ascii="Times New Roman" w:hAnsi="Times New Roman"/>
              <w:szCs w:val="24"/>
            </w:rPr>
            <w:t xml:space="preserve"> sponsored the companion SB 117.</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tab/>
      </w:r>
    </w:p>
    <w:p w14:paraId="28168309" w14:textId="132A6413"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00EF0ED2">
        <w:rPr>
          <w:rFonts w:ascii="Times New Roman" w:hAnsi="Times New Roman"/>
          <w:b/>
          <w:szCs w:val="24"/>
        </w:rPr>
        <w:t xml:space="preserve">  </w:t>
      </w:r>
      <w:r w:rsidR="00EF0ED2">
        <w:rPr>
          <w:rFonts w:ascii="Times New Roman" w:hAnsi="Times New Roman"/>
          <w:b/>
          <w:noProof/>
          <w:snapToGrid/>
          <w:szCs w:val="24"/>
        </w:rPr>
        <w:drawing>
          <wp:inline distT="0" distB="0" distL="0" distR="0" wp14:anchorId="3B642610" wp14:editId="711DCEFB">
            <wp:extent cx="1732135" cy="447675"/>
            <wp:effectExtent l="0" t="0" r="1905" b="0"/>
            <wp:docPr id="137349316"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316" name="Picture 1" descr="A close 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7875" cy="462081"/>
                    </a:xfrm>
                    <a:prstGeom prst="rect">
                      <a:avLst/>
                    </a:prstGeom>
                  </pic:spPr>
                </pic:pic>
              </a:graphicData>
            </a:graphic>
          </wp:inline>
        </w:drawing>
      </w:r>
      <w:r w:rsidR="00EF0ED2">
        <w:rPr>
          <w:rFonts w:ascii="Times New Roman" w:hAnsi="Times New Roman"/>
          <w:b/>
          <w:szCs w:val="24"/>
        </w:rPr>
        <w:t xml:space="preserve">  </w:t>
      </w:r>
      <w:r w:rsidRPr="00384BE6">
        <w:rPr>
          <w:rFonts w:ascii="Times New Roman" w:hAnsi="Times New Roman"/>
          <w:b/>
          <w:szCs w:val="24"/>
        </w:rPr>
        <w:t xml:space="preserve"> </w:t>
      </w:r>
      <w:r w:rsidR="00AE1FEA" w:rsidRPr="00384BE6">
        <w:rPr>
          <w:rFonts w:ascii="Times New Roman" w:hAnsi="Times New Roman"/>
          <w:b/>
          <w:szCs w:val="24"/>
        </w:rPr>
        <w:t xml:space="preserve"> </w:t>
      </w:r>
      <w:r w:rsidRPr="00384BE6">
        <w:rPr>
          <w:rFonts w:ascii="Times New Roman" w:hAnsi="Times New Roman"/>
          <w:b/>
          <w:szCs w:val="24"/>
        </w:rPr>
        <w:t>Date:</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18T00:00:00Z">
            <w:dateFormat w:val="M/d/yyyy"/>
            <w:lid w:val="en-US"/>
            <w:storeMappedDataAs w:val="dateTime"/>
            <w:calendar w:val="gregorian"/>
          </w:date>
        </w:sdtPr>
        <w:sdtEndPr/>
        <w:sdtContent>
          <w:r w:rsidR="00EF0ED2">
            <w:rPr>
              <w:rFonts w:ascii="Times New Roman" w:hAnsi="Times New Roman"/>
              <w:b/>
              <w:szCs w:val="24"/>
            </w:rPr>
            <w:t>5/18/2026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8"/>
      <w:footerReference w:type="default" r:id="rId9"/>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86D00" w14:textId="77777777" w:rsidR="00D90CC7" w:rsidRDefault="00D90CC7">
      <w:r>
        <w:separator/>
      </w:r>
    </w:p>
  </w:endnote>
  <w:endnote w:type="continuationSeparator" w:id="0">
    <w:p w14:paraId="1FD63BAF" w14:textId="77777777" w:rsidR="00D90CC7" w:rsidRDefault="00D90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E7EFA" w14:textId="77777777" w:rsidR="00D90CC7" w:rsidRDefault="00D90CC7">
      <w:r>
        <w:separator/>
      </w:r>
    </w:p>
  </w:footnote>
  <w:footnote w:type="continuationSeparator" w:id="0">
    <w:p w14:paraId="6FAA6996" w14:textId="77777777" w:rsidR="00D90CC7" w:rsidRDefault="00D90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517DE"/>
    <w:rsid w:val="00076673"/>
    <w:rsid w:val="0008704C"/>
    <w:rsid w:val="000C7B40"/>
    <w:rsid w:val="001574FD"/>
    <w:rsid w:val="0022220F"/>
    <w:rsid w:val="00352D62"/>
    <w:rsid w:val="00384BE6"/>
    <w:rsid w:val="003A79D4"/>
    <w:rsid w:val="00414816"/>
    <w:rsid w:val="004A3D8A"/>
    <w:rsid w:val="005123FB"/>
    <w:rsid w:val="00590E52"/>
    <w:rsid w:val="00605639"/>
    <w:rsid w:val="00661D53"/>
    <w:rsid w:val="007268AC"/>
    <w:rsid w:val="007A1BC7"/>
    <w:rsid w:val="008E5705"/>
    <w:rsid w:val="00AE1FEA"/>
    <w:rsid w:val="00AE739D"/>
    <w:rsid w:val="00B147BB"/>
    <w:rsid w:val="00B830C3"/>
    <w:rsid w:val="00CF0B38"/>
    <w:rsid w:val="00D90CC7"/>
    <w:rsid w:val="00DE765F"/>
    <w:rsid w:val="00EC7B57"/>
    <w:rsid w:val="00EF0ED2"/>
    <w:rsid w:val="00EF189D"/>
    <w:rsid w:val="00F06413"/>
    <w:rsid w:val="00F8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BC5B6613F9CA4CD19D9DB5716431E937"/>
        <w:category>
          <w:name w:val="General"/>
          <w:gallery w:val="placeholder"/>
        </w:category>
        <w:types>
          <w:type w:val="bbPlcHdr"/>
        </w:types>
        <w:behaviors>
          <w:behavior w:val="content"/>
        </w:behaviors>
        <w:guid w:val="{13BDF42C-B8EC-4E3C-BF08-44A661943C7B}"/>
      </w:docPartPr>
      <w:docPartBody>
        <w:p w:rsidR="000D2C50" w:rsidRDefault="001E5F31" w:rsidP="001E5F31">
          <w:pPr>
            <w:pStyle w:val="BC5B6613F9CA4CD19D9DB5716431E937"/>
          </w:pPr>
          <w:r w:rsidRPr="00AE1FEA">
            <w:rPr>
              <w:rStyle w:val="PlaceholderText"/>
              <w:rFonts w:ascii="Times New Roman" w:eastAsiaTheme="minorHAnsi" w:hAnsi="Times New Roman"/>
              <w:bCs/>
              <w:szCs w:val="24"/>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41E71D3F576E4830AF31EBF8F8ED1FEB"/>
        <w:category>
          <w:name w:val="General"/>
          <w:gallery w:val="placeholder"/>
        </w:category>
        <w:types>
          <w:type w:val="bbPlcHdr"/>
        </w:types>
        <w:behaviors>
          <w:behavior w:val="content"/>
        </w:behaviors>
        <w:guid w:val="{33736D96-AB10-4292-A025-C5F058BED95E}"/>
      </w:docPartPr>
      <w:docPartBody>
        <w:p w:rsidR="008043E0" w:rsidRDefault="00D77B56" w:rsidP="00D77B56">
          <w:pPr>
            <w:pStyle w:val="41E71D3F576E4830AF31EBF8F8ED1FEB"/>
          </w:pPr>
          <w:r w:rsidRPr="00AE1FEA">
            <w:rPr>
              <w:rStyle w:val="PlaceholderText"/>
              <w:rFonts w:ascii="Times New Roman" w:eastAsiaTheme="minorHAnsi" w:hAnsi="Times New Roman"/>
              <w:bCs/>
              <w:szCs w:val="24"/>
            </w:rPr>
            <w:t>Click or tap here to enter text.</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
      <w:docPartPr>
        <w:name w:val="313775AE791E45ADB09B76906871AE18"/>
        <w:category>
          <w:name w:val="General"/>
          <w:gallery w:val="placeholder"/>
        </w:category>
        <w:types>
          <w:type w:val="bbPlcHdr"/>
        </w:types>
        <w:behaviors>
          <w:behavior w:val="content"/>
        </w:behaviors>
        <w:guid w:val="{902BEC5F-A25B-4956-95D9-4E7DDBC55F45}"/>
      </w:docPartPr>
      <w:docPartBody>
        <w:p w:rsidR="003B2007" w:rsidRDefault="003B2007" w:rsidP="003B2007">
          <w:pPr>
            <w:pStyle w:val="313775AE791E45ADB09B76906871AE18"/>
          </w:pPr>
          <w:r w:rsidRPr="00AE1FEA">
            <w:rPr>
              <w:rStyle w:val="PlaceholderText"/>
              <w:rFonts w:ascii="Times New Roman" w:eastAsiaTheme="minorHAnsi" w:hAnsi="Times New Roman"/>
              <w:bC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3B2007"/>
    <w:rsid w:val="007268AC"/>
    <w:rsid w:val="008043E0"/>
    <w:rsid w:val="008E5705"/>
    <w:rsid w:val="00BB713F"/>
    <w:rsid w:val="00D77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B2007"/>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BC5B6613F9CA4CD19D9DB5716431E937">
    <w:name w:val="BC5B6613F9CA4CD19D9DB5716431E937"/>
    <w:rsid w:val="001E5F31"/>
    <w:pPr>
      <w:widowControl w:val="0"/>
      <w:spacing w:after="0" w:line="240" w:lineRule="auto"/>
    </w:pPr>
    <w:rPr>
      <w:rFonts w:ascii="Courier" w:eastAsia="Times New Roman" w:hAnsi="Courier" w:cs="Times New Roman"/>
      <w:snapToGrid w:val="0"/>
      <w:sz w:val="24"/>
      <w:szCs w:val="20"/>
    </w:rPr>
  </w:style>
  <w:style w:type="paragraph" w:customStyle="1" w:styleId="41E71D3F576E4830AF31EBF8F8ED1FEB">
    <w:name w:val="41E71D3F576E4830AF31EBF8F8ED1FEB"/>
    <w:rsid w:val="00D77B56"/>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 w:type="paragraph" w:customStyle="1" w:styleId="313775AE791E45ADB09B76906871AE18">
    <w:name w:val="313775AE791E45ADB09B76906871AE18"/>
    <w:rsid w:val="003B200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1973</Words>
  <Characters>11249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Robert W. Corbisier</cp:lastModifiedBy>
  <cp:revision>3</cp:revision>
  <dcterms:created xsi:type="dcterms:W3CDTF">2026-05-18T20:06:00Z</dcterms:created>
  <dcterms:modified xsi:type="dcterms:W3CDTF">2026-05-18T21:09:00Z</dcterms:modified>
</cp:coreProperties>
</file>