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54ABF374" w:rsidR="00E20F43" w:rsidRPr="00820590" w:rsidRDefault="00EC4D15" w:rsidP="00310814">
          <w:pPr>
            <w:rPr>
              <w:b/>
            </w:rPr>
          </w:pPr>
          <w:r>
            <w:rPr>
              <w:b/>
            </w:rPr>
            <w:t xml:space="preserve">HB 10 </w:t>
          </w:r>
          <w:r w:rsidR="00042CE4">
            <w:rPr>
              <w:b/>
            </w:rPr>
            <w:t xml:space="preserve">ADD </w:t>
          </w:r>
          <w:r w:rsidR="00042CE4" w:rsidRPr="00042CE4">
            <w:rPr>
              <w:b/>
            </w:rPr>
            <w:t>FACULTY MEMBER UNIV BOARD OF REGENTS</w:t>
          </w:r>
        </w:p>
      </w:sdtContent>
    </w:sdt>
    <w:p w14:paraId="53FBA293" w14:textId="77777777" w:rsidR="00042CE4" w:rsidRDefault="00042CE4" w:rsidP="00310814">
      <w:pPr>
        <w:rPr>
          <w:b/>
        </w:rPr>
      </w:pPr>
    </w:p>
    <w:p w14:paraId="145D9F87" w14:textId="0D5A79C7" w:rsidR="00310814" w:rsidRPr="00004B6E" w:rsidRDefault="009D2E2B" w:rsidP="00310814">
      <w:pPr>
        <w:rPr>
          <w:b/>
        </w:rPr>
      </w:pPr>
      <w:r w:rsidRPr="00820590">
        <w:rPr>
          <w:b/>
        </w:rPr>
        <w:t xml:space="preserve">RECOMMENDATION: </w:t>
      </w:r>
      <w:sdt>
        <w:sdtPr>
          <w:rPr>
            <w:rStyle w:val="Style2"/>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042CE4">
            <w:rPr>
              <w:rStyle w:val="Style2"/>
            </w:rPr>
            <w:t>VETO</w:t>
          </w:r>
        </w:sdtContent>
      </w:sdt>
    </w:p>
    <w:p w14:paraId="66BDA754" w14:textId="5B22B749"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042CE4" w:rsidRPr="00042CE4">
            <w:t>SCS HB 10(FIN)</w:t>
          </w:r>
        </w:sdtContent>
      </w:sdt>
    </w:p>
    <w:p w14:paraId="14C91E94" w14:textId="33B71A56"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042CE4" w:rsidRPr="00042CE4">
            <w:t>REPRESENTATIVE CARRICK</w:t>
          </w:r>
        </w:sdtContent>
      </w:sdt>
    </w:p>
    <w:p w14:paraId="02A6DE2C" w14:textId="77777777" w:rsidR="008A0939" w:rsidRDefault="008A0939" w:rsidP="003266F4">
      <w:pPr>
        <w:rPr>
          <w:b/>
          <w:bCs/>
        </w:rPr>
      </w:pPr>
    </w:p>
    <w:p w14:paraId="6C777DEF" w14:textId="32B5BFA8" w:rsidR="004B1ABF" w:rsidRDefault="00042CE4" w:rsidP="008D3063">
      <w:r>
        <w:rPr>
          <w:b/>
        </w:rPr>
        <w:t>HOUSE</w:t>
      </w:r>
      <w:r w:rsidR="009D2E2B">
        <w:rPr>
          <w:b/>
        </w:rPr>
        <w:t xml:space="preserve"> ON PASSAGE</w:t>
      </w:r>
      <w:r w:rsidR="009D2E2B" w:rsidRPr="00004B6E">
        <w:rPr>
          <w:b/>
        </w:rPr>
        <w:t>:</w:t>
      </w:r>
      <w:r w:rsidR="00695622">
        <w:rPr>
          <w:b/>
        </w:rPr>
        <w:tab/>
      </w:r>
      <w:r w:rsidR="008D3063">
        <w:rPr>
          <w:b/>
        </w:rPr>
        <w:tab/>
      </w:r>
      <w:sdt>
        <w:sdtPr>
          <w:rPr>
            <w:rStyle w:val="Style2"/>
          </w:rPr>
          <w:id w:val="214012534"/>
          <w:placeholder>
            <w:docPart w:val="7889996AEAD74749BC20474A2AF97CF6"/>
          </w:placeholder>
          <w:date w:fullDate="2025-05-07T00:00:00Z">
            <w:dateFormat w:val="M/d/yyyy"/>
            <w:lid w:val="en-US"/>
            <w:storeMappedDataAs w:val="dateTime"/>
            <w:calendar w:val="gregorian"/>
          </w:date>
        </w:sdtPr>
        <w:sdtEndPr>
          <w:rPr>
            <w:rStyle w:val="DefaultParagraphFont"/>
            <w:b/>
          </w:rPr>
        </w:sdtEndPr>
        <w:sdtContent>
          <w:r w:rsidR="002E4DCA">
            <w:rPr>
              <w:rStyle w:val="Style2"/>
            </w:rPr>
            <w:t>5/7/2025</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2E4DCA">
                <w:t>23</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2E4DCA">
                <w:t>17</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rsidR="009D2E2B">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73A496CB" w14:textId="7B3DBB12" w:rsidR="002E4DCA" w:rsidRPr="002E4DCA" w:rsidRDefault="00FD747F" w:rsidP="002E4DCA">
      <w:r>
        <w:t>Nays:</w:t>
      </w:r>
      <w:r w:rsidR="00695622" w:rsidRPr="00695622">
        <w:t xml:space="preserve"> </w:t>
      </w:r>
      <w:r w:rsidR="002E4DCA" w:rsidRPr="002E4DCA">
        <w:t xml:space="preserve">Allard, Costello, Coulombe, Elam, McCabe, Moore, </w:t>
      </w:r>
      <w:r w:rsidR="002E4DCA">
        <w:t xml:space="preserve">D. </w:t>
      </w:r>
      <w:r w:rsidR="002E4DCA" w:rsidRPr="002E4DCA">
        <w:t>Nelson,</w:t>
      </w:r>
      <w:r w:rsidR="002E4DCA">
        <w:t xml:space="preserve"> </w:t>
      </w:r>
      <w:r w:rsidR="002E4DCA" w:rsidRPr="002E4DCA">
        <w:t>Prax, Rauscher, Ruffridge, Saddler, Schwanke, Stapp, Tilton,</w:t>
      </w:r>
      <w:r w:rsidR="002E4DCA">
        <w:t xml:space="preserve"> </w:t>
      </w:r>
      <w:r w:rsidR="002E4DCA" w:rsidRPr="002E4DCA">
        <w:t xml:space="preserve">Tomaszewski, Underwood, Vance     </w:t>
      </w:r>
    </w:p>
    <w:p w14:paraId="394C5519" w14:textId="0A3EA138" w:rsidR="008A2BD8" w:rsidRPr="00004B6E" w:rsidRDefault="00695622" w:rsidP="008D3063">
      <w:r w:rsidRPr="00695622">
        <w:t xml:space="preserve">  </w:t>
      </w:r>
    </w:p>
    <w:p w14:paraId="406984DC" w14:textId="0FC65C9D" w:rsidR="008D3063" w:rsidRPr="00004B6E" w:rsidRDefault="00042CE4" w:rsidP="003266F4">
      <w:r>
        <w:rPr>
          <w:b/>
        </w:rPr>
        <w:t>SENATE</w:t>
      </w:r>
      <w:r w:rsidR="009D2E2B">
        <w:rPr>
          <w:b/>
        </w:rPr>
        <w:t xml:space="preserve"> ON PASSAGE</w:t>
      </w:r>
      <w:r w:rsidR="009D2E2B" w:rsidRPr="00004B6E">
        <w:rPr>
          <w:b/>
        </w:rPr>
        <w:t>:</w:t>
      </w:r>
      <w:r w:rsidR="009D2E2B">
        <w:rPr>
          <w:b/>
        </w:rPr>
        <w:t xml:space="preserve"> </w:t>
      </w:r>
      <w:r w:rsidR="00695622">
        <w:rPr>
          <w:b/>
        </w:rPr>
        <w:tab/>
      </w:r>
      <w:r w:rsidR="008D3063">
        <w:rPr>
          <w:b/>
        </w:rPr>
        <w:tab/>
      </w:r>
      <w:sdt>
        <w:sdtPr>
          <w:rPr>
            <w:rStyle w:val="Style2"/>
          </w:rPr>
          <w:id w:val="-1415782775"/>
          <w:placeholder>
            <w:docPart w:val="A89A162F1A6341AA8B933ED26CE4C1A0"/>
          </w:placeholder>
          <w:date w:fullDate="2026-05-15T00:00:00Z">
            <w:dateFormat w:val="M/d/yyyy"/>
            <w:lid w:val="en-US"/>
            <w:storeMappedDataAs w:val="dateTime"/>
            <w:calendar w:val="gregorian"/>
          </w:date>
        </w:sdtPr>
        <w:sdtEndPr>
          <w:rPr>
            <w:rStyle w:val="Style2"/>
          </w:rPr>
        </w:sdtEndPr>
        <w:sdtContent>
          <w:r w:rsidR="002E4DCA">
            <w:rPr>
              <w:rStyle w:val="Style2"/>
            </w:rPr>
            <w:t>5/15/2026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2E4DCA">
            <w:t>18</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2E4DCA">
            <w:t>2</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78D3DF41" w14:textId="77777777" w:rsidR="002E4DCA" w:rsidRPr="002E4DCA" w:rsidRDefault="00E8622B" w:rsidP="002E4DCA">
      <w:r>
        <w:t>Nays:</w:t>
      </w:r>
      <w:r w:rsidRPr="00695622">
        <w:t xml:space="preserve"> </w:t>
      </w:r>
      <w:r w:rsidR="002E4DCA" w:rsidRPr="002E4DCA">
        <w:t xml:space="preserve">Rauscher, Tilton </w:t>
      </w:r>
    </w:p>
    <w:p w14:paraId="3AFCF79B" w14:textId="76CA4DCD" w:rsidR="00E8622B" w:rsidRPr="002E4DCA" w:rsidRDefault="00E8622B" w:rsidP="00FD747F">
      <w:r w:rsidRPr="00695622">
        <w:t xml:space="preserve">  </w:t>
      </w:r>
    </w:p>
    <w:p w14:paraId="378B65F2" w14:textId="7B7B86FD"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6T00:00:00Z">
            <w:dateFormat w:val="M/d/yyyy"/>
            <w:lid w:val="en-US"/>
            <w:storeMappedDataAs w:val="dateTime"/>
            <w:calendar w:val="gregorian"/>
          </w:date>
        </w:sdtPr>
        <w:sdtEndPr>
          <w:rPr>
            <w:rStyle w:val="DefaultParagraphFont"/>
            <w:b/>
          </w:rPr>
        </w:sdtEndPr>
        <w:sdtContent>
          <w:r w:rsidR="002E4DCA">
            <w:rPr>
              <w:rStyle w:val="Style2"/>
            </w:rPr>
            <w:t>5/16/2026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2E4DCA">
                <w:t>26</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2E4DCA">
                <w:t>14</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2E2E47AB" w14:textId="1FAF25E3" w:rsidR="002E4DCA" w:rsidRPr="002E4DCA" w:rsidRDefault="00FD747F" w:rsidP="002E4DCA">
      <w:r>
        <w:t>Nays:</w:t>
      </w:r>
      <w:r w:rsidR="002E4DCA">
        <w:t xml:space="preserve"> </w:t>
      </w:r>
      <w:r w:rsidR="002E4DCA" w:rsidRPr="002E4DCA">
        <w:t>Allard, Coulombe, Elam, Hannan, Moore, D.Nelson, G.Nelson,</w:t>
      </w:r>
      <w:r w:rsidR="002E4DCA">
        <w:t xml:space="preserve"> </w:t>
      </w:r>
      <w:r w:rsidR="002E4DCA" w:rsidRPr="002E4DCA">
        <w:t xml:space="preserve">Prax, Ruffridge, Saddler, St. Clair, Stapp, Tomaszewski, Underwood </w:t>
      </w:r>
    </w:p>
    <w:p w14:paraId="3A0A6C47" w14:textId="1D4D38E7" w:rsidR="00FD747F" w:rsidRDefault="00FD747F" w:rsidP="002E4DCA">
      <w:pPr>
        <w:rPr>
          <w:b/>
        </w:rPr>
      </w:pPr>
      <w:r>
        <w:t xml:space="preserve"> </w:t>
      </w:r>
    </w:p>
    <w:p w14:paraId="6E86BAD0" w14:textId="195FA684"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CA2D1E">
            <w:rPr>
              <w:rStyle w:val="Style1"/>
            </w:rPr>
            <w:t>A</w:t>
          </w:r>
          <w:r w:rsidR="00CA2D1E" w:rsidRPr="00CA2D1E">
            <w:t>n Act relating to the Board of Regents of the University of Alaska; and providing for an effective date.</w:t>
          </w:r>
        </w:sdtContent>
      </w:sdt>
    </w:p>
    <w:p w14:paraId="41B9A03E" w14:textId="77777777" w:rsidR="005837A9" w:rsidRPr="002A40AE" w:rsidRDefault="005837A9" w:rsidP="002A40AE">
      <w:pPr>
        <w:ind w:left="720" w:hanging="720"/>
        <w:rPr>
          <w:bCs/>
        </w:rPr>
      </w:pPr>
    </w:p>
    <w:p w14:paraId="09454CE8" w14:textId="631CA933"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EC4D15" w:rsidRPr="00EC4D15">
            <w:rPr>
              <w:bCs/>
            </w:rPr>
            <w:t>Sections 1-2, 4-</w:t>
          </w:r>
          <w:r w:rsidR="00EC4D15">
            <w:rPr>
              <w:bCs/>
            </w:rPr>
            <w:t>5</w:t>
          </w:r>
          <w:r w:rsidR="00EC4D15" w:rsidRPr="00EC4D15">
            <w:rPr>
              <w:bCs/>
            </w:rPr>
            <w:t>, 7-8</w:t>
          </w:r>
          <w:r w:rsidR="00EC4D15">
            <w:rPr>
              <w:bCs/>
            </w:rPr>
            <w:t xml:space="preserve"> </w:t>
          </w:r>
          <w:r w:rsidR="00EC4D15">
            <w:rPr>
              <w:rStyle w:val="Style2"/>
            </w:rPr>
            <w:t xml:space="preserve">90 days after enactment; </w:t>
          </w:r>
          <w:r w:rsidR="00EC4D15" w:rsidRPr="00EC4D15">
            <w:t>Sections 3, 6, 9, and 10 effect</w:t>
          </w:r>
          <w:r w:rsidR="00E85E6F">
            <w:t>ive</w:t>
          </w:r>
          <w:r w:rsidR="00EC4D15" w:rsidRPr="00EC4D15">
            <w:t xml:space="preserve"> February 1, 2033.</w:t>
          </w:r>
        </w:sdtContent>
      </w:sdt>
    </w:p>
    <w:p w14:paraId="42A426B7" w14:textId="77777777" w:rsidR="004D49D5" w:rsidRDefault="004D49D5" w:rsidP="00F428B5">
      <w:pPr>
        <w:ind w:left="2160" w:hanging="2160"/>
      </w:pPr>
    </w:p>
    <w:p w14:paraId="2E6E0A6E" w14:textId="6C5ED023"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CA2D1E" w:rsidRPr="00CA2D1E">
            <w:t>AS 14.40.120</w:t>
          </w:r>
          <w:r w:rsidR="00CA2D1E">
            <w:t xml:space="preserve">; </w:t>
          </w:r>
          <w:r w:rsidR="00CA2D1E" w:rsidRPr="00CA2D1E">
            <w:t>AS 14.40.130</w:t>
          </w:r>
          <w:r w:rsidR="00CA2D1E">
            <w:t xml:space="preserve">; </w:t>
          </w:r>
          <w:r w:rsidR="00CA2D1E" w:rsidRPr="00CA2D1E">
            <w:t>S 14.40.140</w:t>
          </w:r>
          <w:r w:rsidR="00CA2D1E">
            <w:t xml:space="preserve">; </w:t>
          </w:r>
          <w:r w:rsidR="00CA2D1E" w:rsidRPr="00CA2D1E">
            <w:t>AS 14.40.150</w:t>
          </w:r>
          <w:r w:rsidR="00CA2D1E">
            <w:t xml:space="preserve">; </w:t>
          </w:r>
          <w:r w:rsidR="00CA2D1E" w:rsidRPr="00CA2D1E">
            <w:t>AS 14.40.200</w:t>
          </w:r>
          <w:r w:rsidR="00CA2D1E">
            <w:t xml:space="preserve">; </w:t>
          </w:r>
          <w:r w:rsidR="00CA2D1E" w:rsidRPr="00CA2D1E">
            <w:t>AS 14.40.130</w:t>
          </w:r>
        </w:sdtContent>
      </w:sdt>
    </w:p>
    <w:p w14:paraId="4E92F088" w14:textId="77777777" w:rsidR="00A56EB6" w:rsidRDefault="00A56EB6" w:rsidP="00EB0161">
      <w:pPr>
        <w:pStyle w:val="Default"/>
        <w:rPr>
          <w:bCs/>
        </w:rPr>
      </w:pPr>
    </w:p>
    <w:p w14:paraId="762271B0" w14:textId="4D74D737"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85272A" w:rsidRPr="0085272A">
            <w:t>AS 14.40.130(f) and 14.40.150(c)</w:t>
          </w:r>
        </w:sdtContent>
      </w:sdt>
    </w:p>
    <w:p w14:paraId="22705670" w14:textId="77777777" w:rsidR="00EB0161" w:rsidRPr="00EB0161" w:rsidRDefault="00EB0161" w:rsidP="00EB0161">
      <w:pPr>
        <w:pStyle w:val="Default"/>
        <w:rPr>
          <w:bCs/>
        </w:rPr>
      </w:pPr>
    </w:p>
    <w:p w14:paraId="4AB0D6EF" w14:textId="1CA26305"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85272A">
            <w:rPr>
              <w:rStyle w:val="Style2"/>
            </w:rPr>
            <w:t>Yes.</w:t>
          </w:r>
        </w:sdtContent>
      </w:sdt>
    </w:p>
    <w:p w14:paraId="7D327D44" w14:textId="77777777" w:rsidR="009F627B" w:rsidRPr="00B45B54" w:rsidRDefault="009F627B" w:rsidP="00110751"/>
    <w:p w14:paraId="14FC8FDE" w14:textId="239AF464"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85272A" w:rsidRPr="0085272A">
            <w:rPr>
              <w:bCs/>
            </w:rPr>
            <w:t xml:space="preserve">This legislation expands the Board of Regents (BOR) to 12 members by adding one full‐time faculty member, through February 1, 2032. The Faculty Senate from each of </w:t>
          </w:r>
          <w:r w:rsidR="0085272A">
            <w:rPr>
              <w:bCs/>
            </w:rPr>
            <w:t>the University of Alaska</w:t>
          </w:r>
          <w:r w:rsidR="0085272A" w:rsidRPr="0085272A">
            <w:rPr>
              <w:bCs/>
            </w:rPr>
            <w:t xml:space="preserve">’s </w:t>
          </w:r>
          <w:r w:rsidR="0085272A">
            <w:rPr>
              <w:bCs/>
            </w:rPr>
            <w:t xml:space="preserve">(UA) </w:t>
          </w:r>
          <w:r w:rsidR="0085272A" w:rsidRPr="0085272A">
            <w:rPr>
              <w:bCs/>
            </w:rPr>
            <w:t>three accredited universities would elect two faculty members and be responsible for forwarding the results to the</w:t>
          </w:r>
          <w:r w:rsidR="0085272A">
            <w:rPr>
              <w:bCs/>
            </w:rPr>
            <w:t xml:space="preserve"> BOR, and the BOR</w:t>
          </w:r>
          <w:r w:rsidR="0085272A" w:rsidRPr="0085272A">
            <w:rPr>
              <w:bCs/>
            </w:rPr>
            <w:t xml:space="preserve">s’ Office </w:t>
          </w:r>
          <w:r w:rsidR="0085272A">
            <w:rPr>
              <w:bCs/>
            </w:rPr>
            <w:t>would</w:t>
          </w:r>
          <w:r w:rsidR="0085272A" w:rsidRPr="0085272A">
            <w:rPr>
              <w:bCs/>
            </w:rPr>
            <w:t xml:space="preserve"> be responsible for delivering the names of the candidates to the Office of the Governor for the Governor’s consideration. The Governor would select one regent from the list of six names forwarded by the universities. The faculty regent must be confirmed by the legislature and would serve a two‐year term. The legislation requires the faculty regent to be employed by</w:t>
          </w:r>
          <w:r w:rsidR="0085272A">
            <w:rPr>
              <w:bCs/>
            </w:rPr>
            <w:t xml:space="preserve"> </w:t>
          </w:r>
          <w:r w:rsidR="0085272A" w:rsidRPr="0085272A">
            <w:rPr>
              <w:bCs/>
            </w:rPr>
            <w:t>and have received tenure from one of the three universities within the UA System. Currently, regents are not university employees.</w:t>
          </w:r>
        </w:sdtContent>
      </w:sdt>
    </w:p>
    <w:p w14:paraId="42AADEF5" w14:textId="77777777" w:rsidR="00106839" w:rsidRDefault="00106839" w:rsidP="007A4AB8">
      <w:pPr>
        <w:rPr>
          <w:b/>
        </w:rPr>
      </w:pPr>
    </w:p>
    <w:p w14:paraId="6DF40B2F" w14:textId="53D31797"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042CE4">
            <w:rPr>
              <w:b/>
            </w:rPr>
            <w:t xml:space="preserve"> </w:t>
          </w:r>
          <w:r w:rsidR="00042CE4" w:rsidRPr="00042CE4">
            <w:rPr>
              <w:bCs/>
            </w:rPr>
            <w:t xml:space="preserve">The Department of Law did not identify any legal issues of concern; however, there is language that could potentially create confusion for the Office of Boards and Commissions </w:t>
          </w:r>
          <w:r w:rsidR="00042CE4">
            <w:rPr>
              <w:bCs/>
            </w:rPr>
            <w:t xml:space="preserve">(OBC) </w:t>
          </w:r>
          <w:r w:rsidR="00042CE4" w:rsidRPr="00042CE4">
            <w:rPr>
              <w:bCs/>
            </w:rPr>
            <w:t xml:space="preserve">in the administration of the statute.  Specifically, Section 5 is somewhat confusing when it provides that the </w:t>
          </w:r>
          <w:r w:rsidR="00042CE4">
            <w:rPr>
              <w:bCs/>
            </w:rPr>
            <w:t>“</w:t>
          </w:r>
          <w:r w:rsidR="00042CE4" w:rsidRPr="00042CE4">
            <w:rPr>
              <w:bCs/>
            </w:rPr>
            <w:t>appointment of a successor made under AS 14.40.130(f) shall be for the unexpired term of the original appointee.</w:t>
          </w:r>
          <w:r w:rsidR="00042CE4">
            <w:rPr>
              <w:bCs/>
            </w:rPr>
            <w:t>”</w:t>
          </w:r>
          <w:r w:rsidR="00042CE4" w:rsidRPr="00042CE4">
            <w:rPr>
              <w:bCs/>
            </w:rPr>
            <w:t xml:space="preserve"> This would seem to apply only if the person appointed to this seat does not serve the full two-year term. The OBC could probably imply that this sentence only applies if a member leaves before their term is up, but the language could be clearer. There are some statutes that say an individual appointed to fill a vacancy serves for the remainder of the term of the seat they're appointed to while also designating a requirement that when there is a vacancy it should be filled sooner than later. But the</w:t>
          </w:r>
          <w:r w:rsidR="00042CE4">
            <w:rPr>
              <w:bCs/>
            </w:rPr>
            <w:t xml:space="preserve"> “</w:t>
          </w:r>
          <w:r w:rsidR="00042CE4" w:rsidRPr="00042CE4">
            <w:rPr>
              <w:bCs/>
            </w:rPr>
            <w:t xml:space="preserve">appointment of a </w:t>
          </w:r>
          <w:r w:rsidR="00042CE4" w:rsidRPr="00042CE4">
            <w:rPr>
              <w:bCs/>
            </w:rPr>
            <w:lastRenderedPageBreak/>
            <w:t>successor</w:t>
          </w:r>
          <w:r w:rsidR="00042CE4">
            <w:rPr>
              <w:bCs/>
            </w:rPr>
            <w:t>”</w:t>
          </w:r>
          <w:r w:rsidR="00042CE4" w:rsidRPr="00042CE4">
            <w:rPr>
              <w:bCs/>
            </w:rPr>
            <w:t xml:space="preserve"> as it reads now could arguably include either a successor to fill an unserved portion of an earlier member's term or a successor when the two-year term has been fully served by one appointee.</w:t>
          </w:r>
          <w:r w:rsidR="00042CE4">
            <w:rPr>
              <w:b/>
            </w:rPr>
            <w:t xml:space="preserve"> </w:t>
          </w:r>
        </w:sdtContent>
      </w:sdt>
    </w:p>
    <w:p w14:paraId="00F86C59" w14:textId="77777777" w:rsidR="00AA2F95" w:rsidRDefault="00AA2F95" w:rsidP="007A4AB8">
      <w:pPr>
        <w:rPr>
          <w:b/>
        </w:rPr>
      </w:pPr>
    </w:p>
    <w:p w14:paraId="6733C595" w14:textId="24D3BB00" w:rsidR="00E85E6F" w:rsidRPr="00E85E6F" w:rsidRDefault="00403A74" w:rsidP="00E85E6F">
      <w:pPr>
        <w:rPr>
          <w:bCs/>
        </w:rPr>
      </w:pPr>
      <w:r w:rsidRPr="00B45B54">
        <w:rPr>
          <w:b/>
        </w:rPr>
        <w:t>DEPARTMENT</w:t>
      </w:r>
      <w:r>
        <w:rPr>
          <w:b/>
        </w:rPr>
        <w:t xml:space="preserve"> </w:t>
      </w:r>
      <w:r w:rsidRPr="009F24DE">
        <w:rPr>
          <w:b/>
        </w:rPr>
        <w:t>RECOMMENDATION</w:t>
      </w:r>
      <w:r>
        <w:rPr>
          <w:b/>
        </w:rPr>
        <w:t xml:space="preserve">: </w:t>
      </w:r>
      <w:sdt>
        <w:sdtPr>
          <w:rPr>
            <w:bCs/>
          </w:rPr>
          <w:id w:val="-1812315105"/>
          <w:placeholder>
            <w:docPart w:val="328814D956E1470399088B3EE3A48937"/>
          </w:placeholder>
        </w:sdtPr>
        <w:sdtContent>
          <w:r w:rsidR="00E85E6F" w:rsidRPr="00E85E6F">
            <w:rPr>
              <w:bCs/>
            </w:rPr>
            <w:t>The University strongly recommends that the Governor veto this bill because it introduces severe conflicts of interest and critical structural flaws to the Board of Regents.</w:t>
          </w:r>
        </w:sdtContent>
      </w:sdt>
      <w:r w:rsidR="00E85E6F">
        <w:rPr>
          <w:bCs/>
        </w:rPr>
        <w:t xml:space="preserve"> </w:t>
      </w:r>
      <w:r w:rsidR="00E85E6F" w:rsidRPr="00E85E6F">
        <w:rPr>
          <w:bCs/>
        </w:rPr>
        <w:t>Currently, the Board functions without any university employees as members, allowing it to maintain an objective fiduciary duty to the public and the institution. Introducing a faculty member to the Board would shatter this objectivity, placing an employee in a position where they must make decisions that could directly conflict with their own professional and financial interests. This dynamic creates a confusing breakdown in the chain of command: because the Board supervises the President, and the President supervises the faculty, a faculty regent would essentially become the boss of their own supervisor.</w:t>
      </w:r>
      <w:r w:rsidR="00E85E6F">
        <w:rPr>
          <w:bCs/>
        </w:rPr>
        <w:t xml:space="preserve"> </w:t>
      </w:r>
      <w:r w:rsidR="00E85E6F" w:rsidRPr="00E85E6F">
        <w:rPr>
          <w:bCs/>
        </w:rPr>
        <w:t>Furthermore, because faculty employment terms are decided through collective bargaining agreements that the Board must approve, a faculty regent would end up on three sides of the decision-making table—acting simultaneously as management, union representation, and faculty governance. To comply with the Executive Branch Ethics Act, the Board would be forced to exclude this regent from the very discussions regarding faculty interests they were meant to represent. Even if they could participate, the legislation inherently turns a public-service role into a special interest seat, risking the politicization of university governance when employee interests diverge from the public good.</w:t>
      </w:r>
    </w:p>
    <w:p w14:paraId="482FCF01" w14:textId="16917AD5" w:rsidR="00E85E6F" w:rsidRPr="00E85E6F" w:rsidRDefault="00E85E6F" w:rsidP="00E85E6F">
      <w:pPr>
        <w:rPr>
          <w:bCs/>
        </w:rPr>
      </w:pPr>
      <w:r w:rsidRPr="00E85E6F">
        <w:rPr>
          <w:bCs/>
        </w:rPr>
        <w:t>Beyond these ethical entanglements, the bill introduces a glaring operational roadblock. Adding a twelfth member creates an even-numbered board, inviting tied votes that lead to administrative gridlock and making it much harder to reach the seven-vote majority needed for difficult decisions. Ultimately, this structural change is as unnecessary as it is problematic, given that the Board already maintains a robust and highly effective system for integrating faculty and staff input into university decisions without compromising the integrity of its governing bod</w:t>
      </w:r>
      <w:r>
        <w:rPr>
          <w:bCs/>
        </w:rPr>
        <w:t>y.</w:t>
      </w:r>
    </w:p>
    <w:p w14:paraId="5527D166" w14:textId="0BE09624" w:rsidR="00403A74" w:rsidRPr="00EF353C" w:rsidRDefault="00E85E6F" w:rsidP="00403A74">
      <w:pPr>
        <w:rPr>
          <w:bCs/>
        </w:rPr>
      </w:pPr>
      <w:r>
        <w:rPr>
          <w:bCs/>
        </w:rPr>
        <w:t xml:space="preserve"> </w:t>
      </w:r>
    </w:p>
    <w:p w14:paraId="034DA7B7" w14:textId="77777777" w:rsidR="00403A74" w:rsidRDefault="00403A74" w:rsidP="003814A2">
      <w:pPr>
        <w:tabs>
          <w:tab w:val="left" w:pos="2160"/>
        </w:tabs>
        <w:rPr>
          <w:b/>
        </w:rPr>
      </w:pPr>
    </w:p>
    <w:p w14:paraId="6095E1EF" w14:textId="0CCA021A"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Cs/>
          </w:rPr>
          <w:id w:val="-1243785512"/>
          <w:placeholder>
            <w:docPart w:val="DefaultPlaceholder_-1854013440"/>
          </w:placeholder>
        </w:sdtPr>
        <w:sdtEndPr/>
        <w:sdtContent>
          <w:r w:rsidR="0085272A" w:rsidRPr="0085272A">
            <w:rPr>
              <w:bCs/>
            </w:rPr>
            <w:t>The GLO recommends the Governor veto the bill.</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5E5D" w14:textId="77777777" w:rsidR="003048B3" w:rsidRDefault="003048B3" w:rsidP="007B66BC">
      <w:r>
        <w:separator/>
      </w:r>
    </w:p>
  </w:endnote>
  <w:endnote w:type="continuationSeparator" w:id="0">
    <w:p w14:paraId="21E1EA7F" w14:textId="77777777" w:rsidR="003048B3" w:rsidRDefault="003048B3"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19A083B7"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550EC9">
      <w:rPr>
        <w:noProof/>
        <w:sz w:val="22"/>
        <w:szCs w:val="22"/>
      </w:rPr>
      <w:t>May 22,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00C6" w14:textId="77777777" w:rsidR="003048B3" w:rsidRDefault="003048B3" w:rsidP="007B66BC">
      <w:r>
        <w:separator/>
      </w:r>
    </w:p>
  </w:footnote>
  <w:footnote w:type="continuationSeparator" w:id="0">
    <w:p w14:paraId="5544A82E" w14:textId="77777777" w:rsidR="003048B3" w:rsidRDefault="003048B3"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43433"/>
    <w:multiLevelType w:val="multilevel"/>
    <w:tmpl w:val="B088D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7"/>
  </w:num>
  <w:num w:numId="7" w16cid:durableId="500241803">
    <w:abstractNumId w:val="7"/>
  </w:num>
  <w:num w:numId="8" w16cid:durableId="628973693">
    <w:abstractNumId w:val="21"/>
  </w:num>
  <w:num w:numId="9" w16cid:durableId="1429082576">
    <w:abstractNumId w:val="10"/>
  </w:num>
  <w:num w:numId="10" w16cid:durableId="2135168435">
    <w:abstractNumId w:val="18"/>
  </w:num>
  <w:num w:numId="11" w16cid:durableId="955478695">
    <w:abstractNumId w:val="14"/>
  </w:num>
  <w:num w:numId="12" w16cid:durableId="974994662">
    <w:abstractNumId w:val="6"/>
  </w:num>
  <w:num w:numId="13" w16cid:durableId="2055805865">
    <w:abstractNumId w:val="20"/>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5"/>
  </w:num>
  <w:num w:numId="19" w16cid:durableId="1138454077">
    <w:abstractNumId w:val="13"/>
  </w:num>
  <w:num w:numId="20" w16cid:durableId="2077587829">
    <w:abstractNumId w:val="9"/>
  </w:num>
  <w:num w:numId="21" w16cid:durableId="1398555994">
    <w:abstractNumId w:val="16"/>
  </w:num>
  <w:num w:numId="22" w16cid:durableId="139152530">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3" w16cid:durableId="986282762">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4" w16cid:durableId="1933929939">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5" w16cid:durableId="1980112706">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6" w16cid:durableId="1289775228">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7" w16cid:durableId="563376405">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8" w16cid:durableId="1993093644">
    <w:abstractNumId w:val="4"/>
    <w:lvlOverride w:ilvl="0"/>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Override w:ilvl="3"/>
    <w:lvlOverride w:ilvl="4"/>
    <w:lvlOverride w:ilvl="5"/>
    <w:lvlOverride w:ilvl="6"/>
    <w:lvlOverride w:ilvl="7"/>
    <w:lvlOverride w:ilvl="8"/>
  </w:num>
  <w:num w:numId="29" w16cid:durableId="5133087">
    <w:abstractNumId w:val="4"/>
    <w:lvlOverride w:ilvl="0"/>
    <w:lvlOverride w:ilvl="1"/>
    <w:lvlOverride w:ilvl="2"/>
    <w:lvlOverride w:ilvl="3"/>
    <w:lvlOverride w:ilvl="4"/>
    <w:lvlOverride w:ilvl="5"/>
    <w:lvlOverride w:ilvl="6"/>
    <w:lvlOverride w:ilvl="7"/>
    <w:lvlOverride w:ilv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F0E"/>
    <w:rsid w:val="00042CE4"/>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4DCA"/>
    <w:rsid w:val="002E55E6"/>
    <w:rsid w:val="002E5E81"/>
    <w:rsid w:val="002E7582"/>
    <w:rsid w:val="002E770A"/>
    <w:rsid w:val="002F34B0"/>
    <w:rsid w:val="002F39C0"/>
    <w:rsid w:val="00300749"/>
    <w:rsid w:val="003016A5"/>
    <w:rsid w:val="003048B3"/>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66BD6"/>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0EC9"/>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72A"/>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75E1A"/>
    <w:rsid w:val="00C80BF5"/>
    <w:rsid w:val="00C83C85"/>
    <w:rsid w:val="00C85BBF"/>
    <w:rsid w:val="00C8600B"/>
    <w:rsid w:val="00C90BAD"/>
    <w:rsid w:val="00C90D3A"/>
    <w:rsid w:val="00C94FDE"/>
    <w:rsid w:val="00C96318"/>
    <w:rsid w:val="00CA2D1E"/>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5E6F"/>
    <w:rsid w:val="00E8622B"/>
    <w:rsid w:val="00E93134"/>
    <w:rsid w:val="00E95932"/>
    <w:rsid w:val="00E968AF"/>
    <w:rsid w:val="00E9710A"/>
    <w:rsid w:val="00E971AC"/>
    <w:rsid w:val="00EA2E56"/>
    <w:rsid w:val="00EA4ADC"/>
    <w:rsid w:val="00EB0161"/>
    <w:rsid w:val="00EB2D1F"/>
    <w:rsid w:val="00EB58BB"/>
    <w:rsid w:val="00EC18A2"/>
    <w:rsid w:val="00EC27C6"/>
    <w:rsid w:val="00EC4D15"/>
    <w:rsid w:val="00ED52FC"/>
    <w:rsid w:val="00ED74B0"/>
    <w:rsid w:val="00ED7888"/>
    <w:rsid w:val="00EE0097"/>
    <w:rsid w:val="00EE08D1"/>
    <w:rsid w:val="00EE0FB1"/>
    <w:rsid w:val="00EE1254"/>
    <w:rsid w:val="00EE27DE"/>
    <w:rsid w:val="00EE6546"/>
    <w:rsid w:val="00EE7491"/>
    <w:rsid w:val="00EE7963"/>
    <w:rsid w:val="00EF353C"/>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40D5A5D7-9D1F-4D98-9AA4-484BF1D8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2675261">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285820453">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396974939">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6264581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37607650">
      <w:bodyDiv w:val="1"/>
      <w:marLeft w:val="0"/>
      <w:marRight w:val="0"/>
      <w:marTop w:val="0"/>
      <w:marBottom w:val="0"/>
      <w:divBdr>
        <w:top w:val="none" w:sz="0" w:space="0" w:color="auto"/>
        <w:left w:val="none" w:sz="0" w:space="0" w:color="auto"/>
        <w:bottom w:val="none" w:sz="0" w:space="0" w:color="auto"/>
        <w:right w:val="none" w:sz="0" w:space="0" w:color="auto"/>
      </w:divBdr>
    </w:div>
    <w:div w:id="651249705">
      <w:bodyDiv w:val="1"/>
      <w:marLeft w:val="0"/>
      <w:marRight w:val="0"/>
      <w:marTop w:val="0"/>
      <w:marBottom w:val="0"/>
      <w:divBdr>
        <w:top w:val="none" w:sz="0" w:space="0" w:color="auto"/>
        <w:left w:val="none" w:sz="0" w:space="0" w:color="auto"/>
        <w:bottom w:val="none" w:sz="0" w:space="0" w:color="auto"/>
        <w:right w:val="none" w:sz="0" w:space="0" w:color="auto"/>
      </w:divBdr>
    </w:div>
    <w:div w:id="735670135">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821822044">
      <w:bodyDiv w:val="1"/>
      <w:marLeft w:val="0"/>
      <w:marRight w:val="0"/>
      <w:marTop w:val="0"/>
      <w:marBottom w:val="0"/>
      <w:divBdr>
        <w:top w:val="none" w:sz="0" w:space="0" w:color="auto"/>
        <w:left w:val="none" w:sz="0" w:space="0" w:color="auto"/>
        <w:bottom w:val="none" w:sz="0" w:space="0" w:color="auto"/>
        <w:right w:val="none" w:sz="0" w:space="0" w:color="auto"/>
      </w:divBdr>
    </w:div>
    <w:div w:id="846675708">
      <w:bodyDiv w:val="1"/>
      <w:marLeft w:val="0"/>
      <w:marRight w:val="0"/>
      <w:marTop w:val="0"/>
      <w:marBottom w:val="0"/>
      <w:divBdr>
        <w:top w:val="none" w:sz="0" w:space="0" w:color="auto"/>
        <w:left w:val="none" w:sz="0" w:space="0" w:color="auto"/>
        <w:bottom w:val="none" w:sz="0" w:space="0" w:color="auto"/>
        <w:right w:val="none" w:sz="0" w:space="0" w:color="auto"/>
      </w:divBdr>
    </w:div>
    <w:div w:id="993222097">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2781972">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853108958">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74692115">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23723143">
      <w:bodyDiv w:val="1"/>
      <w:marLeft w:val="0"/>
      <w:marRight w:val="0"/>
      <w:marTop w:val="0"/>
      <w:marBottom w:val="0"/>
      <w:divBdr>
        <w:top w:val="none" w:sz="0" w:space="0" w:color="auto"/>
        <w:left w:val="none" w:sz="0" w:space="0" w:color="auto"/>
        <w:bottom w:val="none" w:sz="0" w:space="0" w:color="auto"/>
        <w:right w:val="none" w:sz="0" w:space="0" w:color="auto"/>
      </w:divBdr>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F28A7"/>
    <w:rsid w:val="00121510"/>
    <w:rsid w:val="002565B0"/>
    <w:rsid w:val="00273A4E"/>
    <w:rsid w:val="00A962B1"/>
    <w:rsid w:val="00AE4447"/>
    <w:rsid w:val="00C75E1A"/>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805</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dc:description/>
  <cp:lastModifiedBy>Schoenheit, Victoria M (GOV)</cp:lastModifiedBy>
  <cp:revision>2</cp:revision>
  <cp:lastPrinted>2023-03-09T00:35:00Z</cp:lastPrinted>
  <dcterms:created xsi:type="dcterms:W3CDTF">2026-03-27T00:53:00Z</dcterms:created>
  <dcterms:modified xsi:type="dcterms:W3CDTF">2026-05-22T18:04:00Z</dcterms:modified>
</cp:coreProperties>
</file>