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E96AB" w14:textId="77777777" w:rsidR="009B4F93" w:rsidRDefault="00DE12D2">
      <w:r>
        <w:t xml:space="preserve">Here </w:t>
      </w:r>
      <w:proofErr w:type="gramStart"/>
      <w:r>
        <w:t>is</w:t>
      </w:r>
      <w:proofErr w:type="gramEnd"/>
      <w:r>
        <w:t xml:space="preserve"> a comprehensive review and analysis of the Request for Offer (RFO No. HHS0016035) for the Texas Health and Human Services Commission (HHSC) TIERS Software Development and Maintenance Services, prepared in alignment with </w:t>
      </w:r>
      <w:proofErr w:type="gramStart"/>
      <w:r>
        <w:t>industry</w:t>
      </w:r>
      <w:proofErr w:type="gramEnd"/>
      <w:r>
        <w:t xml:space="preserve"> best practices.</w:t>
      </w:r>
    </w:p>
    <w:p w14:paraId="6A6E96AC" w14:textId="77777777" w:rsidR="009B4F93" w:rsidRDefault="00DE12D2">
      <w:pPr>
        <w:pStyle w:val="Heading3"/>
      </w:pPr>
      <w:bookmarkStart w:id="0" w:name="_pp3h6yb39c8s" w:colFirst="0" w:colLast="0"/>
      <w:bookmarkEnd w:id="0"/>
      <w:r>
        <w:t>Executive Summary</w:t>
      </w:r>
    </w:p>
    <w:p w14:paraId="2D6EF8A2" w14:textId="77777777" w:rsidR="00EF0AFD" w:rsidRDefault="00EF0AFD" w:rsidP="00EF0AFD">
      <w:pPr>
        <w:numPr>
          <w:ilvl w:val="0"/>
          <w:numId w:val="14"/>
        </w:numPr>
        <w:rPr>
          <w:rFonts w:eastAsia="Times New Roman"/>
        </w:rPr>
      </w:pPr>
      <w:r>
        <w:rPr>
          <w:rFonts w:eastAsia="Times New Roman"/>
          <w:b/>
          <w:bCs/>
        </w:rPr>
        <w:t>Agency &amp; Solicitation:</w:t>
      </w:r>
      <w:r>
        <w:rPr>
          <w:rFonts w:eastAsia="Times New Roman"/>
        </w:rPr>
        <w:t xml:space="preserve"> The Texas Health and Human Services Commission (HHSC) has released a highly structured Request for Offer (RFO) to find a vendor for software development, technical support, and maintenance of the Texas Integrated Eligibility Redesign System (TIERS).</w:t>
      </w:r>
    </w:p>
    <w:p w14:paraId="154520B7" w14:textId="77777777" w:rsidR="00EF0AFD" w:rsidRDefault="00EF0AFD" w:rsidP="00EF0AFD">
      <w:pPr>
        <w:numPr>
          <w:ilvl w:val="0"/>
          <w:numId w:val="14"/>
        </w:numPr>
        <w:rPr>
          <w:rFonts w:eastAsia="Times New Roman"/>
        </w:rPr>
      </w:pPr>
      <w:r>
        <w:rPr>
          <w:rFonts w:eastAsia="Times New Roman"/>
          <w:b/>
          <w:bCs/>
        </w:rPr>
        <w:t>System Importance:</w:t>
      </w:r>
      <w:r>
        <w:rPr>
          <w:rFonts w:eastAsia="Times New Roman"/>
        </w:rPr>
        <w:t xml:space="preserve"> TIERS is a mission-critical solution, processing over 7 million transactions daily and providing eligibility determinations for 97 types of assistance programs, serving more than 5 million Texans.</w:t>
      </w:r>
    </w:p>
    <w:p w14:paraId="1804D95C" w14:textId="77777777" w:rsidR="00EF0AFD" w:rsidRDefault="00EF0AFD" w:rsidP="00EF0AFD">
      <w:pPr>
        <w:numPr>
          <w:ilvl w:val="0"/>
          <w:numId w:val="14"/>
        </w:numPr>
        <w:rPr>
          <w:rFonts w:eastAsia="Times New Roman"/>
        </w:rPr>
      </w:pPr>
      <w:r>
        <w:rPr>
          <w:rFonts w:eastAsia="Times New Roman"/>
          <w:b/>
          <w:bCs/>
        </w:rPr>
        <w:t>Contract Value &amp; Term:</w:t>
      </w:r>
      <w:r>
        <w:rPr>
          <w:rFonts w:eastAsia="Times New Roman"/>
        </w:rPr>
        <w:t xml:space="preserve"> Historically valued at about $46.7 million per State Fiscal Year, the procurement offers a substantial, long-term opportunity with a 4-year base contract and a 4-year option.</w:t>
      </w:r>
    </w:p>
    <w:p w14:paraId="0D135FD6" w14:textId="77777777" w:rsidR="00EF0AFD" w:rsidRDefault="00EF0AFD" w:rsidP="00EF0AFD">
      <w:pPr>
        <w:numPr>
          <w:ilvl w:val="0"/>
          <w:numId w:val="14"/>
        </w:numPr>
        <w:rPr>
          <w:rFonts w:eastAsia="Times New Roman"/>
        </w:rPr>
      </w:pPr>
      <w:r>
        <w:rPr>
          <w:rFonts w:eastAsia="Times New Roman"/>
          <w:b/>
          <w:bCs/>
        </w:rPr>
        <w:t>Key Risks:</w:t>
      </w:r>
      <w:r>
        <w:rPr>
          <w:rFonts w:eastAsia="Times New Roman"/>
        </w:rPr>
        <w:t xml:space="preserve"> The contract includes a strict "Prospective Price Redetermination" clause, limiting vendor profits and presenting significant commercial and operational risks.</w:t>
      </w:r>
    </w:p>
    <w:p w14:paraId="3B505E2C" w14:textId="77777777" w:rsidR="00EF0AFD" w:rsidRDefault="00EF0AFD" w:rsidP="00EF0AFD">
      <w:pPr>
        <w:numPr>
          <w:ilvl w:val="0"/>
          <w:numId w:val="14"/>
        </w:numPr>
        <w:rPr>
          <w:rFonts w:eastAsia="Times New Roman"/>
        </w:rPr>
      </w:pPr>
      <w:r>
        <w:rPr>
          <w:rFonts w:eastAsia="Times New Roman"/>
          <w:b/>
          <w:bCs/>
        </w:rPr>
        <w:t>Vendor Requirements:</w:t>
      </w:r>
      <w:r>
        <w:rPr>
          <w:rFonts w:eastAsia="Times New Roman"/>
        </w:rPr>
        <w:t xml:space="preserve"> Success demands a mature Agile delivery model, detailed cost-allocation accounting, and an impeccable transition plan.</w:t>
      </w:r>
    </w:p>
    <w:p w14:paraId="6A6E96AF" w14:textId="77777777" w:rsidR="009B4F93" w:rsidRDefault="00DE12D2">
      <w:pPr>
        <w:pStyle w:val="Heading3"/>
      </w:pPr>
      <w:bookmarkStart w:id="1" w:name="_ifefn0zf7tga" w:colFirst="0" w:colLast="0"/>
      <w:bookmarkEnd w:id="1"/>
      <w:r>
        <w:t>RFP Objectives and Scope</w:t>
      </w:r>
    </w:p>
    <w:p w14:paraId="1E63D2B1" w14:textId="77777777" w:rsidR="002D7408" w:rsidRDefault="00DE12D2">
      <w:pPr>
        <w:rPr>
          <w:b/>
          <w:bCs/>
        </w:rPr>
      </w:pPr>
      <w:r>
        <w:rPr>
          <w:b/>
          <w:bCs/>
        </w:rPr>
        <w:t>Overview and Intent</w:t>
      </w:r>
    </w:p>
    <w:p w14:paraId="6A6E96B0" w14:textId="432AFF4D" w:rsidR="009B4F93" w:rsidRDefault="00DE12D2">
      <w:r>
        <w:t xml:space="preserve">HHSC's primary objective is to transition the TIERS ecosystem to a new vendor who will maintain the current system, execute feature enhancements through Agile methodologies, and support an ongoing modernization and migration to the Amazon Web Services (AWS) cloud 7. The State intends to award a </w:t>
      </w:r>
      <w:r>
        <w:rPr>
          <w:b/>
          <w:bCs/>
        </w:rPr>
        <w:t>single contract</w:t>
      </w:r>
      <w:r>
        <w:t xml:space="preserve"> from this solicitation</w:t>
      </w:r>
      <w:r w:rsidR="00AE5C9D">
        <w:t>.</w:t>
      </w:r>
    </w:p>
    <w:p w14:paraId="09D8E045" w14:textId="77777777" w:rsidR="002D11E8" w:rsidRDefault="00DE12D2">
      <w:pPr>
        <w:rPr>
          <w:b/>
          <w:bCs/>
        </w:rPr>
      </w:pPr>
      <w:r>
        <w:rPr>
          <w:b/>
          <w:bCs/>
        </w:rPr>
        <w:t>Scope of Work and Major Deliverables</w:t>
      </w:r>
    </w:p>
    <w:p w14:paraId="6A6E96B1" w14:textId="3F27B794" w:rsidR="009B4F93" w:rsidRDefault="00DE12D2">
      <w:r>
        <w:t xml:space="preserve">The Contract is structured across three phases (Transition, Operations, Turnover) </w:t>
      </w:r>
      <w:r>
        <w:t xml:space="preserve"> and encompasses six (6) distinct Service Domains </w:t>
      </w:r>
      <w:r>
        <w:t>:</w:t>
      </w:r>
    </w:p>
    <w:p w14:paraId="6A6E96B2" w14:textId="63F30E96" w:rsidR="009B4F93" w:rsidRDefault="00DE12D2">
      <w:pPr>
        <w:numPr>
          <w:ilvl w:val="0"/>
          <w:numId w:val="4"/>
        </w:numPr>
      </w:pPr>
      <w:r>
        <w:rPr>
          <w:b/>
          <w:bCs/>
        </w:rPr>
        <w:t>Transition Services (TRA):</w:t>
      </w:r>
      <w:r>
        <w:t xml:space="preserve"> A 6-month phase to seamlessly assume responsibility from the incumbent. Major deliverables include the Transition Project Work Plan and Readiness Assessment Results Report </w:t>
      </w:r>
    </w:p>
    <w:p w14:paraId="5CE1379B" w14:textId="77777777" w:rsidR="000E12B3" w:rsidRDefault="00DE12D2">
      <w:pPr>
        <w:numPr>
          <w:ilvl w:val="0"/>
          <w:numId w:val="4"/>
        </w:numPr>
      </w:pPr>
      <w:r>
        <w:rPr>
          <w:b/>
          <w:bCs/>
        </w:rPr>
        <w:t>Design, Development, and Implementation (DDI):</w:t>
      </w:r>
      <w:r>
        <w:t xml:space="preserve"> Agile development dedicated to the five "TIERS Suite of Applications" </w:t>
      </w:r>
    </w:p>
    <w:p w14:paraId="6067AE0A" w14:textId="77777777" w:rsidR="00C91CC1" w:rsidRDefault="00DE12D2" w:rsidP="000E12B3">
      <w:pPr>
        <w:numPr>
          <w:ilvl w:val="1"/>
          <w:numId w:val="4"/>
        </w:numPr>
      </w:pPr>
      <w:r>
        <w:t>TIERS</w:t>
      </w:r>
    </w:p>
    <w:p w14:paraId="57E9F3CD" w14:textId="77777777" w:rsidR="00C91CC1" w:rsidRDefault="00DE12D2" w:rsidP="000E12B3">
      <w:pPr>
        <w:numPr>
          <w:ilvl w:val="1"/>
          <w:numId w:val="4"/>
        </w:numPr>
      </w:pPr>
      <w:r>
        <w:t>YourTexasBenefits.com</w:t>
      </w:r>
    </w:p>
    <w:p w14:paraId="40A78891" w14:textId="77777777" w:rsidR="00C91CC1" w:rsidRDefault="00DE12D2" w:rsidP="000E12B3">
      <w:pPr>
        <w:numPr>
          <w:ilvl w:val="1"/>
          <w:numId w:val="4"/>
        </w:numPr>
      </w:pPr>
      <w:r>
        <w:t>LTSS-Worker Portal</w:t>
      </w:r>
    </w:p>
    <w:p w14:paraId="1ECBC129" w14:textId="77777777" w:rsidR="00C91CC1" w:rsidRDefault="00DE12D2" w:rsidP="000E12B3">
      <w:pPr>
        <w:numPr>
          <w:ilvl w:val="1"/>
          <w:numId w:val="4"/>
        </w:numPr>
      </w:pPr>
      <w:r>
        <w:t>Mobile App</w:t>
      </w:r>
    </w:p>
    <w:p w14:paraId="64AB2B19" w14:textId="77777777" w:rsidR="00F4457B" w:rsidRDefault="00DE12D2" w:rsidP="000E12B3">
      <w:pPr>
        <w:numPr>
          <w:ilvl w:val="1"/>
          <w:numId w:val="4"/>
        </w:numPr>
      </w:pPr>
      <w:r>
        <w:t>and TIERS RPA</w:t>
      </w:r>
      <w:r w:rsidR="00F4457B">
        <w:t>.</w:t>
      </w:r>
    </w:p>
    <w:p w14:paraId="6A6E96B3" w14:textId="00C36FF8" w:rsidR="009B4F93" w:rsidRDefault="00DE12D2" w:rsidP="00F4457B">
      <w:pPr>
        <w:ind w:firstLine="360"/>
      </w:pPr>
      <w:r>
        <w:t xml:space="preserve"> Requires staffing 15 Base Sprints and up to 10 Flex Sprints per cycle</w:t>
      </w:r>
      <w:r w:rsidR="00E5418F">
        <w:t>.</w:t>
      </w:r>
    </w:p>
    <w:p w14:paraId="6A6E96B4" w14:textId="53548AD0" w:rsidR="009B4F93" w:rsidRDefault="00DE12D2">
      <w:pPr>
        <w:numPr>
          <w:ilvl w:val="0"/>
          <w:numId w:val="4"/>
        </w:numPr>
      </w:pPr>
      <w:r>
        <w:rPr>
          <w:b/>
          <w:bCs/>
        </w:rPr>
        <w:t>Support and Maintenance Services (SMS):</w:t>
      </w:r>
      <w:r>
        <w:t xml:space="preserve"> Monthly support including 24/7/365 batch operations, Level II/III Help Desk support, and defect resolution</w:t>
      </w:r>
      <w:r>
        <w:t>.</w:t>
      </w:r>
    </w:p>
    <w:p w14:paraId="6A6E96B5" w14:textId="089874A1" w:rsidR="009B4F93" w:rsidRDefault="00DE12D2">
      <w:pPr>
        <w:numPr>
          <w:ilvl w:val="0"/>
          <w:numId w:val="4"/>
        </w:numPr>
      </w:pPr>
      <w:r>
        <w:rPr>
          <w:b/>
          <w:bCs/>
        </w:rPr>
        <w:lastRenderedPageBreak/>
        <w:t>Technical Support Services (TSS):</w:t>
      </w:r>
      <w:r>
        <w:t xml:space="preserve"> Ad-hoc, time-and-materials-based technical support for architectural evaluations, security assessments, and high-level estimates for policy changes </w:t>
      </w:r>
      <w:r>
        <w:t>.</w:t>
      </w:r>
    </w:p>
    <w:p w14:paraId="6A6E96B6" w14:textId="7F445CC5" w:rsidR="009B4F93" w:rsidRDefault="00DE12D2">
      <w:pPr>
        <w:numPr>
          <w:ilvl w:val="0"/>
          <w:numId w:val="4"/>
        </w:numPr>
      </w:pPr>
      <w:r>
        <w:rPr>
          <w:b/>
          <w:bCs/>
        </w:rPr>
        <w:t>Project Management Office (PMO):</w:t>
      </w:r>
      <w:r>
        <w:t xml:space="preserve"> Governance, risk, and continuous improvement management. The PMO must deliver 11 major plans (e.g., Project Management Plan, Test Management Plan, Quality Management Plan)</w:t>
      </w:r>
      <w:r>
        <w:t>.</w:t>
      </w:r>
    </w:p>
    <w:p w14:paraId="6A6E96B7" w14:textId="120114E9" w:rsidR="009B4F93" w:rsidRDefault="00DE12D2">
      <w:pPr>
        <w:numPr>
          <w:ilvl w:val="0"/>
          <w:numId w:val="4"/>
        </w:numPr>
      </w:pPr>
      <w:r>
        <w:rPr>
          <w:b/>
          <w:bCs/>
        </w:rPr>
        <w:t>Turnover Services (TUR):</w:t>
      </w:r>
      <w:r>
        <w:t xml:space="preserve"> Six months prior to contract end, the vendor must seamlessly transition operations to a successor or HHSC</w:t>
      </w:r>
      <w:r>
        <w:t>.</w:t>
      </w:r>
    </w:p>
    <w:p w14:paraId="6A6E96B8" w14:textId="77777777" w:rsidR="009B4F93" w:rsidRDefault="00DE12D2">
      <w:pPr>
        <w:pStyle w:val="Heading3"/>
      </w:pPr>
      <w:bookmarkStart w:id="2" w:name="_vrxusqmxyprw" w:colFirst="0" w:colLast="0"/>
      <w:bookmarkEnd w:id="2"/>
      <w:r>
        <w:t>Requirements and Evaluation Criteria</w:t>
      </w:r>
    </w:p>
    <w:p w14:paraId="6A6E96B9" w14:textId="77777777" w:rsidR="009B4F93" w:rsidRDefault="00DE12D2">
      <w:pPr>
        <w:rPr>
          <w:b/>
          <w:bCs/>
        </w:rPr>
      </w:pPr>
      <w:r>
        <w:rPr>
          <w:b/>
          <w:bCs/>
        </w:rPr>
        <w:t>Functional and Non-Functional Requirements</w:t>
      </w:r>
    </w:p>
    <w:p w14:paraId="6A6E96BA" w14:textId="694BA828" w:rsidR="009B4F93" w:rsidRDefault="00DE12D2">
      <w:pPr>
        <w:numPr>
          <w:ilvl w:val="0"/>
          <w:numId w:val="2"/>
        </w:numPr>
      </w:pPr>
      <w:r>
        <w:rPr>
          <w:b/>
          <w:bCs/>
        </w:rPr>
        <w:t>Functional:</w:t>
      </w:r>
      <w:r>
        <w:t xml:space="preserve"> The vendor must adopt HHSC's strictly defined CI/CD </w:t>
      </w:r>
      <w:proofErr w:type="spellStart"/>
      <w:r>
        <w:t>DevSecOps</w:t>
      </w:r>
      <w:proofErr w:type="spellEnd"/>
      <w:r>
        <w:t xml:space="preserve"> pipelines and tools (e.g., Jira, GitLab, Jenkins)</w:t>
      </w:r>
      <w:r>
        <w:t>. Development must include extensive automated unit, integration, and load/stress testing</w:t>
      </w:r>
      <w:r>
        <w:t>.</w:t>
      </w:r>
    </w:p>
    <w:p w14:paraId="6A6E96BB" w14:textId="24839FC0" w:rsidR="009B4F93" w:rsidRDefault="00DE12D2">
      <w:pPr>
        <w:numPr>
          <w:ilvl w:val="0"/>
          <w:numId w:val="2"/>
        </w:numPr>
      </w:pPr>
      <w:r>
        <w:rPr>
          <w:b/>
          <w:bCs/>
        </w:rPr>
        <w:t>Non-Functional:</w:t>
      </w:r>
      <w:r>
        <w:t xml:space="preserve"> The system carries aggressive Service Level Agreements (SLAs), including a 99.9% application availability requirement and strict transaction response times (e.g., Class 1 transactions must respond in 0.5 seconds)</w:t>
      </w:r>
      <w:r>
        <w:t>.</w:t>
      </w:r>
    </w:p>
    <w:p w14:paraId="6A6E96BC" w14:textId="22CB0E63" w:rsidR="009B4F93" w:rsidRDefault="00DE12D2">
      <w:r>
        <w:rPr>
          <w:b/>
          <w:bCs/>
        </w:rPr>
        <w:t xml:space="preserve">Mandatory vs. Optional </w:t>
      </w:r>
      <w:proofErr w:type="spellStart"/>
      <w:r>
        <w:rPr>
          <w:b/>
          <w:bCs/>
        </w:rPr>
        <w:t>Requirements</w:t>
      </w:r>
      <w:r>
        <w:t>The</w:t>
      </w:r>
      <w:proofErr w:type="spellEnd"/>
      <w:r>
        <w:t xml:space="preserve"> RFO language is highly prescriptive, and nearly all contract and service delivery elements are mandatory (e.g., "Contractor must") </w:t>
      </w:r>
      <w:r>
        <w:t xml:space="preserve">. However, within the </w:t>
      </w:r>
      <w:r>
        <w:rPr>
          <w:i/>
          <w:iCs/>
        </w:rPr>
        <w:t>Agile development lifecycle itself</w:t>
      </w:r>
      <w:r>
        <w:t xml:space="preserve">, feature requirements requested by business stakeholders are ranked using </w:t>
      </w:r>
      <w:proofErr w:type="spellStart"/>
      <w:r>
        <w:t>MoSCoW</w:t>
      </w:r>
      <w:proofErr w:type="spellEnd"/>
      <w:r>
        <w:t xml:space="preserve"> prioritization ("Must have", "Should have", "Could have", "Won't have") to determine what </w:t>
      </w:r>
      <w:proofErr w:type="gramStart"/>
      <w:r>
        <w:t>actually gets</w:t>
      </w:r>
      <w:proofErr w:type="gramEnd"/>
      <w:r>
        <w:t xml:space="preserve"> built during the sprints</w:t>
      </w:r>
      <w:r>
        <w:t>. "Could have" and "Won't have" features function as optional or deferred requirements.</w:t>
      </w:r>
    </w:p>
    <w:p w14:paraId="6A6E96BD" w14:textId="4DAE271D" w:rsidR="009B4F93" w:rsidRDefault="00DE12D2">
      <w:r>
        <w:rPr>
          <w:b/>
          <w:bCs/>
        </w:rPr>
        <w:t xml:space="preserve">Evaluation Criteria and Scoring </w:t>
      </w:r>
      <w:proofErr w:type="spellStart"/>
      <w:r>
        <w:rPr>
          <w:b/>
          <w:bCs/>
        </w:rPr>
        <w:t>Model</w:t>
      </w:r>
      <w:r>
        <w:t>The</w:t>
      </w:r>
      <w:proofErr w:type="spellEnd"/>
      <w:r>
        <w:t xml:space="preserve"> State seeks the "best value" rather than strictly the lowest price</w:t>
      </w:r>
      <w:r>
        <w:t>.</w:t>
      </w:r>
    </w:p>
    <w:p w14:paraId="6A6E96BE" w14:textId="60CDECDA" w:rsidR="009B4F93" w:rsidRDefault="00DE12D2">
      <w:pPr>
        <w:numPr>
          <w:ilvl w:val="0"/>
          <w:numId w:val="6"/>
        </w:numPr>
      </w:pPr>
      <w:r>
        <w:rPr>
          <w:b/>
          <w:bCs/>
        </w:rPr>
        <w:t>Initial Screening:</w:t>
      </w:r>
      <w:r>
        <w:t xml:space="preserve"> Pass/fail minimum qualifications, including 5 years in business, financial solvency, and 5 years of experience with similar State/Federal systems</w:t>
      </w:r>
      <w:r>
        <w:t>.</w:t>
      </w:r>
    </w:p>
    <w:p w14:paraId="6A6E96BF" w14:textId="77777777" w:rsidR="009B4F93" w:rsidRDefault="00DE12D2">
      <w:pPr>
        <w:numPr>
          <w:ilvl w:val="0"/>
          <w:numId w:val="6"/>
        </w:numPr>
        <w:rPr>
          <w:b/>
          <w:bCs/>
        </w:rPr>
      </w:pPr>
      <w:r>
        <w:rPr>
          <w:b/>
          <w:bCs/>
        </w:rPr>
        <w:t>Written Evaluation Weights:</w:t>
      </w:r>
    </w:p>
    <w:p w14:paraId="6A6E96C0" w14:textId="6B08FEAA" w:rsidR="009B4F93" w:rsidRDefault="00DE12D2">
      <w:pPr>
        <w:numPr>
          <w:ilvl w:val="0"/>
          <w:numId w:val="6"/>
        </w:numPr>
      </w:pPr>
      <w:r>
        <w:t xml:space="preserve">Technical Proposal: 45% </w:t>
      </w:r>
    </w:p>
    <w:p w14:paraId="6A6E96C1" w14:textId="58A0ECC6" w:rsidR="009B4F93" w:rsidRDefault="00DE12D2">
      <w:pPr>
        <w:numPr>
          <w:ilvl w:val="0"/>
          <w:numId w:val="6"/>
        </w:numPr>
      </w:pPr>
      <w:r>
        <w:t xml:space="preserve">Cost Proposal: 35% </w:t>
      </w:r>
    </w:p>
    <w:p w14:paraId="6A6E96C2" w14:textId="42041355" w:rsidR="009B4F93" w:rsidRDefault="00DE12D2">
      <w:pPr>
        <w:numPr>
          <w:ilvl w:val="0"/>
          <w:numId w:val="6"/>
        </w:numPr>
      </w:pPr>
      <w:r>
        <w:t xml:space="preserve">Narrative Proposal: 20% </w:t>
      </w:r>
    </w:p>
    <w:p w14:paraId="6A6E96C3" w14:textId="439A9D0B" w:rsidR="009B4F93" w:rsidRDefault="00DE12D2">
      <w:pPr>
        <w:numPr>
          <w:ilvl w:val="0"/>
          <w:numId w:val="6"/>
        </w:numPr>
      </w:pPr>
      <w:r>
        <w:rPr>
          <w:b/>
          <w:bCs/>
        </w:rPr>
        <w:t>Best and Final Offer (BAFO):</w:t>
      </w:r>
      <w:r>
        <w:t xml:space="preserve"> HHSC reserves the right to request a BAFO to determine the final award, though bidders are advised to provide their best offer initially</w:t>
      </w:r>
      <w:r>
        <w:t>.</w:t>
      </w:r>
    </w:p>
    <w:p w14:paraId="6A6E96C4" w14:textId="77777777" w:rsidR="009B4F93" w:rsidRDefault="00DE12D2">
      <w:pPr>
        <w:pStyle w:val="Heading3"/>
      </w:pPr>
      <w:bookmarkStart w:id="3" w:name="_n6ici3dcz7jl" w:colFirst="0" w:colLast="0"/>
      <w:bookmarkEnd w:id="3"/>
      <w:r>
        <w:t>Proposal Instructions and Structure</w:t>
      </w:r>
    </w:p>
    <w:p w14:paraId="6A6E96C5" w14:textId="77777777" w:rsidR="009B4F93" w:rsidRDefault="00DE12D2">
      <w:pPr>
        <w:rPr>
          <w:b/>
          <w:bCs/>
        </w:rPr>
      </w:pPr>
      <w:r>
        <w:rPr>
          <w:b/>
          <w:bCs/>
        </w:rPr>
        <w:t>Vendor Instructions and Clarity</w:t>
      </w:r>
    </w:p>
    <w:p w14:paraId="6A6E96C6" w14:textId="6871393E" w:rsidR="009B4F93" w:rsidRDefault="00DE12D2">
      <w:pPr>
        <w:numPr>
          <w:ilvl w:val="0"/>
          <w:numId w:val="7"/>
        </w:numPr>
      </w:pPr>
      <w:r>
        <w:rPr>
          <w:b/>
          <w:bCs/>
        </w:rPr>
        <w:t>Format and Page Limits:</w:t>
      </w:r>
      <w:r>
        <w:t xml:space="preserve"> The Narrative and Technical proposals combined must not exceed 150 pages (excluding appendices/resumes) 28. The Executive Summary is strictly limited to 7 pages</w:t>
      </w:r>
      <w:r>
        <w:t>.</w:t>
      </w:r>
    </w:p>
    <w:p w14:paraId="6A6E96C7" w14:textId="26D037C3" w:rsidR="009B4F93" w:rsidRDefault="00DE12D2">
      <w:pPr>
        <w:numPr>
          <w:ilvl w:val="0"/>
          <w:numId w:val="7"/>
        </w:numPr>
      </w:pPr>
      <w:r>
        <w:rPr>
          <w:b/>
          <w:bCs/>
        </w:rPr>
        <w:t>Submission Method:</w:t>
      </w:r>
      <w:r>
        <w:t xml:space="preserve"> Must be submitted electronically via the HHS Online Bid Room or physically via USB drives</w:t>
      </w:r>
      <w:r>
        <w:t>. The Cost Proposal must be a separate Excel file with active formulas 31. A redacted "Public Information Act Copy" is also required</w:t>
      </w:r>
      <w:r>
        <w:t>.</w:t>
      </w:r>
    </w:p>
    <w:p w14:paraId="6A6E96C8" w14:textId="523D6F22" w:rsidR="009B4F93" w:rsidRDefault="00DE12D2">
      <w:pPr>
        <w:numPr>
          <w:ilvl w:val="0"/>
          <w:numId w:val="7"/>
        </w:numPr>
      </w:pPr>
      <w:r>
        <w:rPr>
          <w:b/>
          <w:bCs/>
        </w:rPr>
        <w:lastRenderedPageBreak/>
        <w:t>Key Dates:</w:t>
      </w:r>
      <w:r>
        <w:t xml:space="preserve"> Questions are due March 17, 2026; Proposals are due April 29, 2026, at 10:30 a.m. CT</w:t>
      </w:r>
      <w:r>
        <w:t>.</w:t>
      </w:r>
    </w:p>
    <w:p w14:paraId="6A6E96C9" w14:textId="0C919162" w:rsidR="009B4F93" w:rsidRDefault="00DE12D2">
      <w:pPr>
        <w:numPr>
          <w:ilvl w:val="0"/>
          <w:numId w:val="7"/>
        </w:numPr>
      </w:pPr>
      <w:r>
        <w:rPr>
          <w:b/>
          <w:bCs/>
        </w:rPr>
        <w:t>Required Forms:</w:t>
      </w:r>
      <w:r>
        <w:t xml:space="preserve"> A Historically Underutilized Business (HUB) Subcontracting Plan (HSP) is mandatory, targeting a 26.0% goal. Failure to submit a compliant HSP results in immediate disqualification</w:t>
      </w:r>
      <w:r>
        <w:t>.</w:t>
      </w:r>
    </w:p>
    <w:p w14:paraId="6A6E96CA" w14:textId="77777777" w:rsidR="009B4F93" w:rsidRDefault="00DE12D2">
      <w:r>
        <w:rPr>
          <w:b/>
          <w:bCs/>
        </w:rPr>
        <w:t xml:space="preserve">Structure </w:t>
      </w:r>
      <w:proofErr w:type="spellStart"/>
      <w:r>
        <w:rPr>
          <w:b/>
          <w:bCs/>
        </w:rPr>
        <w:t>Evaluation</w:t>
      </w:r>
      <w:r>
        <w:t>The</w:t>
      </w:r>
      <w:proofErr w:type="spellEnd"/>
      <w:r>
        <w:t xml:space="preserve"> RFP is generally well-structured but fragments its technical and delivery requirements across numerous lengthy exhibits (e.g., Exhibit BB for Agile Processes, Exhibit N for Deliverables, Exhibit M for KPMs). Bidders must be careful to trace operational requirements back to the core Scope of Work to avoid missing key deliverables.</w:t>
      </w:r>
    </w:p>
    <w:p w14:paraId="6A6E96CB" w14:textId="77777777" w:rsidR="009B4F93" w:rsidRDefault="00DE12D2">
      <w:pPr>
        <w:pStyle w:val="Heading3"/>
      </w:pPr>
      <w:bookmarkStart w:id="4" w:name="_qy3ufni5r6ol" w:colFirst="0" w:colLast="0"/>
      <w:bookmarkEnd w:id="4"/>
      <w:r>
        <w:t>Compliance and Risk Assessment</w:t>
      </w:r>
    </w:p>
    <w:p w14:paraId="6A6E96CC" w14:textId="0D4AE4DF" w:rsidR="009B4F93" w:rsidRDefault="00DE12D2">
      <w:r>
        <w:rPr>
          <w:b/>
          <w:bCs/>
        </w:rPr>
        <w:t xml:space="preserve">Compliance </w:t>
      </w:r>
      <w:proofErr w:type="spellStart"/>
      <w:r>
        <w:rPr>
          <w:b/>
          <w:bCs/>
        </w:rPr>
        <w:t>Checks</w:t>
      </w:r>
      <w:r>
        <w:t>The</w:t>
      </w:r>
      <w:proofErr w:type="spellEnd"/>
      <w:r>
        <w:t xml:space="preserve"> RFO aligns with standard Texas procurement practices but enforces stringent federal accounting compliances, requiring a Cost Accounting Standards Board Disclosure Statement (CASB DS-1), if applicable</w:t>
      </w:r>
      <w:r>
        <w:t>.</w:t>
      </w:r>
    </w:p>
    <w:p w14:paraId="6A6E96CD" w14:textId="77777777" w:rsidR="009B4F93" w:rsidRDefault="00DE12D2">
      <w:pPr>
        <w:rPr>
          <w:b/>
          <w:bCs/>
        </w:rPr>
      </w:pPr>
      <w:r>
        <w:rPr>
          <w:b/>
          <w:bCs/>
        </w:rPr>
        <w:t>High-Risk and Unusual Terms</w:t>
      </w:r>
    </w:p>
    <w:p w14:paraId="6A6E96CE" w14:textId="77777777" w:rsidR="009B4F93" w:rsidRDefault="00DE12D2">
      <w:pPr>
        <w:numPr>
          <w:ilvl w:val="0"/>
          <w:numId w:val="5"/>
        </w:numPr>
      </w:pPr>
      <w:r>
        <w:rPr>
          <w:b/>
          <w:bCs/>
        </w:rPr>
        <w:t>Prospective Price Redetermination (PPR) (High Risk):</w:t>
      </w:r>
      <w:r>
        <w:t xml:space="preserve"> HHSC will audit the vendor's actual expenses and profits after 24 months. If actual profits exceed the originally agreed-upon profit percentage by 20% (e.g., an 11% proposed profit reaching 13.2%), HHSC will permanently reduce fixed fees in subsequent years 5, 6. </w:t>
      </w:r>
      <w:r>
        <w:rPr>
          <w:i/>
          <w:iCs/>
        </w:rPr>
        <w:t>Risk: This penalizes the vendor for achieving operational efficiencies.</w:t>
      </w:r>
    </w:p>
    <w:p w14:paraId="6A6E96CF" w14:textId="728C3078" w:rsidR="009B4F93" w:rsidRDefault="00DE12D2">
      <w:pPr>
        <w:numPr>
          <w:ilvl w:val="0"/>
          <w:numId w:val="5"/>
        </w:numPr>
      </w:pPr>
      <w:r>
        <w:rPr>
          <w:b/>
          <w:bCs/>
        </w:rPr>
        <w:t>Liquidated Damages (High Risk):</w:t>
      </w:r>
      <w:r>
        <w:t xml:space="preserve"> Severe financial penalties are tied to Key Performance Measures (KPMs). For example, failing to meet the 99.9% availability standard incurs a $10,000 penalty per percentage point, up to $100,000 per month</w:t>
      </w:r>
      <w:r>
        <w:t>.</w:t>
      </w:r>
    </w:p>
    <w:p w14:paraId="6A6E96D0" w14:textId="56F05263" w:rsidR="009B4F93" w:rsidRDefault="00DE12D2">
      <w:pPr>
        <w:numPr>
          <w:ilvl w:val="0"/>
          <w:numId w:val="5"/>
        </w:numPr>
      </w:pPr>
      <w:r>
        <w:rPr>
          <w:b/>
          <w:bCs/>
        </w:rPr>
        <w:t>Uncompensated Defect Fixes (Medium Risk):</w:t>
      </w:r>
      <w:r>
        <w:t xml:space="preserve"> Any costs incurred during the Operations phase to correct defects introduced during the Transition Phase are unallowable and will not be paid</w:t>
      </w:r>
      <w:r>
        <w:t>.</w:t>
      </w:r>
    </w:p>
    <w:p w14:paraId="6A6E96D1" w14:textId="19391260" w:rsidR="009B4F93" w:rsidRDefault="00DE12D2">
      <w:pPr>
        <w:numPr>
          <w:ilvl w:val="0"/>
          <w:numId w:val="5"/>
        </w:numPr>
      </w:pPr>
      <w:r>
        <w:rPr>
          <w:b/>
          <w:bCs/>
        </w:rPr>
        <w:t>Turnover Staffing Poaching (Medium Risk):</w:t>
      </w:r>
      <w:r>
        <w:t xml:space="preserve"> Upon contract termination, the vendor is explicitly prohibited from preventing their staff from accepting positions with HHSC or the successor vendor</w:t>
      </w:r>
      <w:r>
        <w:t>.</w:t>
      </w:r>
    </w:p>
    <w:p w14:paraId="6A6E96D2" w14:textId="77777777" w:rsidR="009B4F93" w:rsidRDefault="00DE12D2">
      <w:pPr>
        <w:pStyle w:val="Heading3"/>
      </w:pPr>
      <w:bookmarkStart w:id="5" w:name="_x4t0rx1kdvkz" w:colFirst="0" w:colLast="0"/>
      <w:bookmarkEnd w:id="5"/>
      <w:r>
        <w:t>Clarifications and Open Questions</w:t>
      </w:r>
    </w:p>
    <w:p w14:paraId="6A6E96D3" w14:textId="77777777" w:rsidR="009B4F93" w:rsidRDefault="00DE12D2">
      <w:pPr>
        <w:rPr>
          <w:b/>
          <w:bCs/>
        </w:rPr>
      </w:pPr>
      <w:r>
        <w:rPr>
          <w:b/>
          <w:bCs/>
        </w:rPr>
        <w:t>Commercial &amp; Legal</w:t>
      </w:r>
    </w:p>
    <w:p w14:paraId="6A6E96D4" w14:textId="77777777" w:rsidR="009B4F93" w:rsidRDefault="00DE12D2">
      <w:pPr>
        <w:numPr>
          <w:ilvl w:val="0"/>
          <w:numId w:val="1"/>
        </w:numPr>
      </w:pPr>
      <w:r>
        <w:rPr>
          <w:i/>
          <w:iCs/>
        </w:rPr>
        <w:t>PPR Calculation:</w:t>
      </w:r>
      <w:r>
        <w:t xml:space="preserve"> How is the baseline "agreed-upon profit percentage" calculated for the Prospective Price Redetermination? Are fully burdened indirect corporate overheads allowable in the "actual expenses" audited by HHSC?</w:t>
      </w:r>
    </w:p>
    <w:p w14:paraId="6A6E96D5" w14:textId="59B592B1" w:rsidR="009B4F93" w:rsidRDefault="00DE12D2">
      <w:pPr>
        <w:numPr>
          <w:ilvl w:val="0"/>
          <w:numId w:val="1"/>
        </w:numPr>
      </w:pPr>
      <w:r>
        <w:rPr>
          <w:i/>
          <w:iCs/>
        </w:rPr>
        <w:t>Federal Disclosures:</w:t>
      </w:r>
      <w:r>
        <w:t xml:space="preserve"> If our firm does not currently hold a CASB DS-1 with the federal government, are we entirely exempt from submitting one, or will HHSC require an equivalent state-level financial disclosure matrix? </w:t>
      </w:r>
    </w:p>
    <w:p w14:paraId="039D4382" w14:textId="77777777" w:rsidR="00A60857" w:rsidRDefault="00DE12D2">
      <w:pPr>
        <w:rPr>
          <w:b/>
          <w:bCs/>
        </w:rPr>
      </w:pPr>
      <w:r>
        <w:rPr>
          <w:b/>
          <w:bCs/>
        </w:rPr>
        <w:t>Scope &amp; Technical</w:t>
      </w:r>
    </w:p>
    <w:p w14:paraId="35AABEF6" w14:textId="69E7568F" w:rsidR="00C02B7A" w:rsidRPr="00C02B7A" w:rsidRDefault="00DE12D2" w:rsidP="0042599D">
      <w:pPr>
        <w:ind w:left="180"/>
        <w:rPr>
          <w:i/>
          <w:iCs/>
        </w:rPr>
      </w:pPr>
      <w:r>
        <w:t xml:space="preserve">3.  </w:t>
      </w:r>
      <w:r w:rsidR="0042599D">
        <w:tab/>
      </w:r>
      <w:r>
        <w:rPr>
          <w:i/>
          <w:iCs/>
        </w:rPr>
        <w:t>Flex Sprints:</w:t>
      </w:r>
      <w:r w:rsidRPr="00C02B7A">
        <w:rPr>
          <w:i/>
          <w:iCs/>
        </w:rPr>
        <w:t xml:space="preserve"> The state can adjust the 10 Flex Sprints with 30 days' notice 13. Is there a guaranteed minimum baseline of Flex Sprints per cycle, or can this volume be scaled down to zero?</w:t>
      </w:r>
    </w:p>
    <w:p w14:paraId="6A6E96D6" w14:textId="6AF0991E" w:rsidR="009B4F93" w:rsidRPr="0042599D" w:rsidRDefault="00DE12D2" w:rsidP="00C02B7A">
      <w:pPr>
        <w:rPr>
          <w:i/>
          <w:iCs/>
        </w:rPr>
      </w:pPr>
      <w:r>
        <w:lastRenderedPageBreak/>
        <w:t xml:space="preserve">4.  </w:t>
      </w:r>
      <w:r w:rsidR="0042599D">
        <w:tab/>
      </w:r>
      <w:r>
        <w:rPr>
          <w:i/>
          <w:iCs/>
        </w:rPr>
        <w:t>AWS Migration Costs:</w:t>
      </w:r>
      <w:r w:rsidRPr="0042599D">
        <w:rPr>
          <w:i/>
          <w:iCs/>
        </w:rPr>
        <w:t xml:space="preserve"> The RFO notes TIERS is in the early stages of migrating to AWS 7. Will HHSC or the Contractor bear the cost of AWS consumption and licensing for new Dev/Test environments spun up during standard DDI sprint work?</w:t>
      </w:r>
    </w:p>
    <w:p w14:paraId="6A6E96D7" w14:textId="25C96A24" w:rsidR="009B4F93" w:rsidRDefault="00DE12D2">
      <w:pPr>
        <w:pStyle w:val="Heading3"/>
      </w:pPr>
      <w:bookmarkStart w:id="6" w:name="_qrzzfsdmhln2" w:colFirst="0" w:colLast="0"/>
      <w:bookmarkEnd w:id="6"/>
      <w:r>
        <w:t>Recommendations</w:t>
      </w:r>
      <w:r w:rsidR="00A60857">
        <w:t xml:space="preserve"> </w:t>
      </w:r>
    </w:p>
    <w:p w14:paraId="6A6E96D8" w14:textId="2EA3087A" w:rsidR="009B4F93" w:rsidRDefault="00DE12D2">
      <w:pPr>
        <w:numPr>
          <w:ilvl w:val="0"/>
          <w:numId w:val="3"/>
        </w:numPr>
      </w:pPr>
      <w:r>
        <w:rPr>
          <w:b/>
          <w:bCs/>
        </w:rPr>
        <w:t>Deploy a Proactive "Savings Return" Strategy:</w:t>
      </w:r>
      <w:r>
        <w:t xml:space="preserve"> To mitigate the high-risk Prospective Price Redetermination (PPR) clause, we should model a proactive cost-savings return in our Cost Narrative (which explicitly asks for cost-savings methods)</w:t>
      </w:r>
      <w:r>
        <w:t xml:space="preserve">. By returning a percentage of realized savings to the State </w:t>
      </w:r>
      <w:r>
        <w:rPr>
          <w:i/>
          <w:iCs/>
        </w:rPr>
        <w:t>before</w:t>
      </w:r>
      <w:r>
        <w:t xml:space="preserve"> hitting the 120% profit threshold, we can avoid triggering a punitive, forced fee reduction in the option years.</w:t>
      </w:r>
    </w:p>
    <w:p w14:paraId="6A6E96D9" w14:textId="7CA270BE" w:rsidR="009B4F93" w:rsidRDefault="00DE12D2">
      <w:pPr>
        <w:numPr>
          <w:ilvl w:val="0"/>
          <w:numId w:val="3"/>
        </w:numPr>
      </w:pPr>
      <w:r>
        <w:rPr>
          <w:b/>
          <w:bCs/>
        </w:rPr>
        <w:t>Focus Heavily on the Technical Proposal (45% Weight):</w:t>
      </w:r>
      <w:r>
        <w:t xml:space="preserve"> Because the Technical volume carries the highest weight, it should aggressively highlight our de-risked Transition Plan 41 and prove our Key Personnel's deep maturity in </w:t>
      </w:r>
      <w:proofErr w:type="spellStart"/>
      <w:r>
        <w:t>SAFe</w:t>
      </w:r>
      <w:proofErr w:type="spellEnd"/>
      <w:r>
        <w:t>/Agile ceremonies to show seamless integration into HHSC's existing pipeline</w:t>
      </w:r>
      <w:r>
        <w:t>.</w:t>
      </w:r>
    </w:p>
    <w:p w14:paraId="6A6E96DA" w14:textId="49A37A0C" w:rsidR="009B4F93" w:rsidRDefault="00DE12D2">
      <w:pPr>
        <w:numPr>
          <w:ilvl w:val="0"/>
          <w:numId w:val="3"/>
        </w:numPr>
      </w:pPr>
      <w:r>
        <w:rPr>
          <w:b/>
          <w:bCs/>
        </w:rPr>
        <w:t>Prioritize Strict HUB Compliance:</w:t>
      </w:r>
      <w:r>
        <w:t xml:space="preserve"> Engage our HUB coordinator immediately. The 26% HUB goal is </w:t>
      </w:r>
      <w:proofErr w:type="gramStart"/>
      <w:r>
        <w:t>mandatory, and</w:t>
      </w:r>
      <w:proofErr w:type="gramEnd"/>
      <w:r>
        <w:t xml:space="preserve"> utilizing "Method IV: Solicitation" requires strict 7-working-day notification windows</w:t>
      </w:r>
      <w:r w:rsidR="00A60857">
        <w:t>.</w:t>
      </w:r>
      <w:r>
        <w:t xml:space="preserve"> Any administrative error here will result in immediate disqualification</w:t>
      </w:r>
      <w:r>
        <w:t>.</w:t>
      </w:r>
    </w:p>
    <w:p w14:paraId="6A6E96DB" w14:textId="4F212D91" w:rsidR="009B4F93" w:rsidRDefault="00DE12D2">
      <w:pPr>
        <w:numPr>
          <w:ilvl w:val="0"/>
          <w:numId w:val="3"/>
        </w:numPr>
      </w:pPr>
      <w:r>
        <w:rPr>
          <w:b/>
          <w:bCs/>
        </w:rPr>
        <w:t>Protect the Cost Excel:</w:t>
      </w:r>
      <w:r>
        <w:t xml:space="preserve"> Ensure our pricing team strictly follows the instructions for Exhibit L (Cost Proposal). No cells or active formulas can be altered or locked, as this is an explicit compliance requirement</w:t>
      </w:r>
      <w:r>
        <w:t>.</w:t>
      </w:r>
    </w:p>
    <w:p w14:paraId="6A6E96DC" w14:textId="77777777" w:rsidR="009B4F93" w:rsidRDefault="009B4F93"/>
    <w:sectPr w:rsidR="009B4F9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34C59D4-1825-4B71-A01D-7721446FEAB7}"/>
  </w:font>
  <w:font w:name="Mangal">
    <w:panose1 w:val="00000400000000000000"/>
    <w:charset w:val="00"/>
    <w:family w:val="roman"/>
    <w:pitch w:val="variable"/>
    <w:sig w:usb0="00008003" w:usb1="00000000" w:usb2="00000000" w:usb3="00000000" w:csb0="00000001" w:csb1="00000000"/>
    <w:embedRegular r:id="rId2" w:fontKey="{FBE70776-6E88-44F5-A652-FB4A905836E2}"/>
  </w:font>
  <w:font w:name="Cambria">
    <w:panose1 w:val="02040503050406030204"/>
    <w:charset w:val="00"/>
    <w:family w:val="roman"/>
    <w:pitch w:val="variable"/>
    <w:sig w:usb0="E00006FF" w:usb1="420024FF" w:usb2="02000000" w:usb3="00000000" w:csb0="0000019F" w:csb1="00000000"/>
    <w:embedRegular r:id="rId3" w:fontKey="{DBDF74BC-551A-4328-8B75-B8AFF2FC8E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4F3"/>
    <w:multiLevelType w:val="multilevel"/>
    <w:tmpl w:val="05EC74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DE12B02"/>
    <w:multiLevelType w:val="multilevel"/>
    <w:tmpl w:val="286C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5681B"/>
    <w:multiLevelType w:val="multilevel"/>
    <w:tmpl w:val="606EB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311A49"/>
    <w:multiLevelType w:val="multilevel"/>
    <w:tmpl w:val="153CE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762CF3"/>
    <w:multiLevelType w:val="multilevel"/>
    <w:tmpl w:val="486A7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59209D"/>
    <w:multiLevelType w:val="multilevel"/>
    <w:tmpl w:val="A33E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650A3"/>
    <w:multiLevelType w:val="multilevel"/>
    <w:tmpl w:val="A97ECB9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3C873E4F"/>
    <w:multiLevelType w:val="multilevel"/>
    <w:tmpl w:val="401A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63AB5"/>
    <w:multiLevelType w:val="multilevel"/>
    <w:tmpl w:val="C96E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5B698A"/>
    <w:multiLevelType w:val="multilevel"/>
    <w:tmpl w:val="3D24F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48C60DE"/>
    <w:multiLevelType w:val="multilevel"/>
    <w:tmpl w:val="E3B666B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76224A1F"/>
    <w:multiLevelType w:val="multilevel"/>
    <w:tmpl w:val="94F0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573C3"/>
    <w:multiLevelType w:val="multilevel"/>
    <w:tmpl w:val="91B4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78697C"/>
    <w:multiLevelType w:val="multilevel"/>
    <w:tmpl w:val="33744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7776481">
    <w:abstractNumId w:val="6"/>
  </w:num>
  <w:num w:numId="2" w16cid:durableId="1249659156">
    <w:abstractNumId w:val="3"/>
  </w:num>
  <w:num w:numId="3" w16cid:durableId="497503180">
    <w:abstractNumId w:val="10"/>
  </w:num>
  <w:num w:numId="4" w16cid:durableId="49769637">
    <w:abstractNumId w:val="9"/>
  </w:num>
  <w:num w:numId="5" w16cid:durableId="1991059797">
    <w:abstractNumId w:val="13"/>
  </w:num>
  <w:num w:numId="6" w16cid:durableId="329718257">
    <w:abstractNumId w:val="2"/>
  </w:num>
  <w:num w:numId="7" w16cid:durableId="1273394664">
    <w:abstractNumId w:val="4"/>
  </w:num>
  <w:num w:numId="8" w16cid:durableId="1577280328">
    <w:abstractNumId w:val="5"/>
  </w:num>
  <w:num w:numId="9" w16cid:durableId="2064523284">
    <w:abstractNumId w:val="7"/>
  </w:num>
  <w:num w:numId="10" w16cid:durableId="1027755770">
    <w:abstractNumId w:val="12"/>
  </w:num>
  <w:num w:numId="11" w16cid:durableId="1232933428">
    <w:abstractNumId w:val="8"/>
  </w:num>
  <w:num w:numId="12" w16cid:durableId="963267048">
    <w:abstractNumId w:val="11"/>
  </w:num>
  <w:num w:numId="13" w16cid:durableId="668215525">
    <w:abstractNumId w:val="1"/>
  </w:num>
  <w:num w:numId="14" w16cid:durableId="583418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F93"/>
    <w:rsid w:val="000E12B3"/>
    <w:rsid w:val="0024566B"/>
    <w:rsid w:val="002D11E8"/>
    <w:rsid w:val="002D1C4C"/>
    <w:rsid w:val="002D7408"/>
    <w:rsid w:val="0040741B"/>
    <w:rsid w:val="0042599D"/>
    <w:rsid w:val="00677E2B"/>
    <w:rsid w:val="009B4F93"/>
    <w:rsid w:val="00A60857"/>
    <w:rsid w:val="00A933D6"/>
    <w:rsid w:val="00AD4AA5"/>
    <w:rsid w:val="00AE5C9D"/>
    <w:rsid w:val="00BE5F0F"/>
    <w:rsid w:val="00C02B7A"/>
    <w:rsid w:val="00C518BE"/>
    <w:rsid w:val="00C91CC1"/>
    <w:rsid w:val="00DA1D63"/>
    <w:rsid w:val="00DE12D2"/>
    <w:rsid w:val="00E05616"/>
    <w:rsid w:val="00E16775"/>
    <w:rsid w:val="00E5418F"/>
    <w:rsid w:val="00EF0AFD"/>
    <w:rsid w:val="00F4457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96AB"/>
  <w15:docId w15:val="{BAEE19C0-F17D-42A8-ACB2-2EEDE1AD0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1333</Words>
  <Characters>7813</Characters>
  <Application>Microsoft Office Word</Application>
  <DocSecurity>0</DocSecurity>
  <Lines>128</Lines>
  <Paragraphs>56</Paragraphs>
  <ScaleCrop>false</ScaleCrop>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JK Singh</cp:lastModifiedBy>
  <cp:revision>2</cp:revision>
  <dcterms:created xsi:type="dcterms:W3CDTF">2026-03-10T07:58:00Z</dcterms:created>
  <dcterms:modified xsi:type="dcterms:W3CDTF">2026-03-10T07:58:00Z</dcterms:modified>
</cp:coreProperties>
</file>