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left"/>
      </w:pPr>
      <w:r>
        <w:rPr>
          <w:rFonts w:ascii="微软雅黑" w:hAnsi="微软雅黑" w:eastAsia="微软雅黑"/>
          <w:b/>
          <w:color w:val="1F4D78"/>
          <w:sz w:val="44"/>
        </w:rPr>
        <w:t>智能体资产管理设计报告</w:t>
      </w:r>
    </w:p>
    <w:p>
      <w:pPr>
        <w:spacing w:after="360"/>
      </w:pPr>
      <w:r>
        <w:rPr>
          <w:rFonts w:ascii="微软雅黑" w:hAnsi="微软雅黑" w:eastAsia="微软雅黑"/>
          <w:color w:val="555555"/>
          <w:sz w:val="22"/>
        </w:rPr>
        <w:t>用于部门汇报讨论 | 初稿</w:t>
      </w:r>
    </w:p>
    <w:p>
      <w:pPr>
        <w:pStyle w:val="Heading1"/>
      </w:pPr>
      <w:r>
        <w:t>一、建设背景</w:t>
      </w:r>
    </w:p>
    <w:p>
      <w:pPr>
        <w:spacing w:after="120" w:line="264" w:lineRule="auto"/>
      </w:pPr>
      <w:r>
        <w:rPr>
          <w:rFonts w:ascii="微软雅黑" w:hAnsi="微软雅黑" w:eastAsia="微软雅黑"/>
          <w:b w:val="0"/>
          <w:sz w:val="22"/>
        </w:rPr>
        <w:t>我们现在做的资产管理模块，不是一个普通的知识库，也不是附件管理功能。</w:t>
      </w:r>
    </w:p>
    <w:p>
      <w:pPr>
        <w:spacing w:after="120" w:line="264" w:lineRule="auto"/>
      </w:pPr>
      <w:r>
        <w:rPr>
          <w:rFonts w:ascii="微软雅黑" w:hAnsi="微软雅黑" w:eastAsia="微软雅黑"/>
          <w:b w:val="0"/>
          <w:sz w:val="22"/>
        </w:rPr>
        <w:t>在工业动态调度场景里，智能体真正能产生价值，核心不在于它能不能回答问题，而在于它能不能持续理解现场的调度规则、业务约束、系统数据、历史案例和专家经验，并且在每一次任务执行后，把有价值的经验沉淀下来。</w:t>
      </w:r>
    </w:p>
    <w:p>
      <w:pPr>
        <w:spacing w:after="120" w:line="264" w:lineRule="auto"/>
      </w:pPr>
      <w:r>
        <w:rPr>
          <w:rFonts w:ascii="微软雅黑" w:hAnsi="微软雅黑" w:eastAsia="微软雅黑"/>
          <w:b/>
          <w:sz w:val="22"/>
        </w:rPr>
        <w:t>资产管理模块的定位是：</w:t>
      </w:r>
    </w:p>
    <w:p>
      <w:pPr>
        <w:spacing w:after="120" w:line="264" w:lineRule="auto"/>
      </w:pPr>
      <w:r>
        <w:rPr>
          <w:rFonts w:ascii="微软雅黑" w:hAnsi="微软雅黑" w:eastAsia="微软雅黑"/>
          <w:b/>
          <w:sz w:val="22"/>
        </w:rPr>
        <w:t>把企业在生产调度中的知识、规则、工具、案例和反馈，沉淀成智能体可以长期复用、可治理、可审计的资产。</w:t>
      </w:r>
    </w:p>
    <w:p>
      <w:pPr>
        <w:spacing w:after="120" w:line="264" w:lineRule="auto"/>
      </w:pPr>
      <w:r>
        <w:rPr>
          <w:rFonts w:ascii="微软雅黑" w:hAnsi="微软雅黑" w:eastAsia="微软雅黑"/>
          <w:b w:val="0"/>
          <w:sz w:val="22"/>
        </w:rPr>
        <w:t>它主要解决三个问题：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智能体执行任务时，到底可以使用哪些可信资产。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智能体使用资产的过程是否可控、可追踪。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真实任务中产生的新经验，如何沉淀为后续可复用能力。</w:t>
      </w:r>
    </w:p>
    <w:p>
      <w:pPr>
        <w:pStyle w:val="Heading1"/>
      </w:pPr>
      <w:r>
        <w:t>二、智能体资产的范围</w:t>
      </w:r>
    </w:p>
    <w:p>
      <w:pPr>
        <w:spacing w:after="120" w:line="264" w:lineRule="auto"/>
      </w:pPr>
      <w:r>
        <w:rPr>
          <w:rFonts w:ascii="微软雅黑" w:hAnsi="微软雅黑" w:eastAsia="微软雅黑"/>
          <w:b w:val="0"/>
          <w:sz w:val="22"/>
        </w:rPr>
        <w:t>在工业调度场景里，资产不只是文档、数据表或者接口。更准确地说，智能体资产是经过业务验证、带有适用范围和安全边界、能够支撑智能体完成具体任务的可复用能力。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701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类型</w:t>
            </w:r>
          </w:p>
        </w:tc>
        <w:tc>
          <w:tcPr>
            <w:tcW w:type="dxa" w:w="2665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说明</w:t>
            </w:r>
          </w:p>
        </w:tc>
        <w:tc>
          <w:tcPr>
            <w:tcW w:type="dxa" w:w="4762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示例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基础数据资产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帮助智能体理解调度对象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设备、产线、工艺路线、BOM、班组、日历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规则约束资产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明确什么能做、什么不能做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设备兼容规则、插单优先级、换型约束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工作流资产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指导智能体如何处理一类任务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插单评估、设备故障重排、物料短缺分析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工具接口资产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让智能体安全调用系统能力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MES 查询、ERP 订单查询、APS 求解器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案例经验资产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沉淀真实调度经验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历史插单处理、故障应急方案、人工否决原因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评估指标资产</w:t>
            </w:r>
          </w:p>
        </w:tc>
        <w:tc>
          <w:tcPr>
            <w:tcW w:type="dxa" w:w="2665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衡量方案和资产是否有效</w:t>
            </w:r>
          </w:p>
        </w:tc>
        <w:tc>
          <w:tcPr>
            <w:tcW w:type="dxa" w:w="476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准交率、换型次数、延期小时、采纳率</w:t>
            </w:r>
          </w:p>
        </w:tc>
      </w:tr>
    </w:tbl>
    <w:p>
      <w:pPr>
        <w:spacing w:after="80"/>
      </w:pPr>
    </w:p>
    <w:p>
      <w:pPr>
        <w:spacing w:after="120" w:line="264" w:lineRule="auto"/>
      </w:pPr>
      <w:r>
        <w:rPr>
          <w:rFonts w:ascii="微软雅黑" w:hAnsi="微软雅黑" w:eastAsia="微软雅黑"/>
          <w:b/>
          <w:sz w:val="22"/>
        </w:rPr>
        <w:t>关键原则：资产进入资产库，不代表它可以直接影响正式调度决策。尤其是规则、策略、工具调用、计划写回这类高影响资产，必须经过验证、审批和发布，才能进入正式使用范围。</w:t>
      </w:r>
    </w:p>
    <w:p>
      <w:pPr>
        <w:pStyle w:val="Heading1"/>
      </w:pPr>
      <w:r>
        <w:t>三、产品设计思路</w:t>
      </w:r>
    </w:p>
    <w:p>
      <w:pPr>
        <w:pStyle w:val="Heading2"/>
      </w:pPr>
      <w:r>
        <w:t>1. 资产工作台</w:t>
      </w:r>
    </w:p>
    <w:p>
      <w:pPr>
        <w:spacing w:after="120" w:line="264" w:lineRule="auto"/>
      </w:pPr>
      <w:r>
        <w:rPr>
          <w:rFonts w:ascii="微软雅黑" w:hAnsi="微软雅黑" w:eastAsia="微软雅黑"/>
          <w:b w:val="0"/>
          <w:sz w:val="22"/>
        </w:rPr>
        <w:t>资产工作台主要看整体情况，包括资产总量、分类分布、已发布/待验证/待审批/停用数量、高频使用资产、候选资产，以及存在风险或长期未维护的资产。</w:t>
      </w:r>
    </w:p>
    <w:p>
      <w:pPr>
        <w:spacing w:after="120" w:line="264" w:lineRule="auto"/>
      </w:pPr>
      <w:r>
        <w:rPr>
          <w:rFonts w:ascii="微软雅黑" w:hAnsi="微软雅黑" w:eastAsia="微软雅黑"/>
          <w:b/>
          <w:sz w:val="22"/>
        </w:rPr>
        <w:t>这个页面的重点不是展示得多，而是让用户一进来就知道：现在有哪些资产在支撑智能体运行，哪些资产需要处理。</w:t>
      </w:r>
    </w:p>
    <w:p>
      <w:pPr>
        <w:pStyle w:val="Heading2"/>
      </w:pPr>
      <w:r>
        <w:t>2. 资产详情</w:t>
      </w:r>
    </w:p>
    <w:p>
      <w:pPr>
        <w:spacing w:after="120" w:line="264" w:lineRule="auto"/>
      </w:pPr>
      <w:r>
        <w:rPr>
          <w:rFonts w:ascii="微软雅黑" w:hAnsi="微软雅黑" w:eastAsia="微软雅黑"/>
          <w:b w:val="0"/>
          <w:sz w:val="22"/>
        </w:rPr>
        <w:t>资产详情页是核心页面。一项资产不只是展示内容，还要说明它是什么、适用于哪些范围、来源是什么、当前状态如何、哪些任务引用过它、使用后效果如何，以及是否有审批记录、版本记录和证据链。</w:t>
      </w:r>
    </w:p>
    <w:p>
      <w:pPr>
        <w:spacing w:after="120" w:line="264" w:lineRule="auto"/>
      </w:pPr>
      <w:r>
        <w:rPr>
          <w:rFonts w:ascii="微软雅黑" w:hAnsi="微软雅黑" w:eastAsia="微软雅黑"/>
          <w:b w:val="0"/>
          <w:sz w:val="22"/>
        </w:rPr>
        <w:t>例如一条“设备故障后重排策略”，不能只写一句说明，而是要包含触发条件、输入信息、执行步骤、调用工具、人工审批点、成功判断和风险边界。这样智能体能用，人也能审。</w:t>
      </w:r>
    </w:p>
    <w:p>
      <w:pPr>
        <w:pStyle w:val="Heading2"/>
      </w:pPr>
      <w:r>
        <w:t>3. 候选资产沉淀</w:t>
      </w:r>
    </w:p>
    <w:p>
      <w:pPr>
        <w:spacing w:after="120" w:line="264" w:lineRule="auto"/>
      </w:pPr>
      <w:r>
        <w:rPr>
          <w:rFonts w:ascii="微软雅黑" w:hAnsi="微软雅黑" w:eastAsia="微软雅黑"/>
          <w:b w:val="0"/>
          <w:sz w:val="22"/>
        </w:rPr>
        <w:t>这是智能体资产管理区别于传统知识库的地方。智能体在真实任务中产生的用户纠正规则、被多次采纳的方案、被否决建议的原因、异常处理案例、业务术语口径等，不应该散落在聊天记录里，而应该进入候选资产池。</w:t>
      </w:r>
    </w:p>
    <w:p>
      <w:pPr>
        <w:spacing w:after="120" w:line="264" w:lineRule="auto"/>
      </w:pPr>
      <w:r>
        <w:rPr>
          <w:rFonts w:ascii="微软雅黑" w:hAnsi="微软雅黑" w:eastAsia="微软雅黑"/>
          <w:b w:val="0"/>
          <w:sz w:val="22"/>
        </w:rPr>
        <w:t>但智能体只能提出候选资产，不能直接改正式资产。候选资产需要经过验证、审批、发布后，才能进入正式资产库。</w:t>
      </w:r>
    </w:p>
    <w:p>
      <w:pPr>
        <w:pStyle w:val="Heading2"/>
      </w:pPr>
      <w:r>
        <w:t>4. 价值度量</w:t>
      </w:r>
    </w:p>
    <w:p>
      <w:pPr>
        <w:spacing w:after="120" w:line="264" w:lineRule="auto"/>
      </w:pPr>
      <w:r>
        <w:rPr>
          <w:rFonts w:ascii="微软雅黑" w:hAnsi="微软雅黑" w:eastAsia="微软雅黑"/>
          <w:b w:val="0"/>
          <w:sz w:val="22"/>
        </w:rPr>
        <w:t>资产管理不能只看“有多少条资产”，更要看“有没有用”。建议先看资产引用次数、方案采纳率、人工反复解释是否减少、调度错误或违规建议是否减少、关键场景处理效率是否提升，以及长期无人使用资产是否需要清理。</w:t>
      </w:r>
    </w:p>
    <w:p>
      <w:pPr>
        <w:pStyle w:val="Heading1"/>
      </w:pPr>
      <w:r>
        <w:t>四、典型交互流程</w:t>
      </w:r>
    </w:p>
    <w:p>
      <w:pPr>
        <w:pStyle w:val="Heading2"/>
      </w:pPr>
      <w:r>
        <w:t>1. 智能体使用资产完成调度任务</w:t>
      </w:r>
    </w:p>
    <w:p>
      <w:pPr>
        <w:spacing w:after="120" w:line="264" w:lineRule="auto"/>
      </w:pPr>
      <w:r>
        <w:rPr>
          <w:rFonts w:ascii="微软雅黑" w:hAnsi="微软雅黑" w:eastAsia="微软雅黑"/>
          <w:b w:val="0"/>
          <w:sz w:val="22"/>
        </w:rPr>
        <w:t>下面以“设备故障后是否需要重排”为例，说明智能体如何使用资产。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>sequenceDiagram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participant U as 计划员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participant A as 调度智能体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participant G as 资产网关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participant R as 资产检索服务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participant P as 治理校验服务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participant T as 工具/业务系统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participant L as 使用记录服务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U-&gt;&gt;A: 输入任务：设备故障，评估是否需要重排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A-&gt;&gt;G: 提交任务上下文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G-&gt;&gt;R: 检索相关资产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R--&gt;&gt;G: 返回规则、案例、工作流、工具清单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G--&gt;&gt;A: 组装可用资产上下文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A-&gt;&gt;P: 校验当前动作权限和风险边界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P--&gt;&gt;A: 返回允许动作、审批要求、禁止事项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A-&gt;&gt;T: 查询设备、订单、物料、当前计划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T--&gt;&gt;A: 返回现场数据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A-&gt;&gt;A: 生成影响分析和候选方案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A-&gt;&gt;P: 校验方案是否违反硬约束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P--&gt;&gt;A: 返回校验结果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A--&gt;&gt;U: 输出推荐方案、影响范围、风险说明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U--&gt;&gt;A: 采纳/调整/驳回方案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A-&gt;&gt;L: 记录资产引用、方案结果、人工反馈</w:t>
      </w:r>
    </w:p>
    <w:p>
      <w:pPr>
        <w:spacing w:after="120" w:line="264" w:lineRule="auto"/>
      </w:pPr>
      <w:r>
        <w:rPr>
          <w:rFonts w:ascii="微软雅黑" w:hAnsi="微软雅黑" w:eastAsia="微软雅黑"/>
          <w:b w:val="0"/>
          <w:sz w:val="22"/>
        </w:rPr>
        <w:t>这个流程里，资产模块不是简单给智能体“查资料”，而是同时承担三件事：给智能体提供可信上下文，控制工具调用和高风险动作，记录资产使用过程和业务反馈。</w:t>
      </w:r>
    </w:p>
    <w:p>
      <w:pPr>
        <w:pStyle w:val="Heading2"/>
      </w:pPr>
      <w:r>
        <w:t>2. 智能体沉淀候选资产</w:t>
      </w:r>
    </w:p>
    <w:p>
      <w:pPr>
        <w:spacing w:after="120" w:line="264" w:lineRule="auto"/>
      </w:pPr>
      <w:r>
        <w:rPr>
          <w:rFonts w:ascii="微软雅黑" w:hAnsi="微软雅黑" w:eastAsia="微软雅黑"/>
          <w:b w:val="0"/>
          <w:sz w:val="22"/>
        </w:rPr>
        <w:t>当某类规则、案例或经验在真实任务中被反复验证后，可以沉淀为候选资产。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>sequenceDiagram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participant A as 调度智能体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participant L as 任务轨迹/审计记录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participant C as 候选资产服务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participant V as 验证服务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participant E as 业务专家/审批人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participant S as 正式资产库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A-&gt;&gt;L: 写入任务过程、使用资产、人工反馈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A-&gt;&gt;C: 提出候选资产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C-&gt;&gt;L: 关联证据链和历史任务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C-&gt;&gt;V: 发起自动验证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V--&gt;&gt;C: 返回验证结果和风险等级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C--&gt;&gt;E: 提交候选资产待评审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E-&gt;&gt;C: 修改、确认或驳回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C-&gt;&gt;S: 审批通过后发布为正式资产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  S--&gt;&gt;A: 后续任务可检索和复用</w:t>
      </w:r>
    </w:p>
    <w:p>
      <w:pPr>
        <w:spacing w:after="120" w:line="264" w:lineRule="auto"/>
      </w:pPr>
      <w:r>
        <w:rPr>
          <w:rFonts w:ascii="微软雅黑" w:hAnsi="微软雅黑" w:eastAsia="微软雅黑"/>
          <w:b/>
          <w:sz w:val="22"/>
        </w:rPr>
        <w:t>这个流程强调一点：智能体可以发现资产、建议资产，但不能绕过人工验证直接修改正式资产。</w:t>
      </w:r>
    </w:p>
    <w:p>
      <w:pPr>
        <w:pStyle w:val="Heading1"/>
      </w:pPr>
      <w:r>
        <w:t>五、系统架构关系</w:t>
      </w:r>
    </w:p>
    <w:p>
      <w:pPr>
        <w:spacing w:after="120" w:line="264" w:lineRule="auto"/>
      </w:pPr>
      <w:r>
        <w:rPr>
          <w:rFonts w:ascii="微软雅黑" w:hAnsi="微软雅黑" w:eastAsia="微软雅黑"/>
          <w:b w:val="0"/>
          <w:sz w:val="22"/>
        </w:rPr>
        <w:t>架构上，资产管理模块不建议直接绑定某一个 Agent 框架。近期可以基于 DeepAgents 落地，但资产对象、治理流程和接口协议要保持独立。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>Agent Runtime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-&gt; Agent Asset Adapter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-&gt; Asset Gateway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-&gt; 资产检索 / 资产详情 / 工具调用 / 治理校验 / 使用记录 / 候选沉淀</w:t>
      </w:r>
    </w:p>
    <w:p>
      <w:pPr>
        <w:spacing w:after="0" w:line="240" w:lineRule="auto"/>
        <w:ind w:left="142" w:right="142"/>
        <w:shd w:fill="F4F6F9"/>
      </w:pPr>
      <w:r>
        <w:rPr>
          <w:rFonts w:ascii="Consolas" w:hAnsi="Consolas" w:eastAsia="微软雅黑"/>
          <w:sz w:val="17"/>
        </w:rPr>
        <w:t xml:space="preserve">  -&gt; 资产库与候选资产池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68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使用方式</w:t>
            </w:r>
          </w:p>
        </w:tc>
        <w:tc>
          <w:tcPr>
            <w:tcW w:type="dxa" w:w="6860"/>
            <w:shd w:fill="F2F4F7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F4D78"/>
                <w:sz w:val="20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作为上下文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检索相关规则、案例、工作流和风险边界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作为工具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调用 MES、ERP、APS、规则校验器等能力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作为治理约束</w:t>
            </w:r>
          </w:p>
        </w:tc>
        <w:tc>
          <w:tcPr>
            <w:tcW w:type="dxa" w:w="686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判断动作是否允许、是否需要审批、是否能写回系统</w:t>
            </w:r>
          </w:p>
        </w:tc>
      </w:tr>
    </w:tbl>
    <w:p>
      <w:pPr>
        <w:spacing w:after="80"/>
      </w:pPr>
    </w:p>
    <w:p>
      <w:pPr>
        <w:spacing w:after="120" w:line="264" w:lineRule="auto"/>
      </w:pPr>
      <w:r>
        <w:rPr>
          <w:rFonts w:ascii="微软雅黑" w:hAnsi="微软雅黑" w:eastAsia="微软雅黑"/>
          <w:b w:val="0"/>
          <w:sz w:val="22"/>
        </w:rPr>
        <w:t>这三类能力统一通过资产网关提供，方便做权限、版本、审计和风险控制。</w:t>
      </w:r>
    </w:p>
    <w:p>
      <w:pPr>
        <w:pStyle w:val="Heading1"/>
      </w:pPr>
      <w:r>
        <w:t>六、首期建设重点</w:t>
      </w:r>
    </w:p>
    <w:p>
      <w:pPr>
        <w:spacing w:after="120" w:line="264" w:lineRule="auto"/>
      </w:pPr>
      <w:r>
        <w:rPr>
          <w:rFonts w:ascii="微软雅黑" w:hAnsi="微软雅黑" w:eastAsia="微软雅黑"/>
          <w:b w:val="0"/>
          <w:sz w:val="22"/>
        </w:rPr>
        <w:t>首期不建议一上来做得过重，重点把闭环跑通。建议聚焦五件事：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建立统一资产对象模型。先支持规则、工作流、工具接口、案例、指标几类核心资产。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做好资产状态流转。草稿、候选、验证中、待审批、已发布、停用、废止。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打通智能体引用资产链路。智能体能检索资产、读取资产、记录使用情况。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建立候选资产机制。智能体可以从任务轨迹中提出候选资产，但必须人工确认后发布。</w:t>
      </w:r>
    </w:p>
    <w:p>
      <w:pPr>
        <w:pStyle w:val="ListNumber"/>
        <w:spacing w:after="80"/>
      </w:pPr>
      <w:r>
        <w:rPr>
          <w:rFonts w:ascii="微软雅黑" w:hAnsi="微软雅黑" w:eastAsia="微软雅黑"/>
          <w:sz w:val="22"/>
        </w:rPr>
        <w:t>做出价值度量雏形。先看引用次数、采纳率、场景贡献、人工修正次数等基础指标。</w:t>
      </w:r>
    </w:p>
    <w:p>
      <w:pPr>
        <w:spacing w:after="120" w:line="264" w:lineRule="auto"/>
      </w:pPr>
      <w:r>
        <w:rPr>
          <w:rFonts w:ascii="微软雅黑" w:hAnsi="微软雅黑" w:eastAsia="微软雅黑"/>
          <w:b/>
          <w:sz w:val="22"/>
        </w:rPr>
        <w:t>首期技术上可以采用：Python FastAPI + DeepAgents + PostgreSQL + pgvector</w:t>
      </w:r>
    </w:p>
    <w:p>
      <w:pPr>
        <w:spacing w:after="120" w:line="264" w:lineRule="auto"/>
      </w:pPr>
      <w:r>
        <w:rPr>
          <w:rFonts w:ascii="微软雅黑" w:hAnsi="微软雅黑" w:eastAsia="微软雅黑"/>
          <w:b w:val="0"/>
          <w:sz w:val="22"/>
        </w:rPr>
        <w:t>先以模块化方式落地，不一定一开始就拆成多个独立服务。但代码边界、接口边界和数据模型边界要提前设计好，后续如果要服务多个智能体或接入更复杂审批流程，可以平滑拆分。</w:t>
      </w:r>
    </w:p>
    <w:p>
      <w:pPr>
        <w:pStyle w:val="Heading1"/>
      </w:pPr>
      <w:r>
        <w:t>七、阶段性结论</w:t>
      </w:r>
    </w:p>
    <w:p>
      <w:pPr>
        <w:spacing w:after="120" w:line="264" w:lineRule="auto"/>
      </w:pPr>
      <w:r>
        <w:rPr>
          <w:rFonts w:ascii="微软雅黑" w:hAnsi="微软雅黑" w:eastAsia="微软雅黑"/>
          <w:b w:val="0"/>
          <w:sz w:val="22"/>
        </w:rPr>
        <w:t>这套资产管理模块的价值，不是多建一个后台系统，而是帮助智能体形成持续积累能力。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2"/>
        </w:rPr>
        <w:t>对业务侧，它解决规则、经验、案例分散的问题。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2"/>
        </w:rPr>
        <w:t>对智能体侧，它提供可信的上下文、工具和约束。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2"/>
        </w:rPr>
        <w:t>对管理侧，它提供审批、版本、审计和价值度量。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sz w:val="22"/>
        </w:rPr>
        <w:t>对后续推广，它让一个场景里验证过的能力，可以沉淀下来，复制到更多产线、车间和工厂。</w:t>
      </w:r>
    </w:p>
    <w:p>
      <w:pPr>
        <w:spacing w:after="120" w:line="264" w:lineRule="auto"/>
      </w:pPr>
      <w:r>
        <w:rPr>
          <w:rFonts w:ascii="微软雅黑" w:hAnsi="微软雅黑" w:eastAsia="微软雅黑"/>
          <w:b/>
          <w:sz w:val="22"/>
        </w:rPr>
        <w:t>最终目标是让智能体不是每次从零开始处理任务，而是在企业自己的调度资产基础上，越用越稳、越用越懂现场。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