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D9488"/>
          <w:sz w:val="56"/>
          <w:szCs w:val="56"/>
        </w:rPr>
        <w:t xml:space="preserve">SmartPass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14212E"/>
          <w:sz w:val="26"/>
          <w:szCs w:val="26"/>
        </w:rPr>
        <w:t xml:space="preserve">A Multi-Modal Attendance and Emotional Wellness Monitoring System</w:t>
      </w:r>
    </w:p>
    <w:p>
      <w:pPr>
        <w:spacing w:after="700"/>
        <w:jc w:val="center"/>
      </w:pPr>
      <w:r>
        <w:rPr>
          <w:rFonts w:ascii="Calibri" w:cs="Calibri" w:eastAsia="Calibri" w:hAnsi="Calibri"/>
          <w:b/>
          <w:bCs/>
          <w:color w:val="14212E"/>
          <w:sz w:val="24"/>
          <w:szCs w:val="24"/>
        </w:rPr>
        <w:t xml:space="preserve">Features of the Application, User Profile, and Graphical User Interface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ITS142P – Human-Computer Interaction 2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ITS142P_FOPM01_1Q2627  ·  Group 1</w:t>
      </w:r>
    </w:p>
    <w:p>
      <w:pPr>
        <w:spacing w:after="400"/>
      </w:pPr>
    </w:p>
    <w:p>
      <w:pPr>
        <w:spacing w:after="140" w:line="276"/>
        <w:jc w:val="center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Submitted by: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CABALLERO, Josel Henri L.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CAGATIN, John Viclouis P.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GAFFUD, Yra Geinna B.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JOCOM, Nathan Absalom C.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12E"/>
          <w:sz w:val="30"/>
          <w:szCs w:val="30"/>
        </w:rPr>
        <w:t xml:space="preserve">I.  Project Overview</w:t>
      </w:r>
    </w:p>
    <w:p>
      <w:pPr>
        <w:spacing w:after="140" w:line="276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SmartPass is a web-based campus platform that brings together two responsibilities that are normally handled separately: recording whether students are physically present, and noticing when they are not coping.</w:t>
      </w:r>
    </w:p>
    <w:p>
      <w:pPr>
        <w:spacing w:after="140" w:line="276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Attendance is captured automatically through RFID card taps. When a student taps in, the system identifies the class section, compares the time of the tap against the scheduled start time plus a configurable grace period, and records the student as present or late without any staff intervention. Thresholds are set per class section, so once a student accumulates enough absences or late arrivals, warnings are raised to both the student and the professor before the situation becomes unrecoverable.</w:t>
      </w:r>
    </w:p>
    <w:p>
      <w:pPr>
        <w:spacing w:after="140" w:line="276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Alongside this, students complete wellness check-ins. These can be a short guided form in which they select a mood and tag what is contributing to it, or a multi-modal assessment that combines facial expression analysis, voice analysis and a combined evaluation. Each entry is assigned a risk level, and guidance counselors work from a single triage view where the caseload can be filtered by severity and reviewed systematically rather than reactively.</w:t>
      </w:r>
    </w:p>
    <w:p>
      <w:pPr>
        <w:spacing w:after="140" w:line="276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Because attendance and wellbeing sit in the same system, a pattern of absences and a pattern of declining mood are visible to the same people at the same time, which is the point: the two are usually related, and institutions normally only connect them after an incident.</w:t>
      </w:r>
    </w:p>
    <w:p>
      <w:pPr>
        <w:spacing w:after="140" w:line="276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Access is governed by five roles — Student, Professor, Guidance Counselor, Academic Administrator and System Administrator — each with its own dashboard and permissions, so sensitive wellness data is visible only to those responsible for it.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12E"/>
          <w:sz w:val="30"/>
          <w:szCs w:val="30"/>
        </w:rPr>
        <w:t xml:space="preserve">II.  Functions and Features</w:t>
      </w:r>
    </w:p>
    <w:p>
      <w:pPr>
        <w:spacing w:after="140" w:line="276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The system’s capabilities are grouped below by the area of the institution they serve.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D9488"/>
          <w:sz w:val="25"/>
          <w:szCs w:val="25"/>
        </w:rPr>
        <w:t xml:space="preserve">1.  Attendance Management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RFID presence logging.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Students tap an RFID card at a reader and attendance is written against the matching class section automatically, with no manual roll call.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Automatic status determination.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The system compares the scan time against the class start time plus a configurable late threshold and records the student as present or late without staff input.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Per-course attendance records.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Each enrolled course keeps a running summary of present, late, absent and excused sessions, with an expandable dated breakdown of every session.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Manual logging and correction.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Professors can record or amend an attendance entry by hand for a specific student and date when a reader is unavailable or a record is disputed.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Absence threshold alerts.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Warning and critical thresholds are configured per class section; crossing one raises a notification to the student and the professor.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Class attendance matrix.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 single view showing every enrolled student against every session held, colour-coded by status, with per-student totals and attendance rates.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D9488"/>
          <w:sz w:val="25"/>
          <w:szCs w:val="25"/>
        </w:rPr>
        <w:t xml:space="preserve">2.  Emotional Wellness Monitoring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Multi-modal wellness check-in.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Combines facial expression analysis, voice analysis and a combined AI assessment to estimate a student’s emotional state.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Standard mood check-in.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 three-step guided form in which a student selects a mood, tags contributing factors such as academic stress or workload, and adds optional notes.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Risk classification.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Each wellness entry is assigned a risk level of normal, struggling or critical, derived from the reported mood and contributing factors.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Counselor review and triage.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Counselors filter the caseload by risk level, isolate entries nobody has reviewed yet, and record an override risk level with private notes.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Caseload analytics.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 risk distribution chart and an eight-week risk trend show how the assigned student population is moving over time.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Counseling appointments.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Students request sessions and counselors approve, decline, reschedule, complete or cancel them, with a date and time captured on reschedule.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D9488"/>
          <w:sz w:val="25"/>
          <w:szCs w:val="25"/>
        </w:rPr>
        <w:t xml:space="preserve">3.  Communication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In-app direct messaging.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Private threaded conversations between students and staff, including file and image attachments.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Notifications.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Attendance breaches, wellness flags, appointment updates and new messages are surfaced in a notification centre with read and unread states.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Support ticketing.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Users raise tickets against categories such as account, attendance, technical or wellness, each with a priority and a status tracked to resolution.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Broadcast announcements.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Administrators compose an announcement that is delivered to every user of the system at once.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D9488"/>
          <w:sz w:val="25"/>
          <w:szCs w:val="25"/>
        </w:rPr>
        <w:t xml:space="preserve">4.  Academic Administration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Academic structure management.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Academic years, terms, departments, programs, sections, courses and class sections are each maintained from a single tabbed interface.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Enrollment management.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Students are enrolled into or dropped from class sections individually, with their current enrollments listed alongside.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Institution-wide reporting.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Dashboards covering attendance rate, total absences, wellness log volume and per-program performance, switchable between attendance and wellbeing views.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Data export.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Attendance and wellness reports are exportable to CSV for offline analysis.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D9488"/>
          <w:sz w:val="25"/>
          <w:szCs w:val="25"/>
        </w:rPr>
        <w:t xml:space="preserve">5.  System Administration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Role-based access control.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Five distinct roles — Student, Professor, Guidance Counselor, Academic Administrator and System Administrator — each see only the screens and data their role permits.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Account management.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Accounts are created, searched, filtered by role and deactivated from a central directory.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Approval workflow.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Requests such as excused absences and enrollment overrides are routed for review, with the full request payload visible before a decision is recorded.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Audit trail.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Every successful change to the system is logged with actor, action, category, severity and timestamp, and is filterable and exportable.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System settings.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Maintenance mode, live alerts, automatic synchronisation and a global RFID grace period are toggled centrally and take effect immediately.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D9488"/>
          <w:sz w:val="25"/>
          <w:szCs w:val="25"/>
        </w:rPr>
        <w:t xml:space="preserve">6.  Personalisation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Accent colour.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Seven preset accent colours plus a custom picker accepting any hexadecimal value, applied across the entire interface.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Readable contrast.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Foreground text on accent-coloured controls is recalculated automatically so any chosen colour remains legible.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Dark mode and layout density.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 light, dark or system-matched theme, and a comfortable or compact layout density that adjusts spacing throughout.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Sidebar mode.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The navigation rail switches between a compact icon-only strip and a labelled expanded form.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Dashboard customisation.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Dashboard cards are reordered by dragging, resized across four widths, hidden individually, and restored to defaults in one action.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12E"/>
          <w:sz w:val="30"/>
          <w:szCs w:val="30"/>
        </w:rPr>
        <w:t xml:space="preserve">III.  Target User Profile</w:t>
      </w:r>
    </w:p>
    <w:p>
      <w:pPr>
        <w:spacing w:after="140" w:line="276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SmartPass is designed for a university campus population. Five stakeholder groups use the system directly, each with a different relationship to the data it holds. No function of the system differs by gender; the profiles below describe all genders within each group.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059"/>
        <w:gridCol w:w="4118"/>
      </w:tblGrid>
      <w:tr>
        <w:trPr>
          <w:tblHeader/>
        </w:trPr>
        <w:tc>
          <w:tcPr>
            <w:tcW w:type="dxa" w:w="3182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Stakeholder group</w:t>
            </w:r>
          </w:p>
        </w:tc>
        <w:tc>
          <w:tcPr>
            <w:tcW w:type="dxa" w:w="2059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Age range</w:t>
            </w:r>
          </w:p>
        </w:tc>
        <w:tc>
          <w:tcPr>
            <w:tcW w:type="dxa" w:w="4118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Technical proficiency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Students</w:t>
            </w:r>
          </w:p>
        </w:tc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16 – 25 (predominantly 18 – 22)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High.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Professors / Faculty</w:t>
            </w:r>
          </w:p>
        </w:tc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25 – 65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Moderate to high.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Guidance Counselors</w:t>
            </w:r>
          </w:p>
        </w:tc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28 – 60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Moderate.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Academic Administrators / Registrar Staff</w:t>
            </w:r>
          </w:p>
        </w:tc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25 – 60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Moderate to high.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IT / System Administrators</w:t>
            </w:r>
          </w:p>
        </w:tc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22 – 55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High.</w:t>
            </w:r>
          </w:p>
        </w:tc>
      </w:tr>
    </w:tbl>
    <w:p>
      <w:pPr>
        <w:spacing w:after="26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Students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Age range: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16 – 25 (predominantly 18 – 22)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Gender: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All genders; no feature is gender-dependent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Technical proficiency: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High. Daily smartphone and laptop users, comfortable with web applications without training.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Primary goals: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Track their own attendance standing, understand how close they are to an absence threshold, log how they are coping, and request counseling discreetly.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Problems the system addresses: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Manual roll call wastes class time and is error-prone; attendance disputes are hard to settle; asking for mental health support in person carries social cost.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Professors / Faculty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Age range: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25 – 65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Gender: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All genders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Technical proficiency: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Moderate to high. Familiar with learning management systems; prefer interfaces that require no training.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Primary goals: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Take attendance without disrupting the lecture, see which students are at risk of exceeding absence limits, and correct records when a reader fails.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Problems the system addresses: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Paper roll call consumes teaching time; spotting an at-risk student across several sections requires manual tallying.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Guidance Counselors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Age range: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28 – 60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Gender: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All genders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Technical proficiency: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Moderate. Comfortable with records systems; value clarity over density.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Primary goals: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Identify students in distress early, triage a caseload by severity, keep session notes, and manage an appointment calendar.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Problems the system addresses: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Students in difficulty are usually identified only after a crisis; wellness information is scattered and not linked to attendance patterns.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Academic Administrators / Registrar Staff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Age range: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25 – 60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Gender: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All genders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Technical proficiency: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Moderate to high. Heavy spreadsheet users.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Primary goals: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Maintain the academic structure, manage enrollment, and report institution-wide attendance and wellbeing to leadership.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Problems the system addresses: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Consolidating attendance across programs is manual and slow; data is inconsistent between departments.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IT / System Administrators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Age range: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22 – 55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Gender: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All genders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Technical proficiency: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High. Expect fine-grained control and full visibility.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Primary goals: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Manage accounts and permissions, review approval requests, audit every change, and take the system offline safely for maintenance.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4212E"/>
          <w:sz w:val="22"/>
          <w:szCs w:val="22"/>
        </w:rPr>
        <w:t xml:space="preserve">Problems the system addresses: </w:t>
      </w:r>
      <w:r>
        <w:rPr>
          <w:rFonts w:ascii="Calibri" w:cs="Calibri" w:eastAsia="Calibri" w:hAnsi="Calibri"/>
          <w:color w:val="14212E"/>
          <w:sz w:val="22"/>
          <w:szCs w:val="22"/>
        </w:rPr>
        <w:t xml:space="preserve">Without an audit trail, changes cannot be traced; account administration across several systems is duplicated effort.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12E"/>
          <w:sz w:val="30"/>
          <w:szCs w:val="30"/>
        </w:rPr>
        <w:t xml:space="preserve">IV.  Graphical User Interface</w:t>
      </w:r>
    </w:p>
    <w:p>
      <w:pPr>
        <w:spacing w:after="140" w:line="276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The following screens show the major functions of the system across all five roles. All screenshots were taken from a running instance of the application.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1. Sign-in screen with role-based authentication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2. Student dashboard: attendance rate, presence counts, weekly trend and mood history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3. Student attendance: per-course summary with the dated session record expanded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4. Simulated RFID tap, with the class section selected before logging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5. Multi-modal wellness check-in: facial, voice and combined AI assessment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6. Standard mood check-in, step one of three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7. Professor dashboard: class count, total enrollment and average class size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8. Class sections taught, with enrollment and schedule per section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9. Class attendance matrix: every student against every session, colour-coded by status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10. Manual attendance entry for a single student and date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11. Counselor dashboard: caseload risk distribution and eight-week risk trend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12. Wellness logs across the assigned caseload, filterable by risk level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13. Reviewing a wellness log with a risk override and counselor notes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14. Counseling appointments with full status lifecycle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15. Institution-wide metrics: attendance rate, absences and wellness log volume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16. Attendance report by student, switchable to wellbeing reporting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17. Academic structure: class sections with course, term, professor and schedule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18. Enrollment management for an individual student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19. System administrator dashboard: user breakdown, recent activity and open tickets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20. Central account directory with search and role filtering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21. Approval request review showing the full submitted payload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22. Audit trail of every change, filterable by category, severity and date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23. System settings applied live across the platform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24. Personalisation: accent colour, theme, density and sidebar mode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  <w:lvl w:ilvl="1" w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d8ee097788e95e038ae3ae2a178710d59ee2122.png"/><Relationship Id="rId8" Type="http://schemas.openxmlformats.org/officeDocument/2006/relationships/image" Target="media/f12ded1dc62f15b554196a594e2e2c4a8109acce.png"/><Relationship Id="rId9" Type="http://schemas.openxmlformats.org/officeDocument/2006/relationships/image" Target="media/9b5ac644808a7aa8641fefc6d8c5d410450cdc88.png"/><Relationship Id="rId10" Type="http://schemas.openxmlformats.org/officeDocument/2006/relationships/image" Target="media/c0dfd9ebc586b1ee74d9fc918029db0b0d3729ed.png"/><Relationship Id="rId11" Type="http://schemas.openxmlformats.org/officeDocument/2006/relationships/image" Target="media/d8fdc41ec381b81b745aafd396294be700bddcb9.png"/><Relationship Id="rId12" Type="http://schemas.openxmlformats.org/officeDocument/2006/relationships/image" Target="media/028b7cf192a0a91be60f68b704b86efdfb085994.png"/><Relationship Id="rId13" Type="http://schemas.openxmlformats.org/officeDocument/2006/relationships/image" Target="media/9f1d46b7f89a06e30e8b0ededcada2c99a8e8882.png"/><Relationship Id="rId14" Type="http://schemas.openxmlformats.org/officeDocument/2006/relationships/image" Target="media/1bf5eb9c4cddf95537093307850d0a1bbdcdc8af.png"/><Relationship Id="rId15" Type="http://schemas.openxmlformats.org/officeDocument/2006/relationships/image" Target="media/511971e87b72b95c7e9f7e86796cf56c3b8e38b6.png"/><Relationship Id="rId16" Type="http://schemas.openxmlformats.org/officeDocument/2006/relationships/image" Target="media/f8b2655aad4f8501508d6499ac8ab9ba3bbaa8ea.png"/><Relationship Id="rId17" Type="http://schemas.openxmlformats.org/officeDocument/2006/relationships/image" Target="media/0bd8981d7b973fc7d0c7c7e04f53d3ccf4689714.png"/><Relationship Id="rId18" Type="http://schemas.openxmlformats.org/officeDocument/2006/relationships/image" Target="media/b50a5ce86832f89e0c941ca53df5acf147171bb0.png"/><Relationship Id="rId19" Type="http://schemas.openxmlformats.org/officeDocument/2006/relationships/image" Target="media/fb2592b8bacd8d0dac326a187e5936b2dfc43290.png"/><Relationship Id="rId20" Type="http://schemas.openxmlformats.org/officeDocument/2006/relationships/image" Target="media/d28c372d25cfddcd237b6509518bbce5ea2141ad.png"/><Relationship Id="rId21" Type="http://schemas.openxmlformats.org/officeDocument/2006/relationships/image" Target="media/9cd7708eb89dc5a6347824a615330dd1cfa969f2.png"/><Relationship Id="rId22" Type="http://schemas.openxmlformats.org/officeDocument/2006/relationships/image" Target="media/ec9f22d26e8c60436bf0b9dfafc701e49ec3be74.png"/><Relationship Id="rId23" Type="http://schemas.openxmlformats.org/officeDocument/2006/relationships/image" Target="media/0390e981362e0ac33dca18249c27f99be5bfdbad.png"/><Relationship Id="rId24" Type="http://schemas.openxmlformats.org/officeDocument/2006/relationships/image" Target="media/fcc401944dc00bee0b148a25122dd2ab173bccec.png"/><Relationship Id="rId25" Type="http://schemas.openxmlformats.org/officeDocument/2006/relationships/image" Target="media/d5265821ab5a1f63adc5944444b9ba7d62230890.png"/><Relationship Id="rId26" Type="http://schemas.openxmlformats.org/officeDocument/2006/relationships/image" Target="media/7141177de2085f8a3d8646a5034542f7fb35c845.png"/><Relationship Id="rId27" Type="http://schemas.openxmlformats.org/officeDocument/2006/relationships/image" Target="media/b4e5d20aff597c30b1ebfaeee205cd479d531cc3.png"/><Relationship Id="rId28" Type="http://schemas.openxmlformats.org/officeDocument/2006/relationships/image" Target="media/db7d3b468d4e89b5444fd9d58ab936e703290597.png"/><Relationship Id="rId29" Type="http://schemas.openxmlformats.org/officeDocument/2006/relationships/image" Target="media/04f3a0baeaa438be9fdd2a1b8e2b5ef88189b281.png"/><Relationship Id="rId30" Type="http://schemas.openxmlformats.org/officeDocument/2006/relationships/image" Target="media/0731ac31c66eb1a5546925fae23f517bbea77720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SmartPass — Features of the Application, User Profile, and Graphical User Interface</dc:title>
  <dc:creator>CABALLERO, Josel Henri L.</dc:creator>
  <dc:description>ITS142P_FOPM01_1Q2627 · Group 1</dc:description>
  <cp:lastModifiedBy>Un-named</cp:lastModifiedBy>
  <cp:revision>1</cp:revision>
  <dcterms:created xsi:type="dcterms:W3CDTF">2026-10-02T14:26:29.904Z</dcterms:created>
  <dcterms:modified xsi:type="dcterms:W3CDTF">2026-10-02T14:26:29.905Z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