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 по результатам тестирования модуля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“Создание договора”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Информация о продукте:</w:t>
      </w:r>
      <w:r w:rsidDel="00000000" w:rsidR="00000000" w:rsidRPr="00000000">
        <w:rPr>
          <w:rtl w:val="0"/>
        </w:rPr>
        <w:t xml:space="preserve"> модуль “Создание договора” позволяет авторизованным сотрудникам финансового департамента создавать договор, регистрировать его, производить расчёты сроков исполнения и стоимости договора.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Цель тестирования:</w:t>
      </w:r>
      <w:r w:rsidDel="00000000" w:rsidR="00000000" w:rsidRPr="00000000">
        <w:rPr>
          <w:rtl w:val="0"/>
        </w:rPr>
        <w:t xml:space="preserve"> проверка нового функционала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Дата тестирования:</w:t>
      </w:r>
      <w:r w:rsidDel="00000000" w:rsidR="00000000" w:rsidRPr="00000000">
        <w:rPr>
          <w:rtl w:val="0"/>
        </w:rPr>
        <w:t xml:space="preserve"> 24.04.2023 - 25.04.2023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Версия модуля: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Краткое описание:</w:t>
      </w:r>
      <w:r w:rsidDel="00000000" w:rsidR="00000000" w:rsidRPr="00000000">
        <w:rPr>
          <w:rtl w:val="0"/>
        </w:rPr>
        <w:t xml:space="preserve"> было проведено тестирование модуля “Создание договора”. Командой тестирования не было выявлено ни одной критической/серьёзной ошибки. Было найдено 2 ошибки с низкой серьёзностью.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 Home 22H2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Сборка 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22621.1413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Chrome </w:t>
            </w:r>
            <w:r w:rsidDel="00000000" w:rsidR="00000000" w:rsidRPr="00000000">
              <w:rPr>
                <w:rtl w:val="0"/>
              </w:rPr>
              <w:t xml:space="preserve">Version 112.0.5615.138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Что и как было протестировано:</w:t>
      </w:r>
      <w:r w:rsidDel="00000000" w:rsidR="00000000" w:rsidRPr="00000000">
        <w:rPr>
          <w:rtl w:val="0"/>
        </w:rPr>
        <w:t xml:space="preserve"> было проведено компонентное функциональное тестирование модуля на основе разработанных тест-кейсов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ходе тестирования были использованы такие техники тест-дизайна, как эквивалентное разбиение и анализ граничных значений.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Затраченное время: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945"/>
        <w:tblGridChange w:id="0">
          <w:tblGrid>
            <w:gridCol w:w="450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2,5 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Составление отчётов о дефектах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Написание отчёта о тестировании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 ч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Итого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9 ч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Статистика по тест-кейсам: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0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1785"/>
        <w:gridCol w:w="1890"/>
        <w:tblGridChange w:id="0">
          <w:tblGrid>
            <w:gridCol w:w="3630"/>
            <w:gridCol w:w="1785"/>
            <w:gridCol w:w="18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Процент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29870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98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Статистика по найденным дефектам: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560.0" w:type="dxa"/>
        <w:jc w:val="left"/>
        <w:tblLayout w:type="fixed"/>
        <w:tblLook w:val="0600"/>
      </w:tblPr>
      <w:tblGrid>
        <w:gridCol w:w="2715"/>
        <w:gridCol w:w="1845"/>
        <w:tblGridChange w:id="0">
          <w:tblGrid>
            <w:gridCol w:w="2715"/>
            <w:gridCol w:w="1845"/>
          </w:tblGrid>
        </w:tblGridChange>
      </w:tblGrid>
      <w:tr>
        <w:trPr>
          <w:cantSplit w:val="0"/>
          <w:trHeight w:val="443.338582677165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Серьёзность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582677165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Критическая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582677165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582677165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Низкая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582677165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Тривиальная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.338582677165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Обнаруженные дефекты: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4.2748091603053"/>
        <w:gridCol w:w="5201.0687022900765"/>
        <w:gridCol w:w="1667.328244274809"/>
        <w:gridCol w:w="1667.328244274809"/>
        <w:tblGridChange w:id="0">
          <w:tblGrid>
            <w:gridCol w:w="1244.2748091603053"/>
            <w:gridCol w:w="5201.0687022900765"/>
            <w:gridCol w:w="1667.328244274809"/>
            <w:gridCol w:w="1667.3282442748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Пользователь не может ввести данные вручную в поле “Предмет договора” при включенном чекбоксе “вручную”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Открыт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возможность выбрать дату в поле “Контрольная дата по договору” раньше, чем дата подписания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Открыт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t xml:space="preserve"> было проведено тестирование на основе 50 составленных тест-кейсов (3 тест-кейса не выполнялись из-за не реализованной на данный момент функциональности, имеющей низкий приоритет).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Найдено критических/серьёзных ошибок - 0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Найдено ошибок с низкой серьёзностью - 2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Модуль является стабильным и рекомендован группой тестирования к интеграции в общую систему.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1jq51Mg1dDbg1KOLDwVYsLZUowMG1gK/edit?usp=share_link&amp;ouid=105945594857830191495&amp;rtpof=true&amp;sd=true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