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color w:val="4472c4"/>
          <w:sz w:val="32"/>
          <w:szCs w:val="32"/>
        </w:rPr>
      </w:pPr>
      <w:r w:rsidDel="00000000" w:rsidR="00000000" w:rsidRPr="00000000">
        <w:rPr>
          <w:rFonts w:ascii="Arial" w:cs="Arial" w:eastAsia="Arial" w:hAnsi="Arial"/>
          <w:b w:val="1"/>
          <w:bCs w:val="1"/>
          <w:color w:val="4472c4"/>
          <w:sz w:val="32"/>
          <w:szCs w:val="32"/>
          <w:rtl w:val="0"/>
        </w:rPr>
        <w:t xml:space="preserve">PROGRESS REPORT: JKUAT TEAM IN WHO NETWORK OF PARTNERS</w:t>
      </w:r>
    </w:p>
    <w:p w:rsidR="00000000" w:rsidDel="00000000" w:rsidP="00000000" w:rsidRDefault="00000000" w:rsidRPr="00000000" w14:paraId="00000002">
      <w:pPr>
        <w:jc w:val="both"/>
        <w:rPr>
          <w:rFonts w:ascii="Arial" w:cs="Arial" w:eastAsia="Arial" w:hAnsi="Arial"/>
          <w:color w:val="4472c4"/>
          <w:sz w:val="32"/>
          <w:szCs w:val="32"/>
        </w:rPr>
      </w:pPr>
      <w:r w:rsidDel="00000000" w:rsidR="00000000" w:rsidRPr="00000000">
        <w:rPr>
          <w:rFonts w:ascii="Arial" w:cs="Arial" w:eastAsia="Arial" w:hAnsi="Arial"/>
          <w:b w:val="1"/>
          <w:bCs w:val="1"/>
          <w:color w:val="4472c4"/>
          <w:sz w:val="32"/>
          <w:szCs w:val="32"/>
          <w:rtl w:val="0"/>
        </w:rPr>
        <w:t xml:space="preserve">SRHR Health Workforce Modelling Initiative for WHO AFRO Region</w:t>
      </w:r>
      <w:r w:rsidDel="00000000" w:rsidR="00000000" w:rsidRPr="00000000">
        <w:rPr>
          <w:rtl w:val="0"/>
        </w:rPr>
      </w:r>
    </w:p>
    <w:p w:rsidR="00000000" w:rsidDel="00000000" w:rsidP="00000000" w:rsidRDefault="00000000" w:rsidRPr="00000000" w14:paraId="00000003">
      <w:pPr>
        <w:jc w:val="both"/>
        <w:rPr>
          <w:rFonts w:ascii="Arial" w:cs="Arial" w:eastAsia="Arial" w:hAnsi="Arial"/>
          <w:color w:val="4472c4"/>
          <w:sz w:val="32"/>
          <w:szCs w:val="32"/>
        </w:rPr>
      </w:pPr>
      <w:r w:rsidDel="00000000" w:rsidR="00000000" w:rsidRPr="00000000">
        <w:rPr>
          <w:rFonts w:ascii="Arial" w:cs="Arial" w:eastAsia="Arial" w:hAnsi="Arial"/>
          <w:b w:val="1"/>
          <w:bCs w:val="1"/>
          <w:color w:val="4472c4"/>
          <w:sz w:val="32"/>
          <w:szCs w:val="32"/>
          <w:rtl w:val="0"/>
        </w:rPr>
        <w:t xml:space="preserve">Date:</w:t>
      </w:r>
      <w:r w:rsidDel="00000000" w:rsidR="00000000" w:rsidRPr="00000000">
        <w:rPr>
          <w:rFonts w:ascii="Arial" w:cs="Arial" w:eastAsia="Arial" w:hAnsi="Arial"/>
          <w:color w:val="4472c4"/>
          <w:sz w:val="32"/>
          <w:szCs w:val="32"/>
          <w:rtl w:val="0"/>
        </w:rPr>
        <w:t xml:space="preserve"> February 25, 2026</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2f549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2"/>
          <w:szCs w:val="32"/>
          <w:u w:val="none"/>
          <w:shd w:fill="auto" w:val="clear"/>
          <w:vertAlign w:val="baseline"/>
          <w:rtl w:val="0"/>
        </w:rPr>
        <w:t xml:space="preserve">Contents</w:t>
      </w:r>
    </w:p>
    <w:sdt>
      <w:sdtPr>
        <w:id w:val="1667652723"/>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yubjcyl3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Introduction</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hlb8ih11j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Objectives</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o83m9ufez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Activities and Expected Deliverables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e95phvyyl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What Has Been Done So Far &amp; Levels of Completion</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olnxn4b3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What To Be Done: 25th February – 31st March 2026</w:t>
              <w:tab/>
              <w:t xml:space="preserve">4</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rPr>
          <w:rFonts w:ascii="Arial" w:cs="Arial" w:eastAsia="Arial" w:hAnsi="Arial"/>
          <w:b w:val="1"/>
          <w:bCs w:val="1"/>
          <w:sz w:val="24"/>
          <w:szCs w:val="24"/>
        </w:rPr>
      </w:pPr>
      <w:bookmarkStart w:colFirst="0" w:colLast="0" w:name="_heading=h.iyubjcyl3m4" w:id="0"/>
      <w:bookmarkEnd w:id="0"/>
      <w:r w:rsidDel="00000000" w:rsidR="00000000" w:rsidRPr="00000000">
        <w:rPr>
          <w:rFonts w:ascii="Arial" w:cs="Arial" w:eastAsia="Arial" w:hAnsi="Arial"/>
          <w:b w:val="1"/>
          <w:bCs w:val="1"/>
          <w:sz w:val="24"/>
          <w:szCs w:val="24"/>
          <w:rtl w:val="0"/>
        </w:rPr>
        <w:t xml:space="preserve">1.0 Introduction</w:t>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report outlines the progress of the Jomo Kenyatta University of Agriculture and Technology (JKUAT) team in developing an integrated health workforce modelling framework for Sexual and Reproductive Health and Rights (SRHR) in the WHO African Region. The project addresses workforce stock, distribution, and skill-mix imbalances that support SRHR service delivery and in turn the service delivery in the entire health sector. Our work directly supports WHO AFRO's strategic priority (Pillar 2) of strengthening health workforce development for SRHR.</w:t>
      </w:r>
    </w:p>
    <w:p w:rsidR="00000000" w:rsidDel="00000000" w:rsidP="00000000" w:rsidRDefault="00000000" w:rsidRPr="00000000" w14:paraId="0000000E">
      <w:pPr>
        <w:pStyle w:val="Heading1"/>
        <w:rPr>
          <w:rFonts w:ascii="Arial" w:cs="Arial" w:eastAsia="Arial" w:hAnsi="Arial"/>
          <w:b w:val="1"/>
          <w:bCs w:val="1"/>
          <w:sz w:val="24"/>
          <w:szCs w:val="24"/>
        </w:rPr>
      </w:pPr>
      <w:bookmarkStart w:colFirst="0" w:colLast="0" w:name="_heading=h.jhlb8ih11j94" w:id="1"/>
      <w:bookmarkEnd w:id="1"/>
      <w:r w:rsidDel="00000000" w:rsidR="00000000" w:rsidRPr="00000000">
        <w:rPr>
          <w:rFonts w:ascii="Arial" w:cs="Arial" w:eastAsia="Arial" w:hAnsi="Arial"/>
          <w:b w:val="1"/>
          <w:bCs w:val="1"/>
          <w:sz w:val="24"/>
          <w:szCs w:val="24"/>
          <w:rtl w:val="0"/>
        </w:rPr>
        <w:t xml:space="preserve">2.0 Objectives</w:t>
      </w:r>
    </w:p>
    <w:p w:rsidR="00000000" w:rsidDel="00000000" w:rsidP="00000000" w:rsidRDefault="00000000" w:rsidRPr="00000000" w14:paraId="0000000F">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Conduct a comprehensive evidence synthesis on the SRHR workforce status, gaps, and training pathways in the African Region.</w:t>
      </w:r>
    </w:p>
    <w:p w:rsidR="00000000" w:rsidDel="00000000" w:rsidP="00000000" w:rsidRDefault="00000000" w:rsidRPr="00000000" w14:paraId="00000010">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and validate analytical models to quantify workforce supply, demand, and return on investment (ROI).</w:t>
      </w:r>
    </w:p>
    <w:p w:rsidR="00000000" w:rsidDel="00000000" w:rsidP="00000000" w:rsidRDefault="00000000" w:rsidRPr="00000000" w14:paraId="00000011">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Translate evidence into actionable policy tools (dashboards, briefs, algorithms) for regional stakeholders.</w:t>
      </w:r>
    </w:p>
    <w:p w:rsidR="00000000" w:rsidDel="00000000" w:rsidP="00000000" w:rsidRDefault="00000000" w:rsidRPr="00000000" w14:paraId="00000012">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Build regional capacity through the dissemination of knowledge products.</w:t>
      </w:r>
    </w:p>
    <w:p w:rsidR="00000000" w:rsidDel="00000000" w:rsidP="00000000" w:rsidRDefault="00000000" w:rsidRPr="00000000" w14:paraId="00000013">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Style w:val="Heading1"/>
        <w:rPr>
          <w:rFonts w:ascii="Arial" w:cs="Arial" w:eastAsia="Arial" w:hAnsi="Arial"/>
          <w:b w:val="1"/>
          <w:bCs w:val="1"/>
          <w:sz w:val="24"/>
          <w:szCs w:val="24"/>
        </w:rPr>
      </w:pPr>
      <w:bookmarkStart w:colFirst="0" w:colLast="0" w:name="_heading=h.1o83m9ufezkq" w:id="2"/>
      <w:bookmarkEnd w:id="2"/>
      <w:r w:rsidDel="00000000" w:rsidR="00000000" w:rsidRPr="00000000">
        <w:rPr>
          <w:rFonts w:ascii="Arial" w:cs="Arial" w:eastAsia="Arial" w:hAnsi="Arial"/>
          <w:b w:val="1"/>
          <w:bCs w:val="1"/>
          <w:sz w:val="24"/>
          <w:szCs w:val="24"/>
          <w:rtl w:val="0"/>
        </w:rPr>
        <w:t xml:space="preserve">3.0 Activities and Expected Deliverables</w:t>
      </w:r>
    </w:p>
    <w:tbl>
      <w:tblPr>
        <w:tblStyle w:val="Table1"/>
        <w:tblW w:w="9016.0" w:type="dxa"/>
        <w:jc w:val="left"/>
        <w:tblLayout w:type="fixed"/>
        <w:tblLook w:val="0400"/>
      </w:tblPr>
      <w:tblGrid>
        <w:gridCol w:w="1780"/>
        <w:gridCol w:w="2973"/>
        <w:gridCol w:w="4263"/>
        <w:tblGridChange w:id="0">
          <w:tblGrid>
            <w:gridCol w:w="1780"/>
            <w:gridCol w:w="2973"/>
            <w:gridCol w:w="4263"/>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ind w:firstLine="48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Objective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8">
            <w:pPr>
              <w:spacing w:after="0" w:line="240" w:lineRule="auto"/>
              <w:ind w:firstLine="48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Activities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9">
            <w:pPr>
              <w:spacing w:after="0" w:line="240" w:lineRule="auto"/>
              <w:ind w:firstLine="48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Expected Deliverables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Evidence Synthesis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Literature review; data collection (47 countries); contextual analysis of focus countries.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Comprehensive account of the country specific contextual issues withing which SRHR workforce operate – highlighting the status, gaps, and dynamics.</w:t>
            </w:r>
          </w:p>
        </w:tc>
      </w:tr>
      <w:tr>
        <w:trPr>
          <w:cantSplit w:val="0"/>
          <w:trHeight w:val="14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Model Development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Formulate and code 14 integrated modelling approaches that were identified; conduct econometric, statistical, and portfolio analysis; perform model integration and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fully integrated and validated modelling suite (code in R) with comprehensive technical documentation.</w:t>
            </w:r>
          </w:p>
        </w:tc>
      </w:tr>
      <w:tr>
        <w:trPr>
          <w:cantSplit w:val="0"/>
          <w:trHeight w:val="14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Policy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Jointly design and develop an interactive SRHR Workforce Planning Dashboard and Excel tools with AfriHealth; draft and finalize a series of policy briefs.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fully functional dashboard (developed with AfriHealth); a series of final policy briefs.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Capacity Building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 training materials on how to use the management tools developed; populate and launch an open-access repository.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Complete training materials; a live open-access repository with data, models, and documentation.</w:t>
            </w:r>
          </w:p>
          <w:p w:rsidR="00000000" w:rsidDel="00000000" w:rsidP="00000000" w:rsidRDefault="00000000" w:rsidRPr="00000000" w14:paraId="0000002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Publications will also be developed.</w:t>
            </w:r>
          </w:p>
        </w:tc>
      </w:tr>
    </w:tbl>
    <w:p w:rsidR="00000000" w:rsidDel="00000000" w:rsidP="00000000" w:rsidRDefault="00000000" w:rsidRPr="00000000" w14:paraId="0000002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b w:val="1"/>
          <w:bCs w:val="1"/>
          <w:sz w:val="24"/>
          <w:szCs w:val="24"/>
        </w:rPr>
      </w:pPr>
      <w:bookmarkStart w:colFirst="0" w:colLast="0" w:name="_heading=h.5e95phvyylkf" w:id="3"/>
      <w:bookmarkEnd w:id="3"/>
      <w:r w:rsidDel="00000000" w:rsidR="00000000" w:rsidRPr="00000000">
        <w:rPr>
          <w:rFonts w:ascii="Arial" w:cs="Arial" w:eastAsia="Arial" w:hAnsi="Arial"/>
          <w:b w:val="1"/>
          <w:bCs w:val="1"/>
          <w:sz w:val="24"/>
          <w:szCs w:val="24"/>
          <w:rtl w:val="0"/>
        </w:rPr>
        <w:t xml:space="preserve">4.0 What Has Been Done So Far &amp; Levels of Completion</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of February 24, 2026, the following has been achieved:</w:t>
      </w:r>
    </w:p>
    <w:p w:rsidR="00000000" w:rsidDel="00000000" w:rsidP="00000000" w:rsidRDefault="00000000" w:rsidRPr="00000000" w14:paraId="0000002A">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Contextual Analysis (80% Complete):</w:t>
      </w:r>
      <w:r w:rsidDel="00000000" w:rsidR="00000000" w:rsidRPr="00000000">
        <w:rPr>
          <w:rFonts w:ascii="Arial" w:cs="Arial" w:eastAsia="Arial" w:hAnsi="Arial"/>
          <w:sz w:val="24"/>
          <w:szCs w:val="24"/>
          <w:rtl w:val="0"/>
        </w:rPr>
        <w:t xml:space="preserve"> A comprehensive analysis of SRHR workforce challenges across 47 countries is almost complete, with detailed deep-dives countries in the WHO African Region. This includes analysis of financing trends, training pipeline constraints, and urban-rural disparities.</w:t>
      </w:r>
    </w:p>
    <w:p w:rsidR="00000000" w:rsidDel="00000000" w:rsidP="00000000" w:rsidRDefault="00000000" w:rsidRPr="00000000" w14:paraId="0000002B">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Modelling Approaches Internally Reviewed &amp; Formulated (100% Complete):</w:t>
      </w:r>
      <w:r w:rsidDel="00000000" w:rsidR="00000000" w:rsidRPr="00000000">
        <w:rPr>
          <w:rFonts w:ascii="Arial" w:cs="Arial" w:eastAsia="Arial" w:hAnsi="Arial"/>
          <w:sz w:val="24"/>
          <w:szCs w:val="24"/>
          <w:rtl w:val="0"/>
        </w:rPr>
        <w:t xml:space="preserve"> All 14 modelling approaches have been mathematically formulated for use in the exercise. These include:</w:t>
      </w:r>
    </w:p>
    <w:p w:rsidR="00000000" w:rsidDel="00000000" w:rsidP="00000000" w:rsidRDefault="00000000" w:rsidRPr="00000000" w14:paraId="0000002C">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Stock-and-Flow Models</w:t>
      </w:r>
    </w:p>
    <w:p w:rsidR="00000000" w:rsidDel="00000000" w:rsidP="00000000" w:rsidRDefault="00000000" w:rsidRPr="00000000" w14:paraId="0000002D">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Needs-Based Demand Estimation Models</w:t>
      </w:r>
    </w:p>
    <w:p w:rsidR="00000000" w:rsidDel="00000000" w:rsidP="00000000" w:rsidRDefault="00000000" w:rsidRPr="00000000" w14:paraId="0000002E">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Workforce Gap Analysis Models</w:t>
      </w:r>
    </w:p>
    <w:p w:rsidR="00000000" w:rsidDel="00000000" w:rsidP="00000000" w:rsidRDefault="00000000" w:rsidRPr="00000000" w14:paraId="0000002F">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Optimization Models for Resource Allocation</w:t>
      </w:r>
    </w:p>
    <w:p w:rsidR="00000000" w:rsidDel="00000000" w:rsidP="00000000" w:rsidRDefault="00000000" w:rsidRPr="00000000" w14:paraId="00000030">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System Dynamics Models</w:t>
      </w:r>
    </w:p>
    <w:p w:rsidR="00000000" w:rsidDel="00000000" w:rsidP="00000000" w:rsidRDefault="00000000" w:rsidRPr="00000000" w14:paraId="00000031">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Agent-Based Models (ABM)</w:t>
      </w:r>
    </w:p>
    <w:p w:rsidR="00000000" w:rsidDel="00000000" w:rsidP="00000000" w:rsidRDefault="00000000" w:rsidRPr="00000000" w14:paraId="00000032">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Microsimulation Models</w:t>
      </w:r>
    </w:p>
    <w:p w:rsidR="00000000" w:rsidDel="00000000" w:rsidP="00000000" w:rsidRDefault="00000000" w:rsidRPr="00000000" w14:paraId="00000033">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Cohort-Based Simulation</w:t>
      </w:r>
    </w:p>
    <w:p w:rsidR="00000000" w:rsidDel="00000000" w:rsidP="00000000" w:rsidRDefault="00000000" w:rsidRPr="00000000" w14:paraId="00000034">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Skill-Mix Optimization Models</w:t>
      </w:r>
    </w:p>
    <w:p w:rsidR="00000000" w:rsidDel="00000000" w:rsidP="00000000" w:rsidRDefault="00000000" w:rsidRPr="00000000" w14:paraId="00000035">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Stochastic Models for Uncertainty Analysis</w:t>
      </w:r>
    </w:p>
    <w:p w:rsidR="00000000" w:rsidDel="00000000" w:rsidP="00000000" w:rsidRDefault="00000000" w:rsidRPr="00000000" w14:paraId="00000036">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Econometric Models for Causal Inference</w:t>
      </w:r>
    </w:p>
    <w:p w:rsidR="00000000" w:rsidDel="00000000" w:rsidP="00000000" w:rsidRDefault="00000000" w:rsidRPr="00000000" w14:paraId="00000037">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Time-Series Models for Trend Analysis</w:t>
      </w:r>
    </w:p>
    <w:p w:rsidR="00000000" w:rsidDel="00000000" w:rsidP="00000000" w:rsidRDefault="00000000" w:rsidRPr="00000000" w14:paraId="00000038">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Workload Indicators of Staffing Need (WISN) Methodology</w:t>
      </w:r>
    </w:p>
    <w:p w:rsidR="00000000" w:rsidDel="00000000" w:rsidP="00000000" w:rsidRDefault="00000000" w:rsidRPr="00000000" w14:paraId="00000039">
      <w:pPr>
        <w:numPr>
          <w:ilvl w:val="1"/>
          <w:numId w:val="2"/>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Manpower Planning Models</w:t>
      </w:r>
    </w:p>
    <w:p w:rsidR="00000000" w:rsidDel="00000000" w:rsidP="00000000" w:rsidRDefault="00000000" w:rsidRPr="00000000" w14:paraId="0000003A">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Models with Preliminary Results (Awaiting Refinement &amp; Validation):</w:t>
      </w:r>
      <w:r w:rsidDel="00000000" w:rsidR="00000000" w:rsidRPr="00000000">
        <w:rPr>
          <w:rFonts w:ascii="Arial" w:cs="Arial" w:eastAsia="Arial" w:hAnsi="Arial"/>
          <w:sz w:val="24"/>
          <w:szCs w:val="24"/>
          <w:rtl w:val="0"/>
        </w:rPr>
        <w:t xml:space="preserve"> The following models have been fitted and have produced preliminary findings, which are currently undergoing refinement and will be validated with WHO AFRO:</w:t>
      </w:r>
    </w:p>
    <w:p w:rsidR="00000000" w:rsidDel="00000000" w:rsidP="00000000" w:rsidRDefault="00000000" w:rsidRPr="00000000" w14:paraId="0000003B">
      <w:pPr>
        <w:numPr>
          <w:ilvl w:val="1"/>
          <w:numId w:val="3"/>
        </w:numPr>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Econometric Models (Fixed/Random Effects, Threshold, 3SLS):</w:t>
      </w:r>
      <w:r w:rsidDel="00000000" w:rsidR="00000000" w:rsidRPr="00000000">
        <w:rPr>
          <w:rFonts w:ascii="Arial" w:cs="Arial" w:eastAsia="Arial" w:hAnsi="Arial"/>
          <w:sz w:val="24"/>
          <w:szCs w:val="24"/>
          <w:rtl w:val="0"/>
        </w:rPr>
        <w:t xml:space="preserve"> Quantified relationships between health financing, workforce density, and outcomes (UHC, life expectancy). Identified a significant financing threshold ($74.31 per capita) and inelastic workforce response to financing (elasticity: 0.40%).</w:t>
      </w:r>
    </w:p>
    <w:p w:rsidR="00000000" w:rsidDel="00000000" w:rsidP="00000000" w:rsidRDefault="00000000" w:rsidRPr="00000000" w14:paraId="0000003C">
      <w:pPr>
        <w:numPr>
          <w:ilvl w:val="1"/>
          <w:numId w:val="3"/>
        </w:numPr>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Modern Portfolio Theory (MPT):</w:t>
      </w:r>
      <w:r w:rsidDel="00000000" w:rsidR="00000000" w:rsidRPr="00000000">
        <w:rPr>
          <w:rFonts w:ascii="Arial" w:cs="Arial" w:eastAsia="Arial" w:hAnsi="Arial"/>
          <w:sz w:val="24"/>
          <w:szCs w:val="24"/>
          <w:rtl w:val="0"/>
        </w:rPr>
        <w:t xml:space="preserve"> Applied to optimize the health workforce "portfolio" (e.g., for Rwanda), identifying a nurse-led mix as most efficient under fiscal constraints.</w:t>
      </w:r>
    </w:p>
    <w:p w:rsidR="00000000" w:rsidDel="00000000" w:rsidP="00000000" w:rsidRDefault="00000000" w:rsidRPr="00000000" w14:paraId="0000003D">
      <w:pPr>
        <w:numPr>
          <w:ilvl w:val="1"/>
          <w:numId w:val="3"/>
        </w:numPr>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Structural Equation Modelling (SEM):</w:t>
      </w:r>
      <w:r w:rsidDel="00000000" w:rsidR="00000000" w:rsidRPr="00000000">
        <w:rPr>
          <w:rFonts w:ascii="Arial" w:cs="Arial" w:eastAsia="Arial" w:hAnsi="Arial"/>
          <w:sz w:val="24"/>
          <w:szCs w:val="24"/>
          <w:rtl w:val="0"/>
        </w:rPr>
        <w:t xml:space="preserve"> Mapped the pathway from workforce investment to economic impact, estimating an annual ROI for optimized investments.</w:t>
      </w:r>
    </w:p>
    <w:p w:rsidR="00000000" w:rsidDel="00000000" w:rsidP="00000000" w:rsidRDefault="00000000" w:rsidRPr="00000000" w14:paraId="0000003E">
      <w:pPr>
        <w:numPr>
          <w:ilvl w:val="1"/>
          <w:numId w:val="3"/>
        </w:numPr>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Coverage and Gap Analysis:</w:t>
      </w:r>
      <w:r w:rsidDel="00000000" w:rsidR="00000000" w:rsidRPr="00000000">
        <w:rPr>
          <w:rFonts w:ascii="Arial" w:cs="Arial" w:eastAsia="Arial" w:hAnsi="Arial"/>
          <w:sz w:val="24"/>
          <w:szCs w:val="24"/>
          <w:rtl w:val="0"/>
        </w:rPr>
        <w:t xml:space="preserve"> Compared workforce supply against benchmark and needs-based requirements for individual countries, projecting future gaps up to 2035.</w:t>
      </w:r>
    </w:p>
    <w:p w:rsidR="00000000" w:rsidDel="00000000" w:rsidP="00000000" w:rsidRDefault="00000000" w:rsidRPr="00000000" w14:paraId="0000003F">
      <w:pPr>
        <w:numPr>
          <w:ilvl w:val="1"/>
          <w:numId w:val="3"/>
        </w:numPr>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Mixed Effects-ANN Model:</w:t>
      </w:r>
      <w:r w:rsidDel="00000000" w:rsidR="00000000" w:rsidRPr="00000000">
        <w:rPr>
          <w:rFonts w:ascii="Arial" w:cs="Arial" w:eastAsia="Arial" w:hAnsi="Arial"/>
          <w:sz w:val="24"/>
          <w:szCs w:val="24"/>
          <w:rtl w:val="0"/>
        </w:rPr>
        <w:t xml:space="preserve"> Developed a novel hybrid model to explore the non-linear relationship between UHC and GDP.</w:t>
      </w:r>
    </w:p>
    <w:p w:rsidR="00000000" w:rsidDel="00000000" w:rsidP="00000000" w:rsidRDefault="00000000" w:rsidRPr="00000000" w14:paraId="0000004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 Integration (Ongoing - 30% Complete):</w:t>
      </w:r>
      <w:r w:rsidDel="00000000" w:rsidR="00000000" w:rsidRPr="00000000">
        <w:rPr>
          <w:rFonts w:ascii="Arial" w:cs="Arial" w:eastAsia="Arial" w:hAnsi="Arial"/>
          <w:sz w:val="24"/>
          <w:szCs w:val="24"/>
          <w:rtl w:val="0"/>
        </w:rPr>
        <w:t xml:space="preserve"> The work of integrating the 14 individual modelling approaches into a single, unified analytical framework is actively in progress. This will allow for seamless data flow and combined analysis across all model types.</w:t>
      </w:r>
    </w:p>
    <w:p w:rsidR="00000000" w:rsidDel="00000000" w:rsidP="00000000" w:rsidRDefault="00000000" w:rsidRPr="00000000" w14:paraId="0000004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pStyle w:val="Heading1"/>
        <w:rPr>
          <w:rFonts w:ascii="Arial" w:cs="Arial" w:eastAsia="Arial" w:hAnsi="Arial"/>
          <w:b w:val="1"/>
          <w:bCs w:val="1"/>
          <w:sz w:val="24"/>
          <w:szCs w:val="24"/>
        </w:rPr>
      </w:pPr>
      <w:bookmarkStart w:colFirst="0" w:colLast="0" w:name="_heading=h.8colnxn4b3cf" w:id="4"/>
      <w:bookmarkEnd w:id="4"/>
      <w:r w:rsidDel="00000000" w:rsidR="00000000" w:rsidRPr="00000000">
        <w:rPr>
          <w:rFonts w:ascii="Arial" w:cs="Arial" w:eastAsia="Arial" w:hAnsi="Arial"/>
          <w:b w:val="1"/>
          <w:bCs w:val="1"/>
          <w:sz w:val="24"/>
          <w:szCs w:val="24"/>
          <w:rtl w:val="0"/>
        </w:rPr>
        <w:t xml:space="preserve">5.0 What To Be Done: 25th February – 31st March 2026</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this final period, the team will focus on completing all models, conducting joint validation with WHO, and finalizing all deliverables. Bi-weekly progress reporting meetings with WHO AFRO will continue throughout.</w:t>
      </w:r>
    </w:p>
    <w:tbl>
      <w:tblPr>
        <w:tblStyle w:val="Table2"/>
        <w:tblW w:w="9016.0" w:type="dxa"/>
        <w:jc w:val="left"/>
        <w:tblLayout w:type="fixed"/>
        <w:tblLook w:val="0400"/>
      </w:tblPr>
      <w:tblGrid>
        <w:gridCol w:w="2010"/>
        <w:gridCol w:w="2117"/>
        <w:gridCol w:w="1666"/>
        <w:gridCol w:w="1637"/>
        <w:gridCol w:w="1586"/>
        <w:tblGridChange w:id="0">
          <w:tblGrid>
            <w:gridCol w:w="2010"/>
            <w:gridCol w:w="2117"/>
            <w:gridCol w:w="1666"/>
            <w:gridCol w:w="1637"/>
            <w:gridCol w:w="1586"/>
          </w:tblGrid>
        </w:tblGridChange>
      </w:tblGrid>
      <w:tr>
        <w:trPr>
          <w:cantSplit w:val="0"/>
          <w:trHeight w:val="58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ind w:firstLine="48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Task</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after="0" w:line="240" w:lineRule="auto"/>
              <w:ind w:firstLine="48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Activities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ind w:firstLine="48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Timeline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Responsible Parties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Expected Outputs</w:t>
            </w:r>
          </w:p>
        </w:tc>
      </w:tr>
      <w:tr>
        <w:trPr>
          <w:cantSplit w:val="0"/>
          <w:trHeight w:val="14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Model Integration &amp; Refinement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Complete the integration of all 14 models; refine preliminary results based on internal reviews; conduct final sensitivity 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Feb 25 - Mar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ind w:firstLine="4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JKUAT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Fully integrated modelling suite; refined and finalised model results.</w:t>
            </w:r>
          </w:p>
        </w:tc>
      </w:tr>
      <w:tr>
        <w:trPr>
          <w:cantSplit w:val="0"/>
          <w:trHeight w:val="20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Validation with WHO AFRO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Schedule and conduct virtual meetings with WHO AFRO focal persons to present preliminary results, gather feedback, and formally validate the model assumptions and findings.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Mar 2 - Mar 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JKUAT &amp; WHO AFRO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Meeting minutes with validated results and feedback; a formal validation. </w:t>
            </w:r>
          </w:p>
        </w:tc>
      </w:tr>
      <w:tr>
        <w:trPr>
          <w:cantSplit w:val="0"/>
          <w:trHeight w:val="20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Tool Development &amp; Finalization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Work jointly with AfriHealth to finalize the SRHR Workforce Planning Dashboard; complete the series of policy briefs and translate them into French and Portuguese.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Feb 25 - Mar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JKUAT &amp; AfriHealth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Fully functional dashboard with user manual; final policy brief series.</w:t>
            </w:r>
          </w:p>
        </w:tc>
      </w:tr>
      <w:tr>
        <w:trPr>
          <w:cantSplit w:val="0"/>
          <w:trHeight w:val="17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Comprehensive Analysis &amp; Reporting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Run final scenario analyses for all 47 countries; compile the comprehensive project report synthesizing all findings, methodologies, and recommendations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Mar 15 - Mar 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line="240" w:lineRule="auto"/>
              <w:ind w:firstLine="4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JKUAT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Country-specific scenario analysis reports; a complete project report.</w:t>
            </w:r>
          </w:p>
        </w:tc>
      </w:tr>
      <w:tr>
        <w:trPr>
          <w:cantSplit w:val="0"/>
          <w:trHeight w:val="17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Dissemination &amp; Sustainability Planning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Finalize the tools; complete the training materials; develop a detailed dissemination, draft publication and sustainability plan for project handover.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Mar 20 - Mar 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after="0" w:line="240" w:lineRule="auto"/>
              <w:ind w:firstLine="4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JKUAT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Live open-access repository; complete training materials; draft publication;  approved sustainability plan.</w:t>
            </w:r>
          </w:p>
        </w:tc>
      </w:tr>
    </w:tbl>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upperRoman"/>
      <w:lvlText w:val="%1."/>
      <w:lvlJc w:val="right"/>
      <w:pPr>
        <w:ind w:left="720" w:hanging="360"/>
      </w:pPr>
      <w:rPr>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Roman"/>
      <w:lvlText w:val="%1."/>
      <w:lvlJc w:val="right"/>
      <w:pPr>
        <w:ind w:left="720" w:hanging="360"/>
      </w:pPr>
      <w:rPr>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K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24EF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24EF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24EF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4EF1"/>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424EF1"/>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424EF1"/>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424EF1"/>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424EF1"/>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424EF1"/>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424EF1"/>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424EF1"/>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424EF1"/>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424EF1"/>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424EF1"/>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424EF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24EF1"/>
    <w:rPr>
      <w:i w:val="1"/>
      <w:iCs w:val="1"/>
      <w:color w:val="404040" w:themeColor="text1" w:themeTint="0000BF"/>
      <w:lang w:val="en-GB"/>
    </w:rPr>
  </w:style>
  <w:style w:type="paragraph" w:styleId="ListParagraph">
    <w:name w:val="List Paragraph"/>
    <w:basedOn w:val="Normal"/>
    <w:uiPriority w:val="34"/>
    <w:qFormat w:val="1"/>
    <w:rsid w:val="00424EF1"/>
    <w:pPr>
      <w:ind w:left="720"/>
      <w:contextualSpacing w:val="1"/>
    </w:pPr>
  </w:style>
  <w:style w:type="character" w:styleId="IntenseEmphasis">
    <w:name w:val="Intense Emphasis"/>
    <w:basedOn w:val="DefaultParagraphFont"/>
    <w:uiPriority w:val="21"/>
    <w:qFormat w:val="1"/>
    <w:rsid w:val="00424EF1"/>
    <w:rPr>
      <w:i w:val="1"/>
      <w:iCs w:val="1"/>
      <w:color w:val="2f5496" w:themeColor="accent1" w:themeShade="0000BF"/>
    </w:rPr>
  </w:style>
  <w:style w:type="paragraph" w:styleId="IntenseQuote">
    <w:name w:val="Intense Quote"/>
    <w:basedOn w:val="Normal"/>
    <w:next w:val="Normal"/>
    <w:link w:val="IntenseQuoteChar"/>
    <w:uiPriority w:val="30"/>
    <w:qFormat w:val="1"/>
    <w:rsid w:val="00424EF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24EF1"/>
    <w:rPr>
      <w:i w:val="1"/>
      <w:iCs w:val="1"/>
      <w:color w:val="2f5496" w:themeColor="accent1" w:themeShade="0000BF"/>
      <w:lang w:val="en-GB"/>
    </w:rPr>
  </w:style>
  <w:style w:type="character" w:styleId="IntenseReference">
    <w:name w:val="Intense Reference"/>
    <w:basedOn w:val="DefaultParagraphFont"/>
    <w:uiPriority w:val="32"/>
    <w:qFormat w:val="1"/>
    <w:rsid w:val="00424EF1"/>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54566A"/>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54566A"/>
    <w:pPr>
      <w:spacing w:after="100"/>
    </w:pPr>
  </w:style>
  <w:style w:type="character" w:styleId="Hyperlink">
    <w:name w:val="Hyperlink"/>
    <w:basedOn w:val="DefaultParagraphFont"/>
    <w:uiPriority w:val="99"/>
    <w:unhideWhenUsed w:val="1"/>
    <w:rsid w:val="0054566A"/>
    <w:rPr>
      <w:color w:val="0563c1" w:themeColor="hyperlink"/>
      <w:u w:val="single"/>
    </w:rPr>
  </w:style>
  <w:style w:type="paragraph" w:styleId="Header">
    <w:name w:val="header"/>
    <w:basedOn w:val="Normal"/>
    <w:link w:val="HeaderChar"/>
    <w:uiPriority w:val="99"/>
    <w:unhideWhenUsed w:val="1"/>
    <w:rsid w:val="0054566A"/>
    <w:pPr>
      <w:tabs>
        <w:tab w:val="center" w:pos="4513"/>
        <w:tab w:val="right" w:pos="9026"/>
      </w:tabs>
      <w:spacing w:after="0" w:line="240" w:lineRule="auto"/>
    </w:pPr>
  </w:style>
  <w:style w:type="character" w:styleId="HeaderChar" w:customStyle="1">
    <w:name w:val="Header Char"/>
    <w:basedOn w:val="DefaultParagraphFont"/>
    <w:link w:val="Header"/>
    <w:uiPriority w:val="99"/>
    <w:rsid w:val="0054566A"/>
    <w:rPr>
      <w:lang w:val="en-GB"/>
    </w:rPr>
  </w:style>
  <w:style w:type="paragraph" w:styleId="Footer">
    <w:name w:val="footer"/>
    <w:basedOn w:val="Normal"/>
    <w:link w:val="FooterChar"/>
    <w:uiPriority w:val="99"/>
    <w:unhideWhenUsed w:val="1"/>
    <w:rsid w:val="0054566A"/>
    <w:pPr>
      <w:tabs>
        <w:tab w:val="center" w:pos="4513"/>
        <w:tab w:val="right" w:pos="9026"/>
      </w:tabs>
      <w:spacing w:after="0" w:line="240" w:lineRule="auto"/>
    </w:pPr>
  </w:style>
  <w:style w:type="character" w:styleId="FooterChar" w:customStyle="1">
    <w:name w:val="Footer Char"/>
    <w:basedOn w:val="DefaultParagraphFont"/>
    <w:link w:val="Footer"/>
    <w:uiPriority w:val="99"/>
    <w:rsid w:val="0054566A"/>
    <w:rPr>
      <w:lang w:val="en-GB"/>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D8xD6IU+lhZOs7d0d98TnjRjg==">CgMxLjAyDWguaXl1YmpjeWwzbTQyDmguamhsYjhpaDExajk0Mg5oLjFvODNtOXVmZXprcTIOaC41ZTk1cGh2eXlsa2YyDmguOGNvbG54bjRiM2NmOAByITExNk45UTlDdEY4ZHJna09xSVJTem50RV81a0ZocmZlQw==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2026-02-24T19:40:00Z</dcterms:created>
  <dc:creator>MUNG'ATU, Joseph</dc:creator>
</cp:coreProperties>
</file>