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4C4D" w14:textId="4A40A63D" w:rsidR="0058103D" w:rsidRPr="00803122" w:rsidRDefault="00465C15" w:rsidP="008A1DB7">
      <w:pPr>
        <w:jc w:val="both"/>
        <w:rPr>
          <w:b/>
          <w:bCs/>
          <w:sz w:val="36"/>
          <w:szCs w:val="36"/>
        </w:rPr>
      </w:pPr>
      <w:r w:rsidRPr="00803122">
        <w:rPr>
          <w:b/>
          <w:bCs/>
          <w:sz w:val="36"/>
          <w:szCs w:val="36"/>
        </w:rPr>
        <w:t>Investing in Health Systems</w:t>
      </w:r>
      <w:r w:rsidR="002B51E3" w:rsidRPr="00803122">
        <w:rPr>
          <w:b/>
          <w:bCs/>
          <w:sz w:val="36"/>
          <w:szCs w:val="36"/>
        </w:rPr>
        <w:t>:</w:t>
      </w:r>
      <w:r w:rsidRPr="00803122">
        <w:rPr>
          <w:b/>
          <w:bCs/>
          <w:sz w:val="36"/>
          <w:szCs w:val="36"/>
        </w:rPr>
        <w:t xml:space="preserve"> Insights into How Health Financing </w:t>
      </w:r>
      <w:r w:rsidR="00C572CE" w:rsidRPr="00803122">
        <w:rPr>
          <w:b/>
          <w:bCs/>
          <w:sz w:val="36"/>
          <w:szCs w:val="36"/>
        </w:rPr>
        <w:t>Shapes</w:t>
      </w:r>
      <w:r w:rsidRPr="00803122">
        <w:rPr>
          <w:b/>
          <w:bCs/>
          <w:sz w:val="36"/>
          <w:szCs w:val="36"/>
        </w:rPr>
        <w:t xml:space="preserve"> Workforce Density</w:t>
      </w:r>
      <w:r w:rsidR="00C572CE" w:rsidRPr="00803122">
        <w:rPr>
          <w:b/>
          <w:bCs/>
          <w:sz w:val="36"/>
          <w:szCs w:val="36"/>
        </w:rPr>
        <w:t xml:space="preserve">, </w:t>
      </w:r>
      <w:r w:rsidRPr="00803122">
        <w:rPr>
          <w:b/>
          <w:bCs/>
          <w:sz w:val="36"/>
          <w:szCs w:val="36"/>
        </w:rPr>
        <w:t>UHC</w:t>
      </w:r>
      <w:r w:rsidR="00BB4840" w:rsidRPr="00803122">
        <w:rPr>
          <w:b/>
          <w:bCs/>
          <w:sz w:val="36"/>
          <w:szCs w:val="36"/>
        </w:rPr>
        <w:t xml:space="preserve"> Service Coverage Index</w:t>
      </w:r>
      <w:r w:rsidR="00C572CE" w:rsidRPr="00803122">
        <w:rPr>
          <w:b/>
          <w:bCs/>
          <w:sz w:val="36"/>
          <w:szCs w:val="36"/>
        </w:rPr>
        <w:t>, and Key Health Outcomes</w:t>
      </w:r>
      <w:r w:rsidR="00BA3541" w:rsidRPr="00803122">
        <w:rPr>
          <w:b/>
          <w:bCs/>
          <w:sz w:val="36"/>
          <w:szCs w:val="36"/>
        </w:rPr>
        <w:t>. A WHO African Regional Perspective.</w:t>
      </w:r>
    </w:p>
    <w:p w14:paraId="478E274B" w14:textId="03D93508" w:rsidR="00726022" w:rsidRDefault="00726022" w:rsidP="008A1DB7">
      <w:pPr>
        <w:spacing w:before="240"/>
        <w:jc w:val="both"/>
      </w:pPr>
      <w:r>
        <w:t xml:space="preserve">Health financing </w:t>
      </w:r>
      <w:r w:rsidR="00014A75">
        <w:t xml:space="preserve">refers to how resources are raised, pooled, and spent </w:t>
      </w:r>
      <w:r>
        <w:t xml:space="preserve">to fund health services.  </w:t>
      </w:r>
      <w:r w:rsidR="00E774B1">
        <w:t>It determines who pays, how much, and for what</w:t>
      </w:r>
      <w:r w:rsidR="002D5B45">
        <w:t xml:space="preserve">. Some </w:t>
      </w:r>
      <w:r w:rsidR="00014A75">
        <w:t xml:space="preserve">sources of health financing include government budgets (through </w:t>
      </w:r>
      <w:r w:rsidR="002D5B45">
        <w:t xml:space="preserve">taxation), compulsory and voluntary health insurance contributions, </w:t>
      </w:r>
      <w:r w:rsidR="004D6DA6">
        <w:t>out-of-pocket</w:t>
      </w:r>
      <w:r w:rsidR="002D5B45">
        <w:t xml:space="preserve"> payments by</w:t>
      </w:r>
      <w:r w:rsidR="009E168D">
        <w:t xml:space="preserve"> </w:t>
      </w:r>
      <w:r w:rsidR="002D5B45">
        <w:t>households, and external donor funding.</w:t>
      </w:r>
      <w:r w:rsidR="004D6DA6">
        <w:t xml:space="preserve"> Health financing in our context is measured </w:t>
      </w:r>
      <w:r w:rsidR="00014A75">
        <w:t>by</w:t>
      </w:r>
      <w:r w:rsidR="00064FBE">
        <w:t xml:space="preserve"> current health expenditure (CHE) </w:t>
      </w:r>
      <w:r w:rsidR="00014A75">
        <w:t xml:space="preserve">per capita, </w:t>
      </w:r>
      <w:r w:rsidR="00064FBE">
        <w:t>composed of</w:t>
      </w:r>
      <w:r w:rsidR="00014A75">
        <w:t xml:space="preserve"> </w:t>
      </w:r>
      <w:r w:rsidR="004D6DA6">
        <w:t xml:space="preserve">general </w:t>
      </w:r>
      <w:r w:rsidR="00014A75">
        <w:t xml:space="preserve">domestic </w:t>
      </w:r>
      <w:r w:rsidR="004D6DA6">
        <w:t>government health expenditure (GGHE-D)</w:t>
      </w:r>
      <w:r w:rsidR="004B46F8">
        <w:t>,</w:t>
      </w:r>
      <w:r w:rsidR="00014A75">
        <w:t xml:space="preserve"> </w:t>
      </w:r>
      <w:r w:rsidR="004B46F8">
        <w:t>private</w:t>
      </w:r>
      <w:r w:rsidR="00014A75">
        <w:t xml:space="preserve"> domestic</w:t>
      </w:r>
      <w:r w:rsidR="004B46F8">
        <w:t xml:space="preserve"> health expenditure (PVT-D), </w:t>
      </w:r>
      <w:r w:rsidR="00064FBE">
        <w:t xml:space="preserve">and </w:t>
      </w:r>
      <w:r w:rsidR="004B46F8">
        <w:t>external health expenditure (EXT)</w:t>
      </w:r>
      <w:r w:rsidR="00064FBE">
        <w:t xml:space="preserve">. The domestic private health expenditure (PVT-D) is composed of the </w:t>
      </w:r>
      <w:r w:rsidR="004B46F8">
        <w:t>out-of-pocket expenditure (OOP)</w:t>
      </w:r>
      <w:r w:rsidR="00064FBE">
        <w:t xml:space="preserve"> plus any voluntary health insurance and other private spending.</w:t>
      </w:r>
      <w:r w:rsidR="00045BEF">
        <w:t xml:space="preserve"> To determine how health financing impacts workforce densities and key health outcomes such as life e</w:t>
      </w:r>
      <w:r w:rsidR="00343F1E">
        <w:t>xpectancy, maternal mortality, infant mortality, and universal service coverage, a</w:t>
      </w:r>
      <w:r w:rsidR="00045BEF">
        <w:t>n analysis of</w:t>
      </w:r>
      <w:r w:rsidR="00343F1E">
        <w:t xml:space="preserve"> </w:t>
      </w:r>
      <w:r w:rsidR="00045BEF">
        <w:t xml:space="preserve">data from </w:t>
      </w:r>
      <w:r w:rsidR="00343F1E">
        <w:t xml:space="preserve">the </w:t>
      </w:r>
      <w:r w:rsidR="00045BEF">
        <w:t>47 WHO African regional countries</w:t>
      </w:r>
      <w:r w:rsidR="00045BEF" w:rsidRPr="00065196">
        <w:t xml:space="preserve"> spanning from 2000 to 2024 </w:t>
      </w:r>
      <w:r w:rsidR="00045BEF">
        <w:t>was conducted to ascertain the optimal proportions of CHE</w:t>
      </w:r>
      <w:r w:rsidR="00343F1E">
        <w:t xml:space="preserve"> and workforce density cadres needed to optimize the key health outcomes and how different health investments impact on health workforce densities.</w:t>
      </w:r>
    </w:p>
    <w:p w14:paraId="63D6AA6C" w14:textId="1ABC9BC0" w:rsidR="008B66FA" w:rsidRPr="00E50DF0" w:rsidRDefault="00D42B6B" w:rsidP="008A1DB7">
      <w:pPr>
        <w:spacing w:before="240"/>
        <w:jc w:val="both"/>
        <w:rPr>
          <w:b/>
          <w:bCs/>
          <w:color w:val="C00000"/>
        </w:rPr>
      </w:pPr>
      <w:r w:rsidRPr="00E50DF0">
        <w:rPr>
          <w:b/>
          <w:bCs/>
          <w:color w:val="C00000"/>
        </w:rPr>
        <w:t>Optimization</w:t>
      </w:r>
      <w:r w:rsidR="007A1DA4" w:rsidRPr="00E50DF0">
        <w:rPr>
          <w:b/>
          <w:bCs/>
          <w:color w:val="C00000"/>
        </w:rPr>
        <w:t xml:space="preserve"> of </w:t>
      </w:r>
      <w:r w:rsidR="00E50DF0">
        <w:rPr>
          <w:b/>
          <w:bCs/>
          <w:color w:val="C00000"/>
        </w:rPr>
        <w:t>Current Health Expenditure (Health Financing)</w:t>
      </w:r>
      <w:r w:rsidR="0054361B" w:rsidRPr="00E50DF0">
        <w:rPr>
          <w:b/>
          <w:bCs/>
          <w:color w:val="C00000"/>
        </w:rPr>
        <w:t xml:space="preserve"> </w:t>
      </w:r>
      <w:r w:rsidRPr="00E50DF0">
        <w:rPr>
          <w:b/>
          <w:bCs/>
          <w:color w:val="C00000"/>
        </w:rPr>
        <w:t>Components</w:t>
      </w:r>
      <w:r w:rsidR="0054361B" w:rsidRPr="00E50DF0">
        <w:rPr>
          <w:b/>
          <w:bCs/>
          <w:color w:val="C00000"/>
        </w:rPr>
        <w:t xml:space="preserve"> </w:t>
      </w:r>
      <w:r w:rsidRPr="00E50DF0">
        <w:rPr>
          <w:b/>
          <w:bCs/>
          <w:color w:val="C00000"/>
        </w:rPr>
        <w:t>using</w:t>
      </w:r>
      <w:r w:rsidR="00A74CF1" w:rsidRPr="00E50DF0">
        <w:rPr>
          <w:b/>
          <w:bCs/>
          <w:color w:val="C00000"/>
        </w:rPr>
        <w:t xml:space="preserve"> </w:t>
      </w:r>
      <w:r w:rsidR="008B66FA" w:rsidRPr="00E50DF0">
        <w:rPr>
          <w:b/>
          <w:bCs/>
          <w:color w:val="C00000"/>
        </w:rPr>
        <w:t>Key Health Outcomes and UHC</w:t>
      </w:r>
      <w:r w:rsidR="00BB4840" w:rsidRPr="00E50DF0">
        <w:rPr>
          <w:b/>
          <w:bCs/>
          <w:color w:val="C00000"/>
        </w:rPr>
        <w:t xml:space="preserve"> Service Coverage Index</w:t>
      </w:r>
    </w:p>
    <w:p w14:paraId="3631203A" w14:textId="40F00991" w:rsidR="00726022" w:rsidRDefault="008B66FA" w:rsidP="0010200F">
      <w:pPr>
        <w:jc w:val="both"/>
        <w:rPr>
          <w:b/>
          <w:bCs/>
        </w:rPr>
      </w:pPr>
      <w:r>
        <w:t xml:space="preserve">Health financing is central to achieving </w:t>
      </w:r>
      <w:r w:rsidR="0010200F">
        <w:t xml:space="preserve">100% </w:t>
      </w:r>
      <w:r>
        <w:t xml:space="preserve">Universal Health </w:t>
      </w:r>
      <w:r w:rsidR="0010200F">
        <w:t xml:space="preserve">Service </w:t>
      </w:r>
      <w:r>
        <w:t xml:space="preserve">Coverage (UHC). WHO standards emphasize raising sufficient funds, pooling risks fairly, and purchasing services strategically to ensure people have access </w:t>
      </w:r>
      <w:r w:rsidR="00552526">
        <w:t xml:space="preserve">to </w:t>
      </w:r>
      <w:r>
        <w:t>quality care without financial hardship.</w:t>
      </w:r>
      <w:r w:rsidR="00BB4840">
        <w:t xml:space="preserve"> Most </w:t>
      </w:r>
      <w:r w:rsidR="0010200F">
        <w:t xml:space="preserve">countries in Africa face challenges such as high out-of-pocket (OOP) spending, fragmented risk pools, underfunding of public health, and overreliance on donor funding. In this section, we </w:t>
      </w:r>
      <w:r w:rsidR="007A1DA4">
        <w:t xml:space="preserve">aim to identify the </w:t>
      </w:r>
      <w:r w:rsidR="00393825">
        <w:t xml:space="preserve">optimal </w:t>
      </w:r>
      <w:r w:rsidR="0054361B">
        <w:t>proportions</w:t>
      </w:r>
      <w:r w:rsidR="007A1DA4">
        <w:t xml:space="preserve"> of government (GGHED), donor (EXT), and private (PVTD) </w:t>
      </w:r>
      <w:r w:rsidR="00393825">
        <w:t xml:space="preserve">expenditure </w:t>
      </w:r>
      <w:r w:rsidR="0054361B">
        <w:t>required to</w:t>
      </w:r>
      <w:r w:rsidR="007A1DA4">
        <w:t xml:space="preserve"> maximize Universal Health Service Coverage (UHC), maximize life expectancy, minimize maternal mortality ratio (MMR), and minimize </w:t>
      </w:r>
      <w:r w:rsidR="0010200F" w:rsidRPr="0010200F">
        <w:t>infant mortality ra</w:t>
      </w:r>
      <w:r w:rsidR="00393825">
        <w:t>tio</w:t>
      </w:r>
      <w:r w:rsidR="0010200F" w:rsidRPr="0010200F">
        <w:t xml:space="preserve"> (IMR)</w:t>
      </w:r>
      <w:r w:rsidR="00393825">
        <w:t xml:space="preserve"> because a</w:t>
      </w:r>
      <w:r w:rsidR="00DA3726">
        <w:rPr>
          <w:i/>
          <w:iCs/>
        </w:rPr>
        <w:t>fter all,</w:t>
      </w:r>
      <w:r w:rsidR="00726022" w:rsidRPr="00726022">
        <w:rPr>
          <w:b/>
          <w:bCs/>
          <w:i/>
          <w:iCs/>
        </w:rPr>
        <w:t xml:space="preserve"> </w:t>
      </w:r>
      <w:r w:rsidR="00DA3726">
        <w:rPr>
          <w:b/>
          <w:bCs/>
          <w:i/>
          <w:iCs/>
        </w:rPr>
        <w:t>“</w:t>
      </w:r>
      <w:r w:rsidR="00726022" w:rsidRPr="00726022">
        <w:rPr>
          <w:b/>
          <w:bCs/>
          <w:i/>
          <w:iCs/>
        </w:rPr>
        <w:t>Health financing is not just about spending more</w:t>
      </w:r>
      <w:r w:rsidR="00726022">
        <w:rPr>
          <w:b/>
          <w:bCs/>
          <w:i/>
          <w:iCs/>
        </w:rPr>
        <w:t>,</w:t>
      </w:r>
      <w:r w:rsidR="00726022" w:rsidRPr="00726022">
        <w:rPr>
          <w:b/>
          <w:bCs/>
          <w:i/>
          <w:iCs/>
        </w:rPr>
        <w:t xml:space="preserve"> but spending better</w:t>
      </w:r>
      <w:r w:rsidR="00726022">
        <w:rPr>
          <w:b/>
          <w:bCs/>
          <w:i/>
          <w:iCs/>
        </w:rPr>
        <w:t xml:space="preserve"> and pooling risks fairly</w:t>
      </w:r>
      <w:r w:rsidR="00DA3726">
        <w:rPr>
          <w:b/>
          <w:bCs/>
          <w:i/>
          <w:iCs/>
        </w:rPr>
        <w:t>”.</w:t>
      </w:r>
    </w:p>
    <w:p w14:paraId="000FB943" w14:textId="5D84DFB1" w:rsidR="0054361B" w:rsidRDefault="0054361B" w:rsidP="0010200F">
      <w:pPr>
        <w:jc w:val="both"/>
      </w:pPr>
      <w:r>
        <w:t>A correlation analysis between CHE and UHC_SCI and the key health outcomes was done</w:t>
      </w:r>
      <w:r w:rsidR="009E168D">
        <w:t>,</w:t>
      </w:r>
      <w:r>
        <w:t xml:space="preserve"> and the results </w:t>
      </w:r>
      <w:r w:rsidR="009E168D">
        <w:t xml:space="preserve">were as </w:t>
      </w:r>
      <w:r>
        <w:t xml:space="preserve">recorded </w:t>
      </w:r>
      <w:r w:rsidR="009E168D">
        <w:t>in Table 1.</w:t>
      </w:r>
    </w:p>
    <w:tbl>
      <w:tblPr>
        <w:tblW w:w="6331" w:type="dxa"/>
        <w:jc w:val="center"/>
        <w:tblLook w:val="04A0" w:firstRow="1" w:lastRow="0" w:firstColumn="1" w:lastColumn="0" w:noHBand="0" w:noVBand="1"/>
      </w:tblPr>
      <w:tblGrid>
        <w:gridCol w:w="806"/>
        <w:gridCol w:w="1680"/>
        <w:gridCol w:w="865"/>
        <w:gridCol w:w="1107"/>
        <w:gridCol w:w="1752"/>
        <w:gridCol w:w="121"/>
      </w:tblGrid>
      <w:tr w:rsidR="00A501F8" w:rsidRPr="00A501F8" w14:paraId="36318802" w14:textId="77777777" w:rsidTr="005501DF">
        <w:trPr>
          <w:trHeight w:val="288"/>
          <w:jc w:val="center"/>
        </w:trPr>
        <w:tc>
          <w:tcPr>
            <w:tcW w:w="6331" w:type="dxa"/>
            <w:gridSpan w:val="6"/>
            <w:tcBorders>
              <w:top w:val="nil"/>
              <w:left w:val="nil"/>
              <w:bottom w:val="single" w:sz="4" w:space="0" w:color="auto"/>
              <w:right w:val="nil"/>
            </w:tcBorders>
            <w:noWrap/>
            <w:vAlign w:val="bottom"/>
            <w:hideMark/>
          </w:tcPr>
          <w:p w14:paraId="2EF2DDBE" w14:textId="77777777" w:rsidR="00A501F8" w:rsidRPr="00A501F8" w:rsidRDefault="00A501F8" w:rsidP="005501DF">
            <w:pPr>
              <w:jc w:val="center"/>
              <w:rPr>
                <w:rFonts w:ascii="Aptos Narrow" w:eastAsia="Times New Roman" w:hAnsi="Aptos Narrow" w:cs="Times New Roman"/>
                <w:b/>
                <w:bCs/>
                <w:color w:val="0070C0"/>
                <w:kern w:val="0"/>
                <w:sz w:val="22"/>
                <w:szCs w:val="22"/>
                <w14:ligatures w14:val="none"/>
              </w:rPr>
            </w:pPr>
            <w:r w:rsidRPr="00A501F8">
              <w:rPr>
                <w:rFonts w:ascii="Aptos Narrow" w:eastAsia="Times New Roman" w:hAnsi="Aptos Narrow" w:cs="Times New Roman"/>
                <w:b/>
                <w:bCs/>
                <w:color w:val="0070C0"/>
                <w:kern w:val="0"/>
                <w:sz w:val="22"/>
                <w:szCs w:val="22"/>
                <w14:ligatures w14:val="none"/>
              </w:rPr>
              <w:t>Table 1: Correlation between CHE and Key Health Outcomes</w:t>
            </w:r>
          </w:p>
        </w:tc>
      </w:tr>
      <w:tr w:rsidR="00A501F8" w:rsidRPr="00A501F8" w14:paraId="21D3F7F5" w14:textId="77777777" w:rsidTr="005501DF">
        <w:trPr>
          <w:gridAfter w:val="1"/>
          <w:wAfter w:w="121" w:type="dxa"/>
          <w:trHeight w:val="324"/>
          <w:jc w:val="center"/>
        </w:trPr>
        <w:tc>
          <w:tcPr>
            <w:tcW w:w="806" w:type="dxa"/>
            <w:tcBorders>
              <w:top w:val="nil"/>
              <w:left w:val="nil"/>
              <w:bottom w:val="single" w:sz="4" w:space="0" w:color="auto"/>
              <w:right w:val="nil"/>
            </w:tcBorders>
            <w:noWrap/>
            <w:vAlign w:val="bottom"/>
            <w:hideMark/>
          </w:tcPr>
          <w:p w14:paraId="253B983C" w14:textId="77777777" w:rsidR="00A501F8" w:rsidRPr="00A501F8" w:rsidRDefault="00A501F8" w:rsidP="00A501F8">
            <w:pPr>
              <w:spacing w:after="0" w:line="240" w:lineRule="auto"/>
              <w:rPr>
                <w:rFonts w:ascii="Calibri" w:eastAsia="Times New Roman" w:hAnsi="Calibri" w:cs="Calibri"/>
                <w:b/>
                <w:bCs/>
                <w:color w:val="000000"/>
                <w:kern w:val="0"/>
                <w:sz w:val="22"/>
                <w:szCs w:val="22"/>
                <w14:ligatures w14:val="none"/>
              </w:rPr>
            </w:pPr>
            <w:r w:rsidRPr="00A501F8">
              <w:rPr>
                <w:rFonts w:ascii="Calibri" w:eastAsia="Times New Roman" w:hAnsi="Calibri" w:cs="Calibri"/>
                <w:b/>
                <w:bCs/>
                <w:color w:val="000000"/>
                <w:kern w:val="0"/>
                <w:sz w:val="22"/>
                <w:szCs w:val="22"/>
                <w14:ligatures w14:val="none"/>
              </w:rPr>
              <w:t> </w:t>
            </w:r>
          </w:p>
        </w:tc>
        <w:tc>
          <w:tcPr>
            <w:tcW w:w="1680" w:type="dxa"/>
            <w:tcBorders>
              <w:top w:val="nil"/>
              <w:left w:val="nil"/>
              <w:bottom w:val="single" w:sz="4" w:space="0" w:color="auto"/>
              <w:right w:val="nil"/>
            </w:tcBorders>
            <w:noWrap/>
            <w:vAlign w:val="bottom"/>
            <w:hideMark/>
          </w:tcPr>
          <w:p w14:paraId="7A4BF1A9" w14:textId="77777777" w:rsidR="00A501F8" w:rsidRPr="00A501F8" w:rsidRDefault="00A501F8" w:rsidP="005501DF">
            <w:pPr>
              <w:spacing w:after="0" w:line="240" w:lineRule="auto"/>
              <w:jc w:val="center"/>
              <w:rPr>
                <w:rFonts w:ascii="Calibri" w:eastAsia="Times New Roman" w:hAnsi="Calibri" w:cs="Calibri"/>
                <w:b/>
                <w:bCs/>
                <w:color w:val="000000"/>
                <w:kern w:val="0"/>
                <w:sz w:val="22"/>
                <w:szCs w:val="22"/>
                <w14:ligatures w14:val="none"/>
              </w:rPr>
            </w:pPr>
            <w:r w:rsidRPr="00A501F8">
              <w:rPr>
                <w:rFonts w:ascii="Calibri" w:eastAsia="Times New Roman" w:hAnsi="Calibri" w:cs="Calibri"/>
                <w:b/>
                <w:bCs/>
                <w:color w:val="000000"/>
                <w:kern w:val="0"/>
                <w:sz w:val="22"/>
                <w:szCs w:val="22"/>
                <w14:ligatures w14:val="none"/>
              </w:rPr>
              <w:t>UHC_SCI</w:t>
            </w:r>
          </w:p>
        </w:tc>
        <w:tc>
          <w:tcPr>
            <w:tcW w:w="865" w:type="dxa"/>
            <w:tcBorders>
              <w:top w:val="nil"/>
              <w:left w:val="nil"/>
              <w:bottom w:val="single" w:sz="4" w:space="0" w:color="auto"/>
              <w:right w:val="nil"/>
            </w:tcBorders>
            <w:noWrap/>
            <w:vAlign w:val="bottom"/>
            <w:hideMark/>
          </w:tcPr>
          <w:p w14:paraId="4E82E59E" w14:textId="77777777" w:rsidR="00A501F8" w:rsidRPr="00A501F8" w:rsidRDefault="00A501F8" w:rsidP="005501DF">
            <w:pPr>
              <w:spacing w:after="0" w:line="240" w:lineRule="auto"/>
              <w:jc w:val="center"/>
              <w:rPr>
                <w:rFonts w:ascii="Calibri" w:eastAsia="Times New Roman" w:hAnsi="Calibri" w:cs="Calibri"/>
                <w:b/>
                <w:bCs/>
                <w:color w:val="000000"/>
                <w:kern w:val="0"/>
                <w:sz w:val="22"/>
                <w:szCs w:val="22"/>
                <w14:ligatures w14:val="none"/>
              </w:rPr>
            </w:pPr>
            <w:r w:rsidRPr="00A501F8">
              <w:rPr>
                <w:rFonts w:ascii="Calibri" w:eastAsia="Times New Roman" w:hAnsi="Calibri" w:cs="Calibri"/>
                <w:b/>
                <w:bCs/>
                <w:color w:val="000000"/>
                <w:kern w:val="0"/>
                <w:sz w:val="22"/>
                <w:szCs w:val="22"/>
                <w14:ligatures w14:val="none"/>
              </w:rPr>
              <w:t>LE</w:t>
            </w:r>
          </w:p>
        </w:tc>
        <w:tc>
          <w:tcPr>
            <w:tcW w:w="1107" w:type="dxa"/>
            <w:tcBorders>
              <w:top w:val="nil"/>
              <w:left w:val="nil"/>
              <w:bottom w:val="single" w:sz="4" w:space="0" w:color="auto"/>
              <w:right w:val="nil"/>
            </w:tcBorders>
            <w:noWrap/>
            <w:vAlign w:val="bottom"/>
            <w:hideMark/>
          </w:tcPr>
          <w:p w14:paraId="0EAFB6BE" w14:textId="77777777" w:rsidR="00A501F8" w:rsidRPr="00A501F8" w:rsidRDefault="00A501F8" w:rsidP="005501DF">
            <w:pPr>
              <w:spacing w:after="0" w:line="240" w:lineRule="auto"/>
              <w:jc w:val="center"/>
              <w:rPr>
                <w:rFonts w:ascii="Calibri" w:eastAsia="Times New Roman" w:hAnsi="Calibri" w:cs="Calibri"/>
                <w:b/>
                <w:bCs/>
                <w:color w:val="000000"/>
                <w:kern w:val="0"/>
                <w:sz w:val="22"/>
                <w:szCs w:val="22"/>
                <w14:ligatures w14:val="none"/>
              </w:rPr>
            </w:pPr>
            <w:r w:rsidRPr="00A501F8">
              <w:rPr>
                <w:rFonts w:ascii="Calibri" w:eastAsia="Times New Roman" w:hAnsi="Calibri" w:cs="Calibri"/>
                <w:b/>
                <w:bCs/>
                <w:color w:val="000000"/>
                <w:kern w:val="0"/>
                <w:sz w:val="22"/>
                <w:szCs w:val="22"/>
                <w14:ligatures w14:val="none"/>
              </w:rPr>
              <w:t>MMR</w:t>
            </w:r>
          </w:p>
        </w:tc>
        <w:tc>
          <w:tcPr>
            <w:tcW w:w="1752" w:type="dxa"/>
            <w:tcBorders>
              <w:top w:val="nil"/>
              <w:left w:val="nil"/>
              <w:bottom w:val="single" w:sz="4" w:space="0" w:color="auto"/>
              <w:right w:val="nil"/>
            </w:tcBorders>
            <w:noWrap/>
            <w:vAlign w:val="bottom"/>
            <w:hideMark/>
          </w:tcPr>
          <w:p w14:paraId="0602506C" w14:textId="77777777" w:rsidR="00A501F8" w:rsidRPr="00A501F8" w:rsidRDefault="00A501F8" w:rsidP="005501DF">
            <w:pPr>
              <w:spacing w:after="0" w:line="240" w:lineRule="auto"/>
              <w:jc w:val="center"/>
              <w:rPr>
                <w:rFonts w:ascii="Calibri" w:eastAsia="Times New Roman" w:hAnsi="Calibri" w:cs="Calibri"/>
                <w:b/>
                <w:bCs/>
                <w:color w:val="000000"/>
                <w:kern w:val="0"/>
                <w:sz w:val="22"/>
                <w:szCs w:val="22"/>
                <w14:ligatures w14:val="none"/>
              </w:rPr>
            </w:pPr>
            <w:r w:rsidRPr="00A501F8">
              <w:rPr>
                <w:rFonts w:ascii="Calibri" w:eastAsia="Times New Roman" w:hAnsi="Calibri" w:cs="Calibri"/>
                <w:b/>
                <w:bCs/>
                <w:color w:val="000000"/>
                <w:kern w:val="0"/>
                <w:sz w:val="22"/>
                <w:szCs w:val="22"/>
                <w14:ligatures w14:val="none"/>
              </w:rPr>
              <w:t>IMR</w:t>
            </w:r>
          </w:p>
        </w:tc>
      </w:tr>
      <w:tr w:rsidR="00A501F8" w:rsidRPr="00A501F8" w14:paraId="76F426D4" w14:textId="77777777" w:rsidTr="005501DF">
        <w:trPr>
          <w:gridAfter w:val="1"/>
          <w:wAfter w:w="121" w:type="dxa"/>
          <w:trHeight w:val="360"/>
          <w:jc w:val="center"/>
        </w:trPr>
        <w:tc>
          <w:tcPr>
            <w:tcW w:w="806" w:type="dxa"/>
            <w:tcBorders>
              <w:top w:val="nil"/>
              <w:left w:val="nil"/>
              <w:bottom w:val="single" w:sz="4" w:space="0" w:color="auto"/>
              <w:right w:val="nil"/>
            </w:tcBorders>
            <w:noWrap/>
            <w:vAlign w:val="bottom"/>
            <w:hideMark/>
          </w:tcPr>
          <w:p w14:paraId="5BDC38BC" w14:textId="77777777" w:rsidR="00A501F8" w:rsidRPr="00A501F8" w:rsidRDefault="00A501F8" w:rsidP="00A501F8">
            <w:pPr>
              <w:spacing w:after="0" w:line="240" w:lineRule="auto"/>
              <w:rPr>
                <w:rFonts w:ascii="Calibri" w:eastAsia="Times New Roman" w:hAnsi="Calibri" w:cs="Calibri"/>
                <w:color w:val="000000"/>
                <w:kern w:val="0"/>
                <w:sz w:val="22"/>
                <w:szCs w:val="22"/>
                <w14:ligatures w14:val="none"/>
              </w:rPr>
            </w:pPr>
            <w:r w:rsidRPr="00A501F8">
              <w:rPr>
                <w:rFonts w:ascii="Calibri" w:eastAsia="Times New Roman" w:hAnsi="Calibri" w:cs="Calibri"/>
                <w:color w:val="000000"/>
                <w:kern w:val="0"/>
                <w:sz w:val="22"/>
                <w:szCs w:val="22"/>
                <w14:ligatures w14:val="none"/>
              </w:rPr>
              <w:t>CHE</w:t>
            </w:r>
          </w:p>
        </w:tc>
        <w:tc>
          <w:tcPr>
            <w:tcW w:w="1680" w:type="dxa"/>
            <w:tcBorders>
              <w:top w:val="nil"/>
              <w:left w:val="nil"/>
              <w:bottom w:val="single" w:sz="4" w:space="0" w:color="auto"/>
              <w:right w:val="nil"/>
            </w:tcBorders>
            <w:noWrap/>
            <w:vAlign w:val="bottom"/>
            <w:hideMark/>
          </w:tcPr>
          <w:p w14:paraId="2A79701F" w14:textId="77777777" w:rsidR="00A501F8" w:rsidRPr="00A501F8" w:rsidRDefault="00A501F8" w:rsidP="00A501F8">
            <w:pPr>
              <w:spacing w:after="0" w:line="240" w:lineRule="auto"/>
              <w:jc w:val="center"/>
              <w:rPr>
                <w:rFonts w:ascii="Calibri" w:eastAsia="Times New Roman" w:hAnsi="Calibri" w:cs="Calibri"/>
                <w:color w:val="000000"/>
                <w:kern w:val="0"/>
                <w:sz w:val="22"/>
                <w:szCs w:val="22"/>
                <w14:ligatures w14:val="none"/>
              </w:rPr>
            </w:pPr>
            <w:r w:rsidRPr="00A501F8">
              <w:rPr>
                <w:rFonts w:ascii="Calibri" w:eastAsia="Times New Roman" w:hAnsi="Calibri" w:cs="Calibri"/>
                <w:color w:val="000000"/>
                <w:kern w:val="0"/>
                <w:sz w:val="22"/>
                <w:szCs w:val="22"/>
                <w14:ligatures w14:val="none"/>
              </w:rPr>
              <w:t>0.72</w:t>
            </w:r>
          </w:p>
        </w:tc>
        <w:tc>
          <w:tcPr>
            <w:tcW w:w="865" w:type="dxa"/>
            <w:tcBorders>
              <w:top w:val="nil"/>
              <w:left w:val="nil"/>
              <w:bottom w:val="single" w:sz="4" w:space="0" w:color="auto"/>
              <w:right w:val="nil"/>
            </w:tcBorders>
            <w:noWrap/>
            <w:vAlign w:val="bottom"/>
            <w:hideMark/>
          </w:tcPr>
          <w:p w14:paraId="0FCF175A" w14:textId="77777777" w:rsidR="00A501F8" w:rsidRPr="00A501F8" w:rsidRDefault="00A501F8" w:rsidP="00A501F8">
            <w:pPr>
              <w:spacing w:after="0" w:line="240" w:lineRule="auto"/>
              <w:jc w:val="center"/>
              <w:rPr>
                <w:rFonts w:ascii="Calibri" w:eastAsia="Times New Roman" w:hAnsi="Calibri" w:cs="Calibri"/>
                <w:color w:val="000000"/>
                <w:kern w:val="0"/>
                <w:sz w:val="22"/>
                <w:szCs w:val="22"/>
                <w14:ligatures w14:val="none"/>
              </w:rPr>
            </w:pPr>
            <w:r w:rsidRPr="00A501F8">
              <w:rPr>
                <w:rFonts w:ascii="Calibri" w:eastAsia="Times New Roman" w:hAnsi="Calibri" w:cs="Calibri"/>
                <w:color w:val="000000"/>
                <w:kern w:val="0"/>
                <w:sz w:val="22"/>
                <w:szCs w:val="22"/>
                <w14:ligatures w14:val="none"/>
              </w:rPr>
              <w:t>0.31</w:t>
            </w:r>
          </w:p>
        </w:tc>
        <w:tc>
          <w:tcPr>
            <w:tcW w:w="1107" w:type="dxa"/>
            <w:tcBorders>
              <w:top w:val="nil"/>
              <w:left w:val="nil"/>
              <w:bottom w:val="single" w:sz="4" w:space="0" w:color="auto"/>
              <w:right w:val="nil"/>
            </w:tcBorders>
            <w:noWrap/>
            <w:vAlign w:val="bottom"/>
            <w:hideMark/>
          </w:tcPr>
          <w:p w14:paraId="16BF931E" w14:textId="77777777" w:rsidR="00A501F8" w:rsidRPr="00A501F8" w:rsidRDefault="00A501F8" w:rsidP="00A501F8">
            <w:pPr>
              <w:spacing w:after="0" w:line="240" w:lineRule="auto"/>
              <w:jc w:val="center"/>
              <w:rPr>
                <w:rFonts w:ascii="Calibri" w:eastAsia="Times New Roman" w:hAnsi="Calibri" w:cs="Calibri"/>
                <w:color w:val="000000"/>
                <w:kern w:val="0"/>
                <w:sz w:val="22"/>
                <w:szCs w:val="22"/>
                <w14:ligatures w14:val="none"/>
              </w:rPr>
            </w:pPr>
            <w:r w:rsidRPr="00A501F8">
              <w:rPr>
                <w:rFonts w:ascii="Calibri" w:eastAsia="Times New Roman" w:hAnsi="Calibri" w:cs="Calibri"/>
                <w:color w:val="000000"/>
                <w:kern w:val="0"/>
                <w:sz w:val="22"/>
                <w:szCs w:val="22"/>
                <w14:ligatures w14:val="none"/>
              </w:rPr>
              <w:t>-0.45</w:t>
            </w:r>
          </w:p>
        </w:tc>
        <w:tc>
          <w:tcPr>
            <w:tcW w:w="1752" w:type="dxa"/>
            <w:tcBorders>
              <w:top w:val="nil"/>
              <w:left w:val="nil"/>
              <w:bottom w:val="single" w:sz="4" w:space="0" w:color="auto"/>
              <w:right w:val="nil"/>
            </w:tcBorders>
            <w:noWrap/>
            <w:vAlign w:val="bottom"/>
            <w:hideMark/>
          </w:tcPr>
          <w:p w14:paraId="4E7B9AF2" w14:textId="77777777" w:rsidR="00A501F8" w:rsidRPr="00A501F8" w:rsidRDefault="00A501F8" w:rsidP="00A501F8">
            <w:pPr>
              <w:spacing w:after="0" w:line="240" w:lineRule="auto"/>
              <w:jc w:val="center"/>
              <w:rPr>
                <w:rFonts w:ascii="Calibri" w:eastAsia="Times New Roman" w:hAnsi="Calibri" w:cs="Calibri"/>
                <w:color w:val="000000"/>
                <w:kern w:val="0"/>
                <w:sz w:val="22"/>
                <w:szCs w:val="22"/>
                <w14:ligatures w14:val="none"/>
              </w:rPr>
            </w:pPr>
            <w:r w:rsidRPr="00A501F8">
              <w:rPr>
                <w:rFonts w:ascii="Calibri" w:eastAsia="Times New Roman" w:hAnsi="Calibri" w:cs="Calibri"/>
                <w:color w:val="000000"/>
                <w:kern w:val="0"/>
                <w:sz w:val="22"/>
                <w:szCs w:val="22"/>
                <w14:ligatures w14:val="none"/>
              </w:rPr>
              <w:t>-0.46</w:t>
            </w:r>
          </w:p>
        </w:tc>
      </w:tr>
    </w:tbl>
    <w:p w14:paraId="1DCE589E" w14:textId="77777777" w:rsidR="006712A2" w:rsidRDefault="006712A2" w:rsidP="0010200F">
      <w:pPr>
        <w:jc w:val="both"/>
      </w:pPr>
    </w:p>
    <w:p w14:paraId="09F94195" w14:textId="023DF435" w:rsidR="0054361B" w:rsidRDefault="00A501F8" w:rsidP="0010200F">
      <w:pPr>
        <w:jc w:val="both"/>
      </w:pPr>
      <w:r>
        <w:t xml:space="preserve">Results from Table 1 show that there is a strong positive association between current health expenditure and universal health </w:t>
      </w:r>
      <w:r w:rsidR="0069633A">
        <w:t>coverage</w:t>
      </w:r>
      <w:r>
        <w:t xml:space="preserve">, implying that higher investment in health is strongly associated with better service coverage. A weak positive correlation </w:t>
      </w:r>
      <w:r w:rsidR="004031BA">
        <w:t>wa</w:t>
      </w:r>
      <w:r>
        <w:t xml:space="preserve">s also </w:t>
      </w:r>
      <w:r w:rsidR="009E168D">
        <w:t>observed between health expenditure and life expectancy, indicating that higher spending is associated with</w:t>
      </w:r>
      <w:r>
        <w:t xml:space="preserve"> longer life expectancy. In addition to this, increased health expenditure was </w:t>
      </w:r>
      <w:r w:rsidR="004031BA">
        <w:t>found to be moderately associated with lower maternal and infant deaths.</w:t>
      </w:r>
      <w:r w:rsidR="00C70FC2">
        <w:t xml:space="preserve"> This implies that spending more on health improves access to health services, reduces mortality</w:t>
      </w:r>
      <w:r w:rsidR="009E168D">
        <w:t>,</w:t>
      </w:r>
      <w:r w:rsidR="00C70FC2">
        <w:t xml:space="preserve"> and improves life expectancy.</w:t>
      </w:r>
    </w:p>
    <w:p w14:paraId="15F32990" w14:textId="2D1A3C37" w:rsidR="004031BA" w:rsidRPr="0054361B" w:rsidRDefault="004031BA" w:rsidP="0010200F">
      <w:pPr>
        <w:jc w:val="both"/>
      </w:pPr>
      <w:r>
        <w:t xml:space="preserve">A visual plot of how the four health outcomes (UHC_SCI, LE, MMR, and IMR) relate </w:t>
      </w:r>
      <w:r w:rsidR="009E168D">
        <w:t>to CHE</w:t>
      </w:r>
      <w:r>
        <w:t xml:space="preserve"> was </w:t>
      </w:r>
      <w:r w:rsidR="009E168D">
        <w:t>created to show the type of relationship among them</w:t>
      </w:r>
      <w:r>
        <w:t xml:space="preserve"> (see Figure 1).</w:t>
      </w:r>
    </w:p>
    <w:p w14:paraId="4893AE72" w14:textId="4055E0E1" w:rsidR="00F1114C" w:rsidRDefault="00F1114C" w:rsidP="00F1114C">
      <w:pPr>
        <w:jc w:val="center"/>
        <w:rPr>
          <w:b/>
          <w:bCs/>
        </w:rPr>
      </w:pPr>
      <w:r>
        <w:rPr>
          <w:noProof/>
        </w:rPr>
        <w:drawing>
          <wp:inline distT="0" distB="0" distL="0" distR="0" wp14:anchorId="2AA5C390" wp14:editId="10149FAA">
            <wp:extent cx="4650955" cy="3017520"/>
            <wp:effectExtent l="0" t="0" r="0" b="0"/>
            <wp:docPr id="1215560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6557" cy="3034131"/>
                    </a:xfrm>
                    <a:prstGeom prst="rect">
                      <a:avLst/>
                    </a:prstGeom>
                    <a:noFill/>
                    <a:ln>
                      <a:noFill/>
                    </a:ln>
                  </pic:spPr>
                </pic:pic>
              </a:graphicData>
            </a:graphic>
          </wp:inline>
        </w:drawing>
      </w:r>
    </w:p>
    <w:p w14:paraId="1662CC69" w14:textId="4FE45EB7" w:rsidR="00F1114C" w:rsidRPr="005501DF" w:rsidRDefault="00F1114C" w:rsidP="00F1114C">
      <w:pPr>
        <w:jc w:val="center"/>
        <w:rPr>
          <w:rFonts w:ascii="Aptos Narrow" w:eastAsia="Times New Roman" w:hAnsi="Aptos Narrow" w:cs="Times New Roman"/>
          <w:b/>
          <w:bCs/>
          <w:color w:val="0070C0"/>
          <w:kern w:val="0"/>
          <w:sz w:val="22"/>
          <w:szCs w:val="22"/>
          <w14:ligatures w14:val="none"/>
        </w:rPr>
      </w:pPr>
      <w:r w:rsidRPr="005501DF">
        <w:rPr>
          <w:rFonts w:ascii="Aptos Narrow" w:eastAsia="Times New Roman" w:hAnsi="Aptos Narrow" w:cs="Times New Roman"/>
          <w:b/>
          <w:bCs/>
          <w:color w:val="0070C0"/>
          <w:kern w:val="0"/>
          <w:sz w:val="22"/>
          <w:szCs w:val="22"/>
          <w14:ligatures w14:val="none"/>
        </w:rPr>
        <w:t>Figure 1: Relationship between CHE and Key Health Outcomes</w:t>
      </w:r>
    </w:p>
    <w:p w14:paraId="134EA3A5" w14:textId="266EC4FA" w:rsidR="00F9136D" w:rsidRDefault="00F1114C" w:rsidP="0010200F">
      <w:pPr>
        <w:jc w:val="both"/>
      </w:pPr>
      <w:r>
        <w:t xml:space="preserve">Figure 1 </w:t>
      </w:r>
      <w:r w:rsidR="00DE3A79">
        <w:t>shows</w:t>
      </w:r>
      <w:r>
        <w:t xml:space="preserve"> that life expectancy</w:t>
      </w:r>
      <w:r w:rsidR="00DE3A79">
        <w:t xml:space="preserve"> (LE)</w:t>
      </w:r>
      <w:r>
        <w:t xml:space="preserve"> and </w:t>
      </w:r>
      <w:r w:rsidR="00DE3A79">
        <w:t xml:space="preserve">universal health coverage index (UHC_SCI) non-linearly increase </w:t>
      </w:r>
      <w:r w:rsidR="004B3255">
        <w:t>with an increase in current health expenditure (CHE). Similarly,</w:t>
      </w:r>
      <w:r w:rsidR="004031BA">
        <w:t xml:space="preserve"> maternal mortality ratio</w:t>
      </w:r>
      <w:r w:rsidR="004B3255">
        <w:t xml:space="preserve"> (MMR)</w:t>
      </w:r>
      <w:r w:rsidR="004031BA">
        <w:t xml:space="preserve"> and infant mortality ratio</w:t>
      </w:r>
      <w:r w:rsidR="004B3255">
        <w:t xml:space="preserve"> (IMR)</w:t>
      </w:r>
      <w:r w:rsidR="004031BA">
        <w:t xml:space="preserve"> non-linearly decrease </w:t>
      </w:r>
      <w:r w:rsidR="00DE3A79">
        <w:t xml:space="preserve">with an increase in current health expenditure. </w:t>
      </w:r>
      <w:r w:rsidR="00393825">
        <w:t>Due to the</w:t>
      </w:r>
      <w:r w:rsidR="007A7C3C">
        <w:t xml:space="preserve"> nonlinear</w:t>
      </w:r>
      <w:r w:rsidR="00393825">
        <w:t xml:space="preserve"> relationship between CHE and the key health outcomes, </w:t>
      </w:r>
      <w:r w:rsidR="000A288B">
        <w:t>it was assumed that</w:t>
      </w:r>
      <w:r w:rsidR="004031BA">
        <w:t xml:space="preserve"> all</w:t>
      </w:r>
      <w:r w:rsidR="000A288B">
        <w:t xml:space="preserve"> the CHE components</w:t>
      </w:r>
      <w:r w:rsidR="004031BA">
        <w:t xml:space="preserve"> (GGHED, EXT, and PVTD)</w:t>
      </w:r>
      <w:r w:rsidR="000A288B">
        <w:t xml:space="preserve"> </w:t>
      </w:r>
      <w:r w:rsidR="004031BA">
        <w:t xml:space="preserve">are also </w:t>
      </w:r>
      <w:r w:rsidR="000A288B">
        <w:t>nonlinearly correlated with LE, UHC_SCI, MMR</w:t>
      </w:r>
      <w:r w:rsidR="004031BA">
        <w:t>,</w:t>
      </w:r>
      <w:r w:rsidR="000A288B">
        <w:t xml:space="preserve"> and IMR</w:t>
      </w:r>
      <w:r w:rsidR="004031BA">
        <w:t>.</w:t>
      </w:r>
      <w:r w:rsidR="000A288B">
        <w:t xml:space="preserve"> </w:t>
      </w:r>
      <w:r w:rsidR="004031BA">
        <w:t>A</w:t>
      </w:r>
      <w:r w:rsidR="00393825">
        <w:t xml:space="preserve"> </w:t>
      </w:r>
      <w:r w:rsidR="00693482">
        <w:t>generalized additive</w:t>
      </w:r>
      <w:r w:rsidR="00004BCF">
        <w:t xml:space="preserve"> </w:t>
      </w:r>
      <w:r w:rsidR="00393825">
        <w:t xml:space="preserve">regression </w:t>
      </w:r>
      <w:r w:rsidR="00004BCF">
        <w:t>model</w:t>
      </w:r>
      <w:r w:rsidR="004031BA">
        <w:t>,</w:t>
      </w:r>
      <w:r w:rsidR="000A288B">
        <w:t xml:space="preserve"> </w:t>
      </w:r>
      <w:r w:rsidR="004031BA">
        <w:t xml:space="preserve">see </w:t>
      </w:r>
      <w:r w:rsidR="000A288B">
        <w:t>equation (1)</w:t>
      </w:r>
      <w:r w:rsidR="004031BA">
        <w:t>,</w:t>
      </w:r>
      <w:r w:rsidR="000A288B">
        <w:t xml:space="preserve"> </w:t>
      </w:r>
      <w:r w:rsidR="00393825">
        <w:t>was</w:t>
      </w:r>
      <w:r w:rsidR="007A7C3C">
        <w:t xml:space="preserve"> fitted </w:t>
      </w:r>
      <w:r w:rsidR="000A288B">
        <w:t>to the data</w:t>
      </w:r>
      <w:r w:rsidR="004031BA">
        <w:t xml:space="preserve"> to capture the effect the different CHE components have on either LE, UHC_SCI, MMR or IMR</w:t>
      </w:r>
      <w:r w:rsidR="00693482">
        <w:t xml:space="preserve">. </w:t>
      </w:r>
    </w:p>
    <w:p w14:paraId="5C0956BF" w14:textId="313FE5E8" w:rsidR="00F9136D" w:rsidRPr="00DA7107" w:rsidRDefault="000A288B" w:rsidP="00F9136D">
      <w:pPr>
        <w:jc w:val="right"/>
        <w:rPr>
          <w:rFonts w:asciiTheme="majorHAnsi" w:hAnsiTheme="majorHAnsi" w:cstheme="majorHAnsi"/>
          <w:sz w:val="20"/>
          <w:szCs w:val="20"/>
        </w:rPr>
      </w:pPr>
      <w:r w:rsidRPr="00DA7107">
        <w:rPr>
          <w:rFonts w:asciiTheme="majorHAnsi" w:hAnsiTheme="majorHAnsi" w:cstheme="majorHAnsi"/>
          <w:sz w:val="20"/>
          <w:szCs w:val="20"/>
        </w:rPr>
        <w:t>g(E[</w:t>
      </w:r>
      <w:r w:rsidR="007C640A" w:rsidRPr="00DA7107">
        <w:rPr>
          <w:rFonts w:asciiTheme="majorHAnsi" w:hAnsiTheme="majorHAnsi" w:cstheme="majorHAnsi"/>
          <w:sz w:val="20"/>
          <w:szCs w:val="20"/>
        </w:rPr>
        <w:t>KHO</w:t>
      </w:r>
      <w:r w:rsidRPr="00DA7107">
        <w:rPr>
          <w:rFonts w:asciiTheme="majorHAnsi" w:hAnsiTheme="majorHAnsi" w:cstheme="majorHAnsi"/>
          <w:sz w:val="20"/>
          <w:szCs w:val="20"/>
        </w:rPr>
        <w:t>])</w:t>
      </w:r>
      <w:r w:rsidR="00E03C80" w:rsidRPr="00DA7107">
        <w:rPr>
          <w:rFonts w:asciiTheme="majorHAnsi" w:hAnsiTheme="majorHAnsi" w:cstheme="majorHAnsi"/>
          <w:sz w:val="20"/>
          <w:szCs w:val="20"/>
        </w:rPr>
        <w:t xml:space="preserve"> </w:t>
      </w:r>
      <w:r w:rsidR="00F9136D" w:rsidRPr="00DA7107">
        <w:rPr>
          <w:rFonts w:asciiTheme="majorHAnsi" w:hAnsiTheme="majorHAnsi" w:cstheme="majorHAnsi"/>
          <w:sz w:val="20"/>
          <w:szCs w:val="20"/>
        </w:rPr>
        <w:t>=</w:t>
      </w:r>
      <m:oMath>
        <m:r>
          <w:rPr>
            <w:rFonts w:ascii="Cambria Math" w:hAnsi="Cambria Math" w:cstheme="majorHAnsi"/>
            <w:sz w:val="20"/>
            <w:szCs w:val="20"/>
          </w:rPr>
          <m:t xml:space="preserve"> </m:t>
        </m:r>
        <m:sSub>
          <m:sSubPr>
            <m:ctrlPr>
              <w:rPr>
                <w:rFonts w:ascii="Cambria Math" w:hAnsi="Cambria Math" w:cstheme="majorHAnsi"/>
                <w:sz w:val="20"/>
                <w:szCs w:val="20"/>
              </w:rPr>
            </m:ctrlPr>
          </m:sSubPr>
          <m:e>
            <m:r>
              <w:rPr>
                <w:rFonts w:ascii="Cambria Math" w:hAnsi="Cambria Math" w:cstheme="majorHAnsi"/>
                <w:sz w:val="20"/>
                <w:szCs w:val="20"/>
              </w:rPr>
              <m:t>β</m:t>
            </m:r>
          </m:e>
          <m:sub>
            <m:r>
              <w:rPr>
                <w:rFonts w:ascii="Cambria Math" w:hAnsi="Cambria Math" w:cstheme="majorHAnsi"/>
                <w:sz w:val="20"/>
                <w:szCs w:val="20"/>
              </w:rPr>
              <m:t>0</m:t>
            </m:r>
          </m:sub>
        </m:sSub>
        <m:r>
          <w:rPr>
            <w:rFonts w:ascii="Cambria Math" w:hAnsi="Cambria Math" w:cstheme="majorHAnsi"/>
            <w:sz w:val="20"/>
            <w:szCs w:val="20"/>
          </w:rPr>
          <m:t>+</m:t>
        </m:r>
        <m:sSub>
          <m:sSubPr>
            <m:ctrlPr>
              <w:rPr>
                <w:rFonts w:ascii="Cambria Math" w:hAnsi="Cambria Math" w:cstheme="majorHAnsi"/>
                <w:sz w:val="20"/>
                <w:szCs w:val="20"/>
              </w:rPr>
            </m:ctrlPr>
          </m:sSubPr>
          <m:e>
            <m:r>
              <w:rPr>
                <w:rFonts w:ascii="Cambria Math" w:hAnsi="Cambria Math" w:cstheme="majorHAnsi"/>
                <w:sz w:val="20"/>
                <w:szCs w:val="20"/>
              </w:rPr>
              <m:t>f</m:t>
            </m:r>
          </m:e>
          <m:sub>
            <m:r>
              <w:rPr>
                <w:rFonts w:ascii="Cambria Math" w:hAnsi="Cambria Math" w:cstheme="majorHAnsi"/>
                <w:sz w:val="20"/>
                <w:szCs w:val="20"/>
              </w:rPr>
              <m:t>1</m:t>
            </m:r>
          </m:sub>
        </m:sSub>
      </m:oMath>
      <w:r w:rsidR="00F9136D" w:rsidRPr="00DA7107">
        <w:rPr>
          <w:rFonts w:asciiTheme="majorHAnsi" w:hAnsiTheme="majorHAnsi" w:cstheme="majorHAnsi"/>
          <w:sz w:val="20"/>
          <w:szCs w:val="20"/>
        </w:rPr>
        <w:t>(</w:t>
      </w:r>
      <w:r w:rsidRPr="00DA7107">
        <w:rPr>
          <w:rFonts w:asciiTheme="majorHAnsi" w:hAnsiTheme="majorHAnsi" w:cstheme="majorHAnsi"/>
          <w:sz w:val="20"/>
          <w:szCs w:val="20"/>
        </w:rPr>
        <w:t>EXT)+</w:t>
      </w:r>
      <m:oMath>
        <m:sSub>
          <m:sSubPr>
            <m:ctrlPr>
              <w:rPr>
                <w:rFonts w:ascii="Cambria Math" w:hAnsi="Cambria Math" w:cstheme="majorHAnsi"/>
                <w:sz w:val="20"/>
                <w:szCs w:val="20"/>
              </w:rPr>
            </m:ctrlPr>
          </m:sSubPr>
          <m:e>
            <m:r>
              <w:rPr>
                <w:rFonts w:ascii="Cambria Math" w:hAnsi="Cambria Math" w:cstheme="majorHAnsi"/>
                <w:sz w:val="20"/>
                <w:szCs w:val="20"/>
              </w:rPr>
              <m:t>f</m:t>
            </m:r>
          </m:e>
          <m:sub>
            <m:r>
              <w:rPr>
                <w:rFonts w:ascii="Cambria Math" w:hAnsi="Cambria Math" w:cstheme="majorHAnsi"/>
                <w:sz w:val="20"/>
                <w:szCs w:val="20"/>
              </w:rPr>
              <m:t>2</m:t>
            </m:r>
          </m:sub>
        </m:sSub>
      </m:oMath>
      <w:r w:rsidRPr="00DA7107">
        <w:rPr>
          <w:rFonts w:asciiTheme="majorHAnsi" w:hAnsiTheme="majorHAnsi" w:cstheme="majorHAnsi"/>
          <w:sz w:val="20"/>
          <w:szCs w:val="20"/>
        </w:rPr>
        <w:t>(GGHED)+</w:t>
      </w:r>
      <m:oMath>
        <m:sSub>
          <m:sSubPr>
            <m:ctrlPr>
              <w:rPr>
                <w:rFonts w:ascii="Cambria Math" w:hAnsi="Cambria Math" w:cstheme="majorHAnsi"/>
                <w:sz w:val="20"/>
                <w:szCs w:val="20"/>
              </w:rPr>
            </m:ctrlPr>
          </m:sSubPr>
          <m:e>
            <m:r>
              <w:rPr>
                <w:rFonts w:ascii="Cambria Math" w:hAnsi="Cambria Math" w:cstheme="majorHAnsi"/>
                <w:sz w:val="20"/>
                <w:szCs w:val="20"/>
              </w:rPr>
              <m:t>f</m:t>
            </m:r>
          </m:e>
          <m:sub>
            <m:r>
              <w:rPr>
                <w:rFonts w:ascii="Cambria Math" w:hAnsi="Cambria Math" w:cstheme="majorHAnsi"/>
                <w:sz w:val="20"/>
                <w:szCs w:val="20"/>
              </w:rPr>
              <m:t>3</m:t>
            </m:r>
          </m:sub>
        </m:sSub>
      </m:oMath>
      <w:r w:rsidRPr="00DA7107">
        <w:rPr>
          <w:rFonts w:asciiTheme="majorHAnsi" w:hAnsiTheme="majorHAnsi" w:cstheme="majorHAnsi"/>
          <w:sz w:val="20"/>
          <w:szCs w:val="20"/>
        </w:rPr>
        <w:t>(PVTD)+e</w:t>
      </w:r>
      <w:r w:rsidR="00F9136D" w:rsidRPr="00DA7107">
        <w:rPr>
          <w:rFonts w:asciiTheme="majorHAnsi" w:hAnsiTheme="majorHAnsi" w:cstheme="majorHAnsi"/>
          <w:sz w:val="20"/>
          <w:szCs w:val="20"/>
        </w:rPr>
        <w:tab/>
      </w:r>
      <w:r w:rsidR="00E03C80" w:rsidRPr="00DA7107">
        <w:rPr>
          <w:rFonts w:asciiTheme="majorHAnsi" w:hAnsiTheme="majorHAnsi" w:cstheme="majorHAnsi"/>
          <w:sz w:val="20"/>
          <w:szCs w:val="20"/>
        </w:rPr>
        <w:tab/>
      </w:r>
      <w:r w:rsidR="00F9136D" w:rsidRPr="00DA7107">
        <w:rPr>
          <w:rFonts w:asciiTheme="majorHAnsi" w:hAnsiTheme="majorHAnsi" w:cstheme="majorHAnsi"/>
          <w:sz w:val="20"/>
          <w:szCs w:val="20"/>
        </w:rPr>
        <w:tab/>
      </w:r>
      <w:r w:rsidR="00F9136D" w:rsidRPr="00DA7107">
        <w:rPr>
          <w:rFonts w:asciiTheme="majorHAnsi" w:hAnsiTheme="majorHAnsi" w:cstheme="majorHAnsi"/>
          <w:sz w:val="20"/>
          <w:szCs w:val="20"/>
        </w:rPr>
        <w:tab/>
        <w:t xml:space="preserve">   </w:t>
      </w:r>
      <w:proofErr w:type="gramStart"/>
      <w:r w:rsidR="00F9136D" w:rsidRPr="00DA7107">
        <w:rPr>
          <w:rFonts w:asciiTheme="majorHAnsi" w:hAnsiTheme="majorHAnsi" w:cstheme="majorHAnsi"/>
          <w:sz w:val="20"/>
          <w:szCs w:val="20"/>
        </w:rPr>
        <w:t xml:space="preserve">   (</w:t>
      </w:r>
      <w:proofErr w:type="gramEnd"/>
      <w:r w:rsidR="00F9136D" w:rsidRPr="00DA7107">
        <w:rPr>
          <w:rFonts w:asciiTheme="majorHAnsi" w:hAnsiTheme="majorHAnsi" w:cstheme="majorHAnsi"/>
          <w:sz w:val="20"/>
          <w:szCs w:val="20"/>
        </w:rPr>
        <w:t>1)</w:t>
      </w:r>
    </w:p>
    <w:p w14:paraId="45527E86" w14:textId="77777777" w:rsidR="006712A2" w:rsidRDefault="00C947E5" w:rsidP="006712A2">
      <w:pPr>
        <w:jc w:val="both"/>
      </w:pPr>
      <w:r>
        <w:t xml:space="preserve">where </w:t>
      </w:r>
      <w:r w:rsidR="007C640A">
        <w:t xml:space="preserve">KHO is the key health outcome: LE, MMR, IMR, UHC_SCI, </w:t>
      </w:r>
      <w:r>
        <w:t xml:space="preserve">g(.) is a link function, </w:t>
      </w:r>
      <m:oMath>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oMath>
      <w:r>
        <w:t xml:space="preserve"> is a smooth function, e is the error term.</w:t>
      </w:r>
      <w:r w:rsidR="004031BA">
        <w:t xml:space="preserve"> </w:t>
      </w:r>
    </w:p>
    <w:p w14:paraId="2D844307" w14:textId="77777777" w:rsidR="006712A2" w:rsidRDefault="006712A2" w:rsidP="004031BA"/>
    <w:p w14:paraId="4BF58EF9" w14:textId="08CCA28A" w:rsidR="007A7C3C" w:rsidRDefault="00693482" w:rsidP="004031BA">
      <w:r>
        <w:t xml:space="preserve">The results </w:t>
      </w:r>
      <w:r w:rsidR="004031BA">
        <w:t>of the four fitted models are</w:t>
      </w:r>
      <w:r>
        <w:t xml:space="preserve"> shown </w:t>
      </w:r>
      <w:r w:rsidR="00F9136D">
        <w:t xml:space="preserve">in </w:t>
      </w:r>
      <w:r>
        <w:t xml:space="preserve">Table </w:t>
      </w:r>
      <w:r w:rsidR="004031BA">
        <w:t>2.</w:t>
      </w:r>
    </w:p>
    <w:tbl>
      <w:tblPr>
        <w:tblW w:w="8382" w:type="dxa"/>
        <w:tblInd w:w="360" w:type="dxa"/>
        <w:tblLook w:val="04A0" w:firstRow="1" w:lastRow="0" w:firstColumn="1" w:lastColumn="0" w:noHBand="0" w:noVBand="1"/>
      </w:tblPr>
      <w:tblGrid>
        <w:gridCol w:w="3150"/>
        <w:gridCol w:w="1122"/>
        <w:gridCol w:w="1308"/>
        <w:gridCol w:w="1260"/>
        <w:gridCol w:w="1460"/>
        <w:gridCol w:w="82"/>
      </w:tblGrid>
      <w:tr w:rsidR="00533EB5" w:rsidRPr="00533EB5" w14:paraId="7947C0B4" w14:textId="77777777" w:rsidTr="006712A2">
        <w:trPr>
          <w:trHeight w:val="288"/>
        </w:trPr>
        <w:tc>
          <w:tcPr>
            <w:tcW w:w="8382" w:type="dxa"/>
            <w:gridSpan w:val="6"/>
            <w:tcBorders>
              <w:top w:val="nil"/>
              <w:left w:val="nil"/>
              <w:bottom w:val="single" w:sz="4" w:space="0" w:color="auto"/>
              <w:right w:val="nil"/>
            </w:tcBorders>
            <w:noWrap/>
            <w:vAlign w:val="bottom"/>
            <w:hideMark/>
          </w:tcPr>
          <w:p w14:paraId="6DAF4DC7" w14:textId="332BAF14" w:rsidR="00533EB5" w:rsidRPr="00533EB5" w:rsidRDefault="00533EB5" w:rsidP="00533EB5">
            <w:pPr>
              <w:spacing w:after="0" w:line="240" w:lineRule="auto"/>
              <w:rPr>
                <w:rFonts w:ascii="Calibri" w:eastAsia="Times New Roman" w:hAnsi="Calibri" w:cs="Calibri"/>
                <w:b/>
                <w:bCs/>
                <w:color w:val="000000"/>
                <w:kern w:val="0"/>
                <w14:ligatures w14:val="none"/>
              </w:rPr>
            </w:pPr>
            <w:r w:rsidRPr="005501DF">
              <w:rPr>
                <w:rFonts w:ascii="Aptos Narrow" w:eastAsia="Times New Roman" w:hAnsi="Aptos Narrow" w:cs="Times New Roman"/>
                <w:b/>
                <w:bCs/>
                <w:color w:val="0070C0"/>
                <w:kern w:val="0"/>
                <w:sz w:val="22"/>
                <w:szCs w:val="22"/>
                <w14:ligatures w14:val="none"/>
              </w:rPr>
              <w:t xml:space="preserve">Table </w:t>
            </w:r>
            <w:r w:rsidR="004031BA" w:rsidRPr="005501DF">
              <w:rPr>
                <w:rFonts w:ascii="Aptos Narrow" w:eastAsia="Times New Roman" w:hAnsi="Aptos Narrow" w:cs="Times New Roman"/>
                <w:b/>
                <w:bCs/>
                <w:color w:val="0070C0"/>
                <w:kern w:val="0"/>
                <w:sz w:val="22"/>
                <w:szCs w:val="22"/>
                <w14:ligatures w14:val="none"/>
              </w:rPr>
              <w:t>2</w:t>
            </w:r>
            <w:r w:rsidRPr="005501DF">
              <w:rPr>
                <w:rFonts w:ascii="Aptos Narrow" w:eastAsia="Times New Roman" w:hAnsi="Aptos Narrow" w:cs="Times New Roman"/>
                <w:b/>
                <w:bCs/>
                <w:color w:val="0070C0"/>
                <w:kern w:val="0"/>
                <w:sz w:val="22"/>
                <w:szCs w:val="22"/>
                <w14:ligatures w14:val="none"/>
              </w:rPr>
              <w:t xml:space="preserve">: </w:t>
            </w:r>
            <w:r w:rsidR="00EE37AC" w:rsidRPr="005501DF">
              <w:rPr>
                <w:rFonts w:ascii="Aptos Narrow" w:eastAsia="Times New Roman" w:hAnsi="Aptos Narrow" w:cs="Times New Roman"/>
                <w:b/>
                <w:bCs/>
                <w:color w:val="0070C0"/>
                <w:kern w:val="0"/>
                <w:sz w:val="22"/>
                <w:szCs w:val="22"/>
                <w14:ligatures w14:val="none"/>
              </w:rPr>
              <w:t>GAM Results</w:t>
            </w:r>
            <w:r w:rsidR="00C70FC2" w:rsidRPr="005501DF">
              <w:rPr>
                <w:rFonts w:ascii="Aptos Narrow" w:eastAsia="Times New Roman" w:hAnsi="Aptos Narrow" w:cs="Times New Roman"/>
                <w:b/>
                <w:bCs/>
                <w:color w:val="0070C0"/>
                <w:kern w:val="0"/>
                <w:sz w:val="22"/>
                <w:szCs w:val="22"/>
                <w14:ligatures w14:val="none"/>
              </w:rPr>
              <w:t xml:space="preserve"> on effect of CHE components on Specific Key Health Outcomes</w:t>
            </w:r>
          </w:p>
        </w:tc>
      </w:tr>
      <w:tr w:rsidR="006C4DF5" w:rsidRPr="00533EB5" w14:paraId="59831BAE" w14:textId="77777777" w:rsidTr="006712A2">
        <w:trPr>
          <w:gridAfter w:val="1"/>
          <w:wAfter w:w="82" w:type="dxa"/>
          <w:trHeight w:val="348"/>
        </w:trPr>
        <w:tc>
          <w:tcPr>
            <w:tcW w:w="3150" w:type="dxa"/>
            <w:tcBorders>
              <w:top w:val="nil"/>
              <w:left w:val="nil"/>
              <w:bottom w:val="single" w:sz="4" w:space="0" w:color="auto"/>
              <w:right w:val="nil"/>
            </w:tcBorders>
            <w:vAlign w:val="center"/>
            <w:hideMark/>
          </w:tcPr>
          <w:p w14:paraId="50B8AB81" w14:textId="77777777" w:rsidR="00EE37AC" w:rsidRPr="006712A2" w:rsidRDefault="00EE37AC" w:rsidP="00EE37AC">
            <w:pPr>
              <w:spacing w:after="0" w:line="240" w:lineRule="auto"/>
              <w:rPr>
                <w:rFonts w:ascii="Calibri" w:eastAsia="Times New Roman" w:hAnsi="Calibri" w:cs="Calibri"/>
                <w:b/>
                <w:bCs/>
                <w:color w:val="000000"/>
                <w:kern w:val="0"/>
                <w:sz w:val="22"/>
                <w:szCs w:val="22"/>
                <w14:ligatures w14:val="none"/>
              </w:rPr>
            </w:pPr>
            <w:r w:rsidRPr="006712A2">
              <w:rPr>
                <w:rFonts w:ascii="Calibri" w:eastAsia="Times New Roman" w:hAnsi="Calibri" w:cs="Calibri"/>
                <w:b/>
                <w:bCs/>
                <w:color w:val="000000"/>
                <w:kern w:val="0"/>
                <w:sz w:val="22"/>
                <w:szCs w:val="22"/>
                <w14:ligatures w14:val="none"/>
              </w:rPr>
              <w:t>Key Health Variable</w:t>
            </w:r>
          </w:p>
        </w:tc>
        <w:tc>
          <w:tcPr>
            <w:tcW w:w="1122" w:type="dxa"/>
            <w:tcBorders>
              <w:top w:val="nil"/>
              <w:left w:val="nil"/>
              <w:bottom w:val="single" w:sz="4" w:space="0" w:color="auto"/>
              <w:right w:val="nil"/>
            </w:tcBorders>
            <w:vAlign w:val="center"/>
            <w:hideMark/>
          </w:tcPr>
          <w:p w14:paraId="57986647" w14:textId="6A95F4C7" w:rsidR="00EE37AC" w:rsidRPr="006712A2" w:rsidRDefault="007C640A" w:rsidP="00EE37AC">
            <w:pPr>
              <w:spacing w:after="0" w:line="240" w:lineRule="auto"/>
              <w:jc w:val="center"/>
              <w:rPr>
                <w:rFonts w:ascii="Calibri" w:eastAsia="Times New Roman" w:hAnsi="Calibri" w:cs="Calibri"/>
                <w:b/>
                <w:bCs/>
                <w:color w:val="000000"/>
                <w:kern w:val="0"/>
                <w:sz w:val="22"/>
                <w:szCs w:val="22"/>
                <w14:ligatures w14:val="none"/>
              </w:rPr>
            </w:pPr>
            <w:r w:rsidRPr="006712A2">
              <w:rPr>
                <w:rFonts w:ascii="Calibri" w:eastAsia="Times New Roman" w:hAnsi="Calibri" w:cs="Calibri"/>
                <w:b/>
                <w:bCs/>
                <w:color w:val="000000"/>
                <w:kern w:val="0"/>
                <w:sz w:val="22"/>
                <w:szCs w:val="22"/>
                <w14:ligatures w14:val="none"/>
              </w:rPr>
              <w:t>EXT</w:t>
            </w:r>
          </w:p>
        </w:tc>
        <w:tc>
          <w:tcPr>
            <w:tcW w:w="1308" w:type="dxa"/>
            <w:tcBorders>
              <w:top w:val="nil"/>
              <w:left w:val="nil"/>
              <w:bottom w:val="single" w:sz="4" w:space="0" w:color="auto"/>
              <w:right w:val="nil"/>
            </w:tcBorders>
            <w:vAlign w:val="center"/>
            <w:hideMark/>
          </w:tcPr>
          <w:p w14:paraId="0C9899A6" w14:textId="4468BE13" w:rsidR="00EE37AC" w:rsidRPr="006712A2" w:rsidRDefault="007C640A" w:rsidP="00EE37AC">
            <w:pPr>
              <w:spacing w:after="0" w:line="240" w:lineRule="auto"/>
              <w:jc w:val="center"/>
              <w:rPr>
                <w:rFonts w:ascii="Calibri" w:eastAsia="Times New Roman" w:hAnsi="Calibri" w:cs="Calibri"/>
                <w:b/>
                <w:bCs/>
                <w:color w:val="000000"/>
                <w:kern w:val="0"/>
                <w:sz w:val="22"/>
                <w:szCs w:val="22"/>
                <w14:ligatures w14:val="none"/>
              </w:rPr>
            </w:pPr>
            <w:r w:rsidRPr="006712A2">
              <w:rPr>
                <w:rFonts w:ascii="Calibri" w:eastAsia="Times New Roman" w:hAnsi="Calibri" w:cs="Calibri"/>
                <w:b/>
                <w:bCs/>
                <w:color w:val="000000"/>
                <w:kern w:val="0"/>
                <w:sz w:val="22"/>
                <w:szCs w:val="22"/>
                <w14:ligatures w14:val="none"/>
              </w:rPr>
              <w:t>GGHED</w:t>
            </w:r>
          </w:p>
        </w:tc>
        <w:tc>
          <w:tcPr>
            <w:tcW w:w="1260" w:type="dxa"/>
            <w:tcBorders>
              <w:top w:val="nil"/>
              <w:left w:val="nil"/>
              <w:bottom w:val="single" w:sz="4" w:space="0" w:color="auto"/>
              <w:right w:val="nil"/>
            </w:tcBorders>
            <w:vAlign w:val="center"/>
            <w:hideMark/>
          </w:tcPr>
          <w:p w14:paraId="554B1F57" w14:textId="4B761DF0" w:rsidR="00EE37AC" w:rsidRPr="006712A2" w:rsidRDefault="007C640A" w:rsidP="007C640A">
            <w:pPr>
              <w:spacing w:after="0" w:line="240" w:lineRule="auto"/>
              <w:jc w:val="center"/>
              <w:rPr>
                <w:rFonts w:ascii="Calibri" w:eastAsia="Times New Roman" w:hAnsi="Calibri" w:cs="Calibri"/>
                <w:b/>
                <w:bCs/>
                <w:color w:val="000000"/>
                <w:kern w:val="0"/>
                <w:sz w:val="22"/>
                <w:szCs w:val="22"/>
                <w14:ligatures w14:val="none"/>
              </w:rPr>
            </w:pPr>
            <w:r w:rsidRPr="006712A2">
              <w:rPr>
                <w:rFonts w:ascii="Calibri" w:eastAsia="Times New Roman" w:hAnsi="Calibri" w:cs="Calibri"/>
                <w:b/>
                <w:bCs/>
                <w:color w:val="000000"/>
                <w:kern w:val="0"/>
                <w:sz w:val="22"/>
                <w:szCs w:val="22"/>
                <w14:ligatures w14:val="none"/>
              </w:rPr>
              <w:t>PVTD</w:t>
            </w:r>
          </w:p>
        </w:tc>
        <w:tc>
          <w:tcPr>
            <w:tcW w:w="1460" w:type="dxa"/>
            <w:tcBorders>
              <w:top w:val="nil"/>
              <w:left w:val="nil"/>
              <w:bottom w:val="single" w:sz="4" w:space="0" w:color="auto"/>
              <w:right w:val="nil"/>
            </w:tcBorders>
            <w:vAlign w:val="center"/>
            <w:hideMark/>
          </w:tcPr>
          <w:p w14:paraId="66A6ED98" w14:textId="77777777" w:rsidR="004B3255" w:rsidRPr="006712A2" w:rsidRDefault="007C640A" w:rsidP="00EE37AC">
            <w:pPr>
              <w:spacing w:after="0" w:line="240" w:lineRule="auto"/>
              <w:jc w:val="both"/>
              <w:rPr>
                <w:rFonts w:ascii="Calibri" w:eastAsia="Times New Roman" w:hAnsi="Calibri" w:cs="Calibri"/>
                <w:b/>
                <w:bCs/>
                <w:color w:val="000000"/>
                <w:kern w:val="0"/>
                <w:sz w:val="22"/>
                <w:szCs w:val="22"/>
                <w14:ligatures w14:val="none"/>
              </w:rPr>
            </w:pPr>
            <w:r w:rsidRPr="006712A2">
              <w:rPr>
                <w:rFonts w:ascii="Calibri" w:eastAsia="Times New Roman" w:hAnsi="Calibri" w:cs="Calibri"/>
                <w:b/>
                <w:bCs/>
                <w:color w:val="000000"/>
                <w:kern w:val="0"/>
                <w:sz w:val="22"/>
                <w:szCs w:val="22"/>
                <w14:ligatures w14:val="none"/>
              </w:rPr>
              <w:t xml:space="preserve">Explained </w:t>
            </w:r>
          </w:p>
          <w:p w14:paraId="3DFE22A0" w14:textId="560A5D37" w:rsidR="00EE37AC" w:rsidRPr="006712A2" w:rsidRDefault="00C70FC2" w:rsidP="00EE37AC">
            <w:pPr>
              <w:spacing w:after="0" w:line="240" w:lineRule="auto"/>
              <w:jc w:val="both"/>
              <w:rPr>
                <w:rFonts w:ascii="Calibri" w:eastAsia="Times New Roman" w:hAnsi="Calibri" w:cs="Calibri"/>
                <w:b/>
                <w:bCs/>
                <w:color w:val="000000"/>
                <w:kern w:val="0"/>
                <w:sz w:val="22"/>
                <w:szCs w:val="22"/>
                <w14:ligatures w14:val="none"/>
              </w:rPr>
            </w:pPr>
            <w:proofErr w:type="gramStart"/>
            <w:r w:rsidRPr="006712A2">
              <w:rPr>
                <w:rFonts w:ascii="Calibri" w:eastAsia="Times New Roman" w:hAnsi="Calibri" w:cs="Calibri"/>
                <w:b/>
                <w:bCs/>
                <w:color w:val="000000"/>
                <w:kern w:val="0"/>
                <w:sz w:val="22"/>
                <w:szCs w:val="22"/>
                <w14:ligatures w14:val="none"/>
              </w:rPr>
              <w:t>Deviance</w:t>
            </w:r>
            <w:r w:rsidR="007C640A" w:rsidRPr="006712A2">
              <w:rPr>
                <w:rFonts w:ascii="Calibri" w:eastAsia="Times New Roman" w:hAnsi="Calibri" w:cs="Calibri"/>
                <w:b/>
                <w:bCs/>
                <w:color w:val="000000"/>
                <w:kern w:val="0"/>
                <w:sz w:val="22"/>
                <w:szCs w:val="22"/>
                <w14:ligatures w14:val="none"/>
              </w:rPr>
              <w:t>(</w:t>
            </w:r>
            <w:proofErr w:type="gramEnd"/>
            <w:r w:rsidR="007C640A" w:rsidRPr="006712A2">
              <w:rPr>
                <w:rFonts w:ascii="Calibri" w:eastAsia="Times New Roman" w:hAnsi="Calibri" w:cs="Calibri"/>
                <w:b/>
                <w:bCs/>
                <w:color w:val="000000"/>
                <w:kern w:val="0"/>
                <w:sz w:val="22"/>
                <w:szCs w:val="22"/>
                <w14:ligatures w14:val="none"/>
              </w:rPr>
              <w:t>%)</w:t>
            </w:r>
          </w:p>
        </w:tc>
      </w:tr>
      <w:tr w:rsidR="006C4DF5" w:rsidRPr="00533EB5" w14:paraId="64870FAD" w14:textId="77777777" w:rsidTr="006712A2">
        <w:trPr>
          <w:gridAfter w:val="1"/>
          <w:wAfter w:w="82" w:type="dxa"/>
          <w:trHeight w:val="312"/>
        </w:trPr>
        <w:tc>
          <w:tcPr>
            <w:tcW w:w="3150" w:type="dxa"/>
            <w:tcBorders>
              <w:top w:val="nil"/>
              <w:left w:val="nil"/>
              <w:bottom w:val="nil"/>
              <w:right w:val="nil"/>
            </w:tcBorders>
            <w:vAlign w:val="center"/>
            <w:hideMark/>
          </w:tcPr>
          <w:p w14:paraId="15C9CDF6" w14:textId="77777777" w:rsidR="00EE37AC" w:rsidRPr="006712A2" w:rsidRDefault="00EE37AC" w:rsidP="00EE37AC">
            <w:pPr>
              <w:spacing w:after="0" w:line="240" w:lineRule="auto"/>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Life Expectancy (LE)</w:t>
            </w:r>
          </w:p>
        </w:tc>
        <w:tc>
          <w:tcPr>
            <w:tcW w:w="1122" w:type="dxa"/>
            <w:tcBorders>
              <w:top w:val="nil"/>
              <w:left w:val="nil"/>
              <w:bottom w:val="nil"/>
              <w:right w:val="nil"/>
            </w:tcBorders>
            <w:vAlign w:val="center"/>
          </w:tcPr>
          <w:p w14:paraId="79EF117B" w14:textId="66B3D62E"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6.447</w:t>
            </w:r>
            <w:r w:rsidR="006C4DF5" w:rsidRPr="006712A2">
              <w:rPr>
                <w:rFonts w:ascii="Calibri" w:eastAsia="Times New Roman" w:hAnsi="Calibri" w:cs="Calibri"/>
                <w:color w:val="000000"/>
                <w:kern w:val="0"/>
                <w:sz w:val="22"/>
                <w:szCs w:val="22"/>
                <w14:ligatures w14:val="none"/>
              </w:rPr>
              <w:t>***</w:t>
            </w:r>
          </w:p>
        </w:tc>
        <w:tc>
          <w:tcPr>
            <w:tcW w:w="1308" w:type="dxa"/>
            <w:tcBorders>
              <w:top w:val="nil"/>
              <w:left w:val="nil"/>
              <w:bottom w:val="nil"/>
              <w:right w:val="nil"/>
            </w:tcBorders>
            <w:vAlign w:val="center"/>
          </w:tcPr>
          <w:p w14:paraId="637EA7F3" w14:textId="3FD57C09"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7.975</w:t>
            </w:r>
            <w:r w:rsidR="006C4DF5" w:rsidRPr="006712A2">
              <w:rPr>
                <w:rFonts w:ascii="Calibri" w:eastAsia="Times New Roman" w:hAnsi="Calibri" w:cs="Calibri"/>
                <w:color w:val="000000"/>
                <w:kern w:val="0"/>
                <w:sz w:val="22"/>
                <w:szCs w:val="22"/>
                <w14:ligatures w14:val="none"/>
              </w:rPr>
              <w:t>***</w:t>
            </w:r>
          </w:p>
        </w:tc>
        <w:tc>
          <w:tcPr>
            <w:tcW w:w="1260" w:type="dxa"/>
            <w:tcBorders>
              <w:top w:val="nil"/>
              <w:left w:val="nil"/>
              <w:bottom w:val="nil"/>
              <w:right w:val="nil"/>
            </w:tcBorders>
            <w:vAlign w:val="center"/>
          </w:tcPr>
          <w:p w14:paraId="0CFDF052" w14:textId="5FD42B24"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5.440</w:t>
            </w:r>
            <w:r w:rsidR="006C4DF5" w:rsidRPr="006712A2">
              <w:rPr>
                <w:rFonts w:ascii="Calibri" w:eastAsia="Times New Roman" w:hAnsi="Calibri" w:cs="Calibri"/>
                <w:color w:val="000000"/>
                <w:kern w:val="0"/>
                <w:sz w:val="22"/>
                <w:szCs w:val="22"/>
                <w14:ligatures w14:val="none"/>
              </w:rPr>
              <w:t>***</w:t>
            </w:r>
          </w:p>
        </w:tc>
        <w:tc>
          <w:tcPr>
            <w:tcW w:w="1460" w:type="dxa"/>
            <w:tcBorders>
              <w:top w:val="nil"/>
              <w:left w:val="nil"/>
              <w:bottom w:val="nil"/>
              <w:right w:val="nil"/>
            </w:tcBorders>
            <w:vAlign w:val="center"/>
          </w:tcPr>
          <w:p w14:paraId="04F92181" w14:textId="1FEA1B98"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30.2</w:t>
            </w:r>
          </w:p>
        </w:tc>
      </w:tr>
      <w:tr w:rsidR="006C4DF5" w:rsidRPr="00533EB5" w14:paraId="24BBD30F" w14:textId="77777777" w:rsidTr="006712A2">
        <w:trPr>
          <w:gridAfter w:val="1"/>
          <w:wAfter w:w="82" w:type="dxa"/>
          <w:trHeight w:val="414"/>
        </w:trPr>
        <w:tc>
          <w:tcPr>
            <w:tcW w:w="3150" w:type="dxa"/>
            <w:tcBorders>
              <w:top w:val="nil"/>
              <w:left w:val="nil"/>
              <w:bottom w:val="nil"/>
              <w:right w:val="nil"/>
            </w:tcBorders>
            <w:vAlign w:val="center"/>
            <w:hideMark/>
          </w:tcPr>
          <w:p w14:paraId="2C715A6F" w14:textId="41FD4A64" w:rsidR="00EE37AC" w:rsidRPr="006712A2" w:rsidRDefault="00EE37AC" w:rsidP="00EE37AC">
            <w:pPr>
              <w:spacing w:after="0" w:line="240" w:lineRule="auto"/>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Maternal Mortality Ratio (</w:t>
            </w:r>
            <w:r w:rsidR="00A420C2" w:rsidRPr="006712A2">
              <w:rPr>
                <w:rFonts w:ascii="Calibri" w:eastAsia="Times New Roman" w:hAnsi="Calibri" w:cs="Calibri"/>
                <w:color w:val="000000"/>
                <w:kern w:val="0"/>
                <w:sz w:val="22"/>
                <w:szCs w:val="22"/>
                <w14:ligatures w14:val="none"/>
              </w:rPr>
              <w:t>M</w:t>
            </w:r>
            <w:r w:rsidRPr="006712A2">
              <w:rPr>
                <w:rFonts w:ascii="Calibri" w:eastAsia="Times New Roman" w:hAnsi="Calibri" w:cs="Calibri"/>
                <w:color w:val="000000"/>
                <w:kern w:val="0"/>
                <w:sz w:val="22"/>
                <w:szCs w:val="22"/>
                <w14:ligatures w14:val="none"/>
              </w:rPr>
              <w:t>MR)</w:t>
            </w:r>
          </w:p>
        </w:tc>
        <w:tc>
          <w:tcPr>
            <w:tcW w:w="1122" w:type="dxa"/>
            <w:tcBorders>
              <w:top w:val="nil"/>
              <w:left w:val="nil"/>
              <w:bottom w:val="nil"/>
              <w:right w:val="nil"/>
            </w:tcBorders>
            <w:vAlign w:val="center"/>
          </w:tcPr>
          <w:p w14:paraId="13A70E19" w14:textId="40ED3F65"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3.839</w:t>
            </w:r>
            <w:r w:rsidR="006C4DF5" w:rsidRPr="006712A2">
              <w:rPr>
                <w:rFonts w:ascii="Calibri" w:eastAsia="Times New Roman" w:hAnsi="Calibri" w:cs="Calibri"/>
                <w:color w:val="000000"/>
                <w:kern w:val="0"/>
                <w:sz w:val="22"/>
                <w:szCs w:val="22"/>
                <w14:ligatures w14:val="none"/>
              </w:rPr>
              <w:t>***</w:t>
            </w:r>
          </w:p>
        </w:tc>
        <w:tc>
          <w:tcPr>
            <w:tcW w:w="1308" w:type="dxa"/>
            <w:tcBorders>
              <w:top w:val="nil"/>
              <w:left w:val="nil"/>
              <w:bottom w:val="nil"/>
              <w:right w:val="nil"/>
            </w:tcBorders>
            <w:vAlign w:val="center"/>
          </w:tcPr>
          <w:p w14:paraId="0AD48A49" w14:textId="44ACD85A"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8.692</w:t>
            </w:r>
            <w:r w:rsidR="006C4DF5" w:rsidRPr="006712A2">
              <w:rPr>
                <w:rFonts w:ascii="Calibri" w:eastAsia="Times New Roman" w:hAnsi="Calibri" w:cs="Calibri"/>
                <w:color w:val="000000"/>
                <w:kern w:val="0"/>
                <w:sz w:val="22"/>
                <w:szCs w:val="22"/>
                <w14:ligatures w14:val="none"/>
              </w:rPr>
              <w:t>***</w:t>
            </w:r>
          </w:p>
        </w:tc>
        <w:tc>
          <w:tcPr>
            <w:tcW w:w="1260" w:type="dxa"/>
            <w:tcBorders>
              <w:top w:val="nil"/>
              <w:left w:val="nil"/>
              <w:bottom w:val="nil"/>
              <w:right w:val="nil"/>
            </w:tcBorders>
            <w:vAlign w:val="center"/>
          </w:tcPr>
          <w:p w14:paraId="16C9C4A6" w14:textId="370116D3"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8.130</w:t>
            </w:r>
            <w:r w:rsidR="006C4DF5" w:rsidRPr="006712A2">
              <w:rPr>
                <w:rFonts w:ascii="Calibri" w:eastAsia="Times New Roman" w:hAnsi="Calibri" w:cs="Calibri"/>
                <w:color w:val="000000"/>
                <w:kern w:val="0"/>
                <w:sz w:val="22"/>
                <w:szCs w:val="22"/>
                <w14:ligatures w14:val="none"/>
              </w:rPr>
              <w:t>***</w:t>
            </w:r>
          </w:p>
        </w:tc>
        <w:tc>
          <w:tcPr>
            <w:tcW w:w="1460" w:type="dxa"/>
            <w:tcBorders>
              <w:top w:val="nil"/>
              <w:left w:val="nil"/>
              <w:bottom w:val="nil"/>
              <w:right w:val="nil"/>
            </w:tcBorders>
            <w:vAlign w:val="center"/>
          </w:tcPr>
          <w:p w14:paraId="5589DBA3" w14:textId="31D9FEE5"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40.3</w:t>
            </w:r>
          </w:p>
        </w:tc>
      </w:tr>
      <w:tr w:rsidR="006C4DF5" w:rsidRPr="00533EB5" w14:paraId="021E4970" w14:textId="77777777" w:rsidTr="006712A2">
        <w:trPr>
          <w:gridAfter w:val="1"/>
          <w:wAfter w:w="82" w:type="dxa"/>
          <w:trHeight w:val="624"/>
        </w:trPr>
        <w:tc>
          <w:tcPr>
            <w:tcW w:w="3150" w:type="dxa"/>
            <w:tcBorders>
              <w:top w:val="nil"/>
              <w:left w:val="nil"/>
              <w:bottom w:val="nil"/>
              <w:right w:val="nil"/>
            </w:tcBorders>
            <w:vAlign w:val="center"/>
            <w:hideMark/>
          </w:tcPr>
          <w:p w14:paraId="549CADEE" w14:textId="77777777" w:rsidR="00EE37AC" w:rsidRPr="006712A2" w:rsidRDefault="00EE37AC" w:rsidP="00EE37AC">
            <w:pPr>
              <w:spacing w:after="0" w:line="240" w:lineRule="auto"/>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Infant Mortality Rate (IMR)</w:t>
            </w:r>
          </w:p>
        </w:tc>
        <w:tc>
          <w:tcPr>
            <w:tcW w:w="1122" w:type="dxa"/>
            <w:tcBorders>
              <w:top w:val="nil"/>
              <w:left w:val="nil"/>
              <w:bottom w:val="nil"/>
              <w:right w:val="nil"/>
            </w:tcBorders>
            <w:vAlign w:val="center"/>
          </w:tcPr>
          <w:p w14:paraId="19C9683E" w14:textId="0AEA8871"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5.363</w:t>
            </w:r>
            <w:r w:rsidR="006C4DF5" w:rsidRPr="006712A2">
              <w:rPr>
                <w:rFonts w:ascii="Calibri" w:eastAsia="Times New Roman" w:hAnsi="Calibri" w:cs="Calibri"/>
                <w:color w:val="000000"/>
                <w:kern w:val="0"/>
                <w:sz w:val="22"/>
                <w:szCs w:val="22"/>
                <w14:ligatures w14:val="none"/>
              </w:rPr>
              <w:t>***</w:t>
            </w:r>
          </w:p>
        </w:tc>
        <w:tc>
          <w:tcPr>
            <w:tcW w:w="1308" w:type="dxa"/>
            <w:tcBorders>
              <w:top w:val="nil"/>
              <w:left w:val="nil"/>
              <w:bottom w:val="nil"/>
              <w:right w:val="nil"/>
            </w:tcBorders>
            <w:vAlign w:val="center"/>
          </w:tcPr>
          <w:p w14:paraId="5EB0D1C3" w14:textId="6BF5D0D9"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8.565</w:t>
            </w:r>
            <w:r w:rsidR="006C4DF5" w:rsidRPr="006712A2">
              <w:rPr>
                <w:rFonts w:ascii="Calibri" w:eastAsia="Times New Roman" w:hAnsi="Calibri" w:cs="Calibri"/>
                <w:color w:val="000000"/>
                <w:kern w:val="0"/>
                <w:sz w:val="22"/>
                <w:szCs w:val="22"/>
                <w14:ligatures w14:val="none"/>
              </w:rPr>
              <w:t>***</w:t>
            </w:r>
          </w:p>
        </w:tc>
        <w:tc>
          <w:tcPr>
            <w:tcW w:w="1260" w:type="dxa"/>
            <w:tcBorders>
              <w:top w:val="nil"/>
              <w:left w:val="nil"/>
              <w:bottom w:val="nil"/>
              <w:right w:val="nil"/>
            </w:tcBorders>
            <w:vAlign w:val="center"/>
          </w:tcPr>
          <w:p w14:paraId="406C0B5E" w14:textId="0298E9AD"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3.620</w:t>
            </w:r>
            <w:r w:rsidR="006C4DF5" w:rsidRPr="006712A2">
              <w:rPr>
                <w:rFonts w:ascii="Calibri" w:eastAsia="Times New Roman" w:hAnsi="Calibri" w:cs="Calibri"/>
                <w:color w:val="000000"/>
                <w:kern w:val="0"/>
                <w:sz w:val="22"/>
                <w:szCs w:val="22"/>
                <w14:ligatures w14:val="none"/>
              </w:rPr>
              <w:t>***</w:t>
            </w:r>
          </w:p>
        </w:tc>
        <w:tc>
          <w:tcPr>
            <w:tcW w:w="1460" w:type="dxa"/>
            <w:tcBorders>
              <w:top w:val="nil"/>
              <w:left w:val="nil"/>
              <w:bottom w:val="nil"/>
              <w:right w:val="nil"/>
            </w:tcBorders>
            <w:vAlign w:val="center"/>
          </w:tcPr>
          <w:p w14:paraId="0BFCF3B6" w14:textId="128EBC10" w:rsidR="00EE37AC" w:rsidRPr="006712A2" w:rsidRDefault="007C640A"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42.2</w:t>
            </w:r>
          </w:p>
        </w:tc>
      </w:tr>
      <w:tr w:rsidR="006C4DF5" w:rsidRPr="00533EB5" w14:paraId="544F9790" w14:textId="77777777" w:rsidTr="006712A2">
        <w:trPr>
          <w:gridAfter w:val="1"/>
          <w:wAfter w:w="82" w:type="dxa"/>
          <w:trHeight w:val="624"/>
        </w:trPr>
        <w:tc>
          <w:tcPr>
            <w:tcW w:w="3150" w:type="dxa"/>
            <w:tcBorders>
              <w:top w:val="nil"/>
              <w:left w:val="nil"/>
              <w:bottom w:val="single" w:sz="4" w:space="0" w:color="auto"/>
              <w:right w:val="nil"/>
            </w:tcBorders>
            <w:vAlign w:val="center"/>
            <w:hideMark/>
          </w:tcPr>
          <w:p w14:paraId="5EF409A1" w14:textId="77777777" w:rsidR="00EE37AC" w:rsidRPr="006712A2" w:rsidRDefault="00EE37AC" w:rsidP="00EE37AC">
            <w:pPr>
              <w:spacing w:after="0" w:line="240" w:lineRule="auto"/>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Universal Health Coverage (UHC_SCI)</w:t>
            </w:r>
          </w:p>
        </w:tc>
        <w:tc>
          <w:tcPr>
            <w:tcW w:w="1122" w:type="dxa"/>
            <w:tcBorders>
              <w:top w:val="nil"/>
              <w:left w:val="nil"/>
              <w:bottom w:val="single" w:sz="4" w:space="0" w:color="auto"/>
              <w:right w:val="nil"/>
            </w:tcBorders>
            <w:vAlign w:val="center"/>
          </w:tcPr>
          <w:p w14:paraId="53224B51" w14:textId="47FB1DC9" w:rsidR="00EE37AC" w:rsidRPr="006712A2" w:rsidRDefault="006B7D95"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7.769***</w:t>
            </w:r>
          </w:p>
        </w:tc>
        <w:tc>
          <w:tcPr>
            <w:tcW w:w="1308" w:type="dxa"/>
            <w:tcBorders>
              <w:top w:val="nil"/>
              <w:left w:val="nil"/>
              <w:bottom w:val="single" w:sz="4" w:space="0" w:color="auto"/>
              <w:right w:val="nil"/>
            </w:tcBorders>
            <w:vAlign w:val="center"/>
          </w:tcPr>
          <w:p w14:paraId="65B04D7F" w14:textId="07928E9B" w:rsidR="00EE37AC" w:rsidRPr="006712A2" w:rsidRDefault="006B7D95"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6.960***</w:t>
            </w:r>
          </w:p>
        </w:tc>
        <w:tc>
          <w:tcPr>
            <w:tcW w:w="1260" w:type="dxa"/>
            <w:tcBorders>
              <w:top w:val="nil"/>
              <w:left w:val="nil"/>
              <w:bottom w:val="single" w:sz="4" w:space="0" w:color="auto"/>
              <w:right w:val="nil"/>
            </w:tcBorders>
            <w:vAlign w:val="center"/>
          </w:tcPr>
          <w:p w14:paraId="3799F0A1" w14:textId="16033369" w:rsidR="00EE37AC" w:rsidRPr="006712A2" w:rsidRDefault="006B7D95"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6.617***</w:t>
            </w:r>
          </w:p>
        </w:tc>
        <w:tc>
          <w:tcPr>
            <w:tcW w:w="1460" w:type="dxa"/>
            <w:tcBorders>
              <w:top w:val="nil"/>
              <w:left w:val="nil"/>
              <w:bottom w:val="single" w:sz="4" w:space="0" w:color="auto"/>
              <w:right w:val="nil"/>
            </w:tcBorders>
            <w:vAlign w:val="center"/>
          </w:tcPr>
          <w:p w14:paraId="27B1351E" w14:textId="71B7ED88" w:rsidR="00EE37AC" w:rsidRPr="006712A2" w:rsidRDefault="006B7D95" w:rsidP="00EE37AC">
            <w:pPr>
              <w:spacing w:after="0" w:line="240" w:lineRule="auto"/>
              <w:jc w:val="center"/>
              <w:rPr>
                <w:rFonts w:ascii="Calibri" w:eastAsia="Times New Roman" w:hAnsi="Calibri" w:cs="Calibri"/>
                <w:color w:val="000000"/>
                <w:kern w:val="0"/>
                <w:sz w:val="22"/>
                <w:szCs w:val="22"/>
                <w14:ligatures w14:val="none"/>
              </w:rPr>
            </w:pPr>
            <w:r w:rsidRPr="006712A2">
              <w:rPr>
                <w:rFonts w:ascii="Calibri" w:eastAsia="Times New Roman" w:hAnsi="Calibri" w:cs="Calibri"/>
                <w:color w:val="000000"/>
                <w:kern w:val="0"/>
                <w:sz w:val="22"/>
                <w:szCs w:val="22"/>
                <w14:ligatures w14:val="none"/>
              </w:rPr>
              <w:t>73.1</w:t>
            </w:r>
          </w:p>
        </w:tc>
      </w:tr>
    </w:tbl>
    <w:p w14:paraId="75CA1EF4" w14:textId="05779E80" w:rsidR="007C640A" w:rsidRPr="005501DF" w:rsidRDefault="007C640A" w:rsidP="006712A2">
      <w:pPr>
        <w:spacing w:after="0" w:line="240" w:lineRule="auto"/>
        <w:ind w:firstLine="720"/>
        <w:rPr>
          <w:rFonts w:ascii="Aptos Narrow" w:eastAsia="Times New Roman" w:hAnsi="Aptos Narrow" w:cs="Times New Roman"/>
          <w:color w:val="0070C0"/>
          <w:kern w:val="0"/>
          <w:sz w:val="22"/>
          <w:szCs w:val="22"/>
          <w14:ligatures w14:val="none"/>
        </w:rPr>
      </w:pPr>
      <w:r w:rsidRPr="005501DF">
        <w:rPr>
          <w:rFonts w:ascii="Aptos Narrow" w:eastAsia="Times New Roman" w:hAnsi="Aptos Narrow" w:cs="Times New Roman"/>
          <w:color w:val="0070C0"/>
          <w:kern w:val="0"/>
          <w:sz w:val="22"/>
          <w:szCs w:val="22"/>
          <w14:ligatures w14:val="none"/>
        </w:rPr>
        <w:t>Sig. codes: ***&lt;0.001, **&lt;0.01, *&lt;0.05</w:t>
      </w:r>
    </w:p>
    <w:p w14:paraId="5D487988" w14:textId="77777777" w:rsidR="006712A2" w:rsidRDefault="006712A2" w:rsidP="0010200F">
      <w:pPr>
        <w:jc w:val="both"/>
      </w:pPr>
    </w:p>
    <w:p w14:paraId="5F68555D" w14:textId="460C348A" w:rsidR="002868D7" w:rsidRDefault="005D19D5" w:rsidP="0010200F">
      <w:pPr>
        <w:jc w:val="both"/>
      </w:pPr>
      <w:r>
        <w:t xml:space="preserve">Table </w:t>
      </w:r>
      <w:r w:rsidR="0069633A">
        <w:t>2</w:t>
      </w:r>
      <w:r>
        <w:t xml:space="preserve"> results show that</w:t>
      </w:r>
      <w:r w:rsidR="00E93202">
        <w:t xml:space="preserve"> </w:t>
      </w:r>
      <w:r w:rsidR="00C70FC2">
        <w:t>all CHE components significantly improve life expectancy</w:t>
      </w:r>
      <w:r w:rsidR="002868D7">
        <w:t xml:space="preserve"> (LE)</w:t>
      </w:r>
      <w:r w:rsidR="004B3255">
        <w:t xml:space="preserve"> and reduce maternal and infant mortality ratios,</w:t>
      </w:r>
      <w:r w:rsidR="00C70FC2">
        <w:t xml:space="preserve"> with government funding having the </w:t>
      </w:r>
      <w:r w:rsidR="004B3255">
        <w:t>most powerful</w:t>
      </w:r>
      <w:r w:rsidR="00C70FC2">
        <w:t xml:space="preserve"> effect</w:t>
      </w:r>
      <w:r w:rsidR="004B3255">
        <w:t xml:space="preserve"> in all three health outcomes</w:t>
      </w:r>
      <w:r w:rsidR="00C70FC2">
        <w:t>.</w:t>
      </w:r>
      <w:r w:rsidR="002868D7">
        <w:t xml:space="preserve"> </w:t>
      </w:r>
      <w:r w:rsidR="00C70FC2">
        <w:t xml:space="preserve">PVTD </w:t>
      </w:r>
      <w:r w:rsidR="004B3255">
        <w:t>was found to have the second strongest significant effect</w:t>
      </w:r>
      <w:r w:rsidR="00C70FC2">
        <w:t xml:space="preserve"> on reducing </w:t>
      </w:r>
      <w:r w:rsidR="004B3255">
        <w:t>maternal deaths</w:t>
      </w:r>
      <w:r w:rsidR="002868D7">
        <w:t xml:space="preserve">, whereas </w:t>
      </w:r>
      <w:r w:rsidR="004B3255">
        <w:t>external donor funding had the second strongest significant effect on reducing</w:t>
      </w:r>
      <w:r w:rsidR="001C52F4">
        <w:t xml:space="preserve"> </w:t>
      </w:r>
      <w:r w:rsidR="004B3255">
        <w:t>infant deaths and increasing life expectancy</w:t>
      </w:r>
      <w:r w:rsidR="00E93202">
        <w:t xml:space="preserve">. </w:t>
      </w:r>
      <w:r w:rsidR="004744A5">
        <w:t>External donor funding (EXT) was found to be the most significant contributor towards improving service health coverage (UHC-SCI), followed by government funding</w:t>
      </w:r>
      <w:r w:rsidR="001C52F4">
        <w:t xml:space="preserve"> (GGHED) </w:t>
      </w:r>
      <w:r w:rsidR="004744A5">
        <w:t>and private funding (PVTD</w:t>
      </w:r>
      <w:r w:rsidR="002868D7">
        <w:t xml:space="preserve">. These results show that government expenditure on health (GGHED) consistently </w:t>
      </w:r>
      <w:r w:rsidR="001C52F4">
        <w:t xml:space="preserve">has </w:t>
      </w:r>
      <w:r w:rsidR="004744A5">
        <w:t>the most</w:t>
      </w:r>
      <w:r w:rsidR="001C52F4">
        <w:t xml:space="preserve"> powerful effect on all</w:t>
      </w:r>
      <w:r w:rsidR="004744A5">
        <w:t xml:space="preserve"> three</w:t>
      </w:r>
      <w:r w:rsidR="001C52F4">
        <w:t xml:space="preserve"> health</w:t>
      </w:r>
      <w:r w:rsidR="002868D7">
        <w:t xml:space="preserve"> outcomes</w:t>
      </w:r>
      <w:r w:rsidR="004744A5">
        <w:t>: life expectancy, maternal mortality, and infant mortality</w:t>
      </w:r>
      <w:r w:rsidR="002868D7">
        <w:t>. Private health spending (PVTD) plays a strong role in reducing maternal mortality</w:t>
      </w:r>
      <w:r w:rsidR="004744A5">
        <w:t xml:space="preserve"> and improving universal health service coverage</w:t>
      </w:r>
      <w:r w:rsidR="002868D7">
        <w:t>, whereas external funding plays a strong role in reducing infant mortality</w:t>
      </w:r>
      <w:r w:rsidR="001C52F4">
        <w:t xml:space="preserve"> and increasing life expectancy</w:t>
      </w:r>
      <w:r w:rsidR="002868D7">
        <w:t>. This is why we went ahead to determine the optimal proportion</w:t>
      </w:r>
      <w:r w:rsidR="00361AD1">
        <w:t xml:space="preserve"> of</w:t>
      </w:r>
      <w:r w:rsidR="002868D7">
        <w:t xml:space="preserve"> levels of CHE</w:t>
      </w:r>
      <w:r w:rsidR="00361AD1">
        <w:t xml:space="preserve"> components</w:t>
      </w:r>
      <w:r w:rsidR="002868D7">
        <w:t xml:space="preserve"> that would achieve our objective function</w:t>
      </w:r>
      <w:r w:rsidR="001C52F4">
        <w:t xml:space="preserve"> of minimizing maternal and infant deaths while maximizing life expectancy and service coverage</w:t>
      </w:r>
      <w:r w:rsidR="00361AD1">
        <w:t>:</w:t>
      </w:r>
    </w:p>
    <w:p w14:paraId="777251BC" w14:textId="06240DA0" w:rsidR="00945012" w:rsidRPr="00DA7107" w:rsidRDefault="00000000" w:rsidP="0010200F">
      <w:pPr>
        <w:jc w:val="both"/>
        <w:rPr>
          <w:rFonts w:asciiTheme="majorHAnsi" w:hAnsiTheme="majorHAnsi" w:cstheme="majorHAnsi"/>
        </w:rPr>
      </w:pPr>
      <m:oMathPara>
        <m:oMath>
          <m:func>
            <m:funcPr>
              <m:ctrlPr>
                <w:rPr>
                  <w:rFonts w:ascii="Cambria Math" w:hAnsi="Cambria Math" w:cstheme="majorHAnsi"/>
                  <w:i/>
                </w:rPr>
              </m:ctrlPr>
            </m:funcPr>
            <m:fName>
              <m:limLow>
                <m:limLowPr>
                  <m:ctrlPr>
                    <w:rPr>
                      <w:rFonts w:ascii="Cambria Math" w:hAnsi="Cambria Math" w:cstheme="majorHAnsi"/>
                      <w:i/>
                    </w:rPr>
                  </m:ctrlPr>
                </m:limLowPr>
                <m:e>
                  <m:r>
                    <m:rPr>
                      <m:sty m:val="p"/>
                    </m:rPr>
                    <w:rPr>
                      <w:rFonts w:ascii="Cambria Math" w:hAnsi="Cambria Math" w:cstheme="majorHAnsi"/>
                    </w:rPr>
                    <m:t>min</m:t>
                  </m:r>
                </m:e>
                <m:lim>
                  <m:r>
                    <w:rPr>
                      <w:rFonts w:ascii="Cambria Math" w:hAnsi="Cambria Math" w:cstheme="majorHAnsi"/>
                    </w:rPr>
                    <m:t>j</m:t>
                  </m:r>
                </m:lim>
              </m:limLow>
            </m:fName>
            <m:e>
              <m:sSub>
                <m:sSubPr>
                  <m:ctrlPr>
                    <w:rPr>
                      <w:rFonts w:ascii="Cambria Math" w:hAnsi="Cambria Math" w:cstheme="majorHAnsi"/>
                      <w:i/>
                    </w:rPr>
                  </m:ctrlPr>
                </m:sSubPr>
                <m:e>
                  <m:r>
                    <w:rPr>
                      <w:rFonts w:ascii="Cambria Math" w:hAnsi="Cambria Math" w:cstheme="majorHAnsi"/>
                    </w:rPr>
                    <m:t>f</m:t>
                  </m:r>
                </m:e>
                <m:sub>
                  <m:r>
                    <w:rPr>
                      <w:rFonts w:ascii="Cambria Math" w:hAnsi="Cambria Math" w:cstheme="majorHAnsi"/>
                    </w:rPr>
                    <m:t>j</m:t>
                  </m:r>
                </m:sub>
              </m:sSub>
              <m:r>
                <w:rPr>
                  <w:rFonts w:ascii="Cambria Math" w:hAnsi="Cambria Math" w:cstheme="majorHAnsi"/>
                </w:rPr>
                <m:t>(i)</m:t>
              </m:r>
            </m:e>
          </m:func>
        </m:oMath>
      </m:oMathPara>
    </w:p>
    <w:p w14:paraId="00D911C4" w14:textId="77777777" w:rsidR="001C52F4" w:rsidRDefault="001C52F4" w:rsidP="001C52F4">
      <w:pPr>
        <w:rPr>
          <w:rFonts w:eastAsiaTheme="minorEastAsia"/>
        </w:rPr>
      </w:pPr>
      <w:r>
        <w:rPr>
          <w:rFonts w:eastAsiaTheme="minorEastAsia"/>
        </w:rPr>
        <w:t>Such that;</w:t>
      </w:r>
    </w:p>
    <w:p w14:paraId="228B3916" w14:textId="43D7D886" w:rsidR="001C52F4" w:rsidRPr="00DA7107" w:rsidRDefault="00000000" w:rsidP="001C52F4">
      <w:pPr>
        <w:rPr>
          <w:rFonts w:asciiTheme="majorHAnsi" w:hAnsiTheme="majorHAnsi" w:cstheme="majorHAnsi"/>
        </w:rPr>
      </w:pPr>
      <m:oMathPara>
        <m:oMathParaPr>
          <m:jc m:val="center"/>
        </m:oMathParaPr>
        <m:oMath>
          <m:d>
            <m:dPr>
              <m:begChr m:val="{"/>
              <m:endChr m:val=""/>
              <m:ctrlPr>
                <w:rPr>
                  <w:rFonts w:ascii="Cambria Math" w:hAnsi="Cambria Math" w:cstheme="majorHAnsi"/>
                  <w:i/>
                </w:rPr>
              </m:ctrlPr>
            </m:dPr>
            <m:e>
              <m:eqArr>
                <m:eqArrPr>
                  <m:ctrlPr>
                    <w:rPr>
                      <w:rFonts w:ascii="Cambria Math" w:hAnsi="Cambria Math" w:cstheme="majorHAnsi"/>
                      <w:i/>
                    </w:rPr>
                  </m:ctrlPr>
                </m:eqArrPr>
                <m:e>
                  <m:sSub>
                    <m:sSubPr>
                      <m:ctrlPr>
                        <w:rPr>
                          <w:rFonts w:ascii="Cambria Math" w:hAnsi="Cambria Math" w:cstheme="majorHAnsi"/>
                          <w:i/>
                        </w:rPr>
                      </m:ctrlPr>
                    </m:sSubPr>
                    <m:e>
                      <m:r>
                        <w:rPr>
                          <w:rFonts w:ascii="Cambria Math" w:hAnsi="Cambria Math" w:cstheme="majorHAnsi"/>
                        </w:rPr>
                        <m:t>CHE</m:t>
                      </m:r>
                    </m:e>
                    <m:sub>
                      <m:r>
                        <w:rPr>
                          <w:rFonts w:ascii="Cambria Math" w:hAnsi="Cambria Math" w:cstheme="majorHAnsi"/>
                        </w:rPr>
                        <m:t>j</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ω</m:t>
                      </m:r>
                    </m:e>
                    <m:sub>
                      <m:r>
                        <w:rPr>
                          <w:rFonts w:ascii="Cambria Math" w:hAnsi="Cambria Math" w:cstheme="majorHAnsi"/>
                        </w:rPr>
                        <m:t>1j</m:t>
                      </m:r>
                    </m:sub>
                  </m:sSub>
                  <m:r>
                    <w:rPr>
                      <w:rFonts w:ascii="Cambria Math" w:hAnsi="Cambria Math" w:cstheme="majorHAnsi"/>
                    </w:rPr>
                    <m:t>EXT+</m:t>
                  </m:r>
                  <m:sSub>
                    <m:sSubPr>
                      <m:ctrlPr>
                        <w:rPr>
                          <w:rFonts w:ascii="Cambria Math" w:hAnsi="Cambria Math" w:cstheme="majorHAnsi"/>
                          <w:i/>
                        </w:rPr>
                      </m:ctrlPr>
                    </m:sSubPr>
                    <m:e>
                      <m:r>
                        <w:rPr>
                          <w:rFonts w:ascii="Cambria Math" w:hAnsi="Cambria Math" w:cstheme="majorHAnsi"/>
                        </w:rPr>
                        <m:t>ω</m:t>
                      </m:r>
                    </m:e>
                    <m:sub>
                      <m:r>
                        <w:rPr>
                          <w:rFonts w:ascii="Cambria Math" w:hAnsi="Cambria Math" w:cstheme="majorHAnsi"/>
                        </w:rPr>
                        <m:t>2j</m:t>
                      </m:r>
                    </m:sub>
                  </m:sSub>
                  <m:r>
                    <w:rPr>
                      <w:rFonts w:ascii="Cambria Math" w:hAnsi="Cambria Math" w:cstheme="majorHAnsi"/>
                    </w:rPr>
                    <m:t>GGHED+</m:t>
                  </m:r>
                  <m:sSub>
                    <m:sSubPr>
                      <m:ctrlPr>
                        <w:rPr>
                          <w:rFonts w:ascii="Cambria Math" w:hAnsi="Cambria Math" w:cstheme="majorHAnsi"/>
                          <w:i/>
                        </w:rPr>
                      </m:ctrlPr>
                    </m:sSubPr>
                    <m:e>
                      <m:r>
                        <w:rPr>
                          <w:rFonts w:ascii="Cambria Math" w:hAnsi="Cambria Math" w:cstheme="majorHAnsi"/>
                        </w:rPr>
                        <m:t>ω</m:t>
                      </m:r>
                    </m:e>
                    <m:sub>
                      <m:r>
                        <w:rPr>
                          <w:rFonts w:ascii="Cambria Math" w:hAnsi="Cambria Math" w:cstheme="majorHAnsi"/>
                        </w:rPr>
                        <m:t>3j</m:t>
                      </m:r>
                    </m:sub>
                  </m:sSub>
                  <m:r>
                    <w:rPr>
                      <w:rFonts w:ascii="Cambria Math" w:hAnsi="Cambria Math" w:cstheme="majorHAnsi"/>
                    </w:rPr>
                    <m:t>PVTD</m:t>
                  </m:r>
                </m:e>
                <m:e>
                  <m:r>
                    <w:rPr>
                      <w:rFonts w:ascii="Cambria Math" w:hAnsi="Cambria Math" w:cstheme="majorHAnsi"/>
                    </w:rPr>
                    <m:t>j=(-LE, MMR, IMR, -UH</m:t>
                  </m:r>
                  <m:sSub>
                    <m:sSubPr>
                      <m:ctrlPr>
                        <w:rPr>
                          <w:rFonts w:ascii="Cambria Math" w:hAnsi="Cambria Math" w:cstheme="majorHAnsi"/>
                          <w:i/>
                        </w:rPr>
                      </m:ctrlPr>
                    </m:sSubPr>
                    <m:e>
                      <m:r>
                        <w:rPr>
                          <w:rFonts w:ascii="Cambria Math" w:hAnsi="Cambria Math" w:cstheme="majorHAnsi"/>
                        </w:rPr>
                        <m:t>C</m:t>
                      </m:r>
                    </m:e>
                    <m:sub>
                      <m:r>
                        <w:rPr>
                          <w:rFonts w:ascii="Cambria Math" w:hAnsi="Cambria Math" w:cstheme="majorHAnsi"/>
                        </w:rPr>
                        <m:t>SCI</m:t>
                      </m:r>
                    </m:sub>
                  </m:sSub>
                  <m:r>
                    <w:rPr>
                      <w:rFonts w:ascii="Cambria Math" w:hAnsi="Cambria Math" w:cstheme="majorHAnsi"/>
                    </w:rPr>
                    <m:t>)</m:t>
                  </m:r>
                </m:e>
                <m:e>
                  <m:r>
                    <w:rPr>
                      <w:rFonts w:ascii="Cambria Math" w:hAnsi="Cambria Math" w:cstheme="majorHAnsi"/>
                    </w:rPr>
                    <m:t>i={EXT, GGHED, PVTD}</m:t>
                  </m:r>
                </m:e>
              </m:eqArr>
            </m:e>
          </m:d>
        </m:oMath>
      </m:oMathPara>
    </w:p>
    <w:p w14:paraId="7F412298" w14:textId="77777777" w:rsidR="001C52F4" w:rsidRDefault="001C52F4" w:rsidP="0010200F">
      <w:pPr>
        <w:jc w:val="both"/>
      </w:pPr>
    </w:p>
    <w:p w14:paraId="0B6FB6B8" w14:textId="24F8FE51" w:rsidR="00945012" w:rsidRDefault="00945012" w:rsidP="0010200F">
      <w:pPr>
        <w:jc w:val="both"/>
      </w:pPr>
      <w:r>
        <w:t>Subject to the constraints</w:t>
      </w:r>
    </w:p>
    <w:p w14:paraId="7F928CBB" w14:textId="4DAF5DFD" w:rsidR="00945012" w:rsidRPr="00DA7107" w:rsidRDefault="00000000" w:rsidP="00945012">
      <w:pPr>
        <w:jc w:val="center"/>
        <w:rPr>
          <w:rFonts w:asciiTheme="majorHAnsi" w:eastAsiaTheme="minorEastAsia" w:hAnsiTheme="majorHAnsi" w:cstheme="majorHAnsi"/>
        </w:rPr>
      </w:pPr>
      <m:oMath>
        <m:sSub>
          <m:sSubPr>
            <m:ctrlPr>
              <w:rPr>
                <w:rFonts w:ascii="Cambria Math" w:hAnsi="Cambria Math" w:cstheme="majorHAnsi"/>
                <w:i/>
              </w:rPr>
            </m:ctrlPr>
          </m:sSubPr>
          <m:e>
            <m:r>
              <w:rPr>
                <w:rFonts w:ascii="Cambria Math" w:hAnsi="Cambria Math" w:cstheme="majorHAnsi"/>
              </w:rPr>
              <m:t>ω</m:t>
            </m:r>
          </m:e>
          <m:sub>
            <m:r>
              <w:rPr>
                <w:rFonts w:ascii="Cambria Math" w:hAnsi="Cambria Math" w:cstheme="majorHAnsi"/>
              </w:rPr>
              <m:t>ij</m:t>
            </m:r>
          </m:sub>
        </m:sSub>
        <m:r>
          <w:rPr>
            <w:rFonts w:ascii="Cambria Math" w:hAnsi="Cambria Math" w:cstheme="majorHAnsi"/>
          </w:rPr>
          <m:t>≥0</m:t>
        </m:r>
      </m:oMath>
      <w:r w:rsidR="00945012" w:rsidRPr="00DA7107">
        <w:rPr>
          <w:rFonts w:asciiTheme="majorHAnsi" w:eastAsiaTheme="minorEastAsia" w:hAnsiTheme="majorHAnsi" w:cstheme="majorHAnsi"/>
        </w:rPr>
        <w:t xml:space="preserve"> and </w:t>
      </w:r>
      <m:oMath>
        <m:nary>
          <m:naryPr>
            <m:chr m:val="∑"/>
            <m:limLoc m:val="subSup"/>
            <m:supHide m:val="1"/>
            <m:ctrlPr>
              <w:rPr>
                <w:rFonts w:ascii="Cambria Math" w:eastAsiaTheme="minorEastAsia" w:hAnsi="Cambria Math" w:cstheme="majorHAnsi"/>
                <w:i/>
              </w:rPr>
            </m:ctrlPr>
          </m:naryPr>
          <m:sub>
            <m:r>
              <w:rPr>
                <w:rFonts w:ascii="Cambria Math" w:eastAsiaTheme="minorEastAsia" w:hAnsi="Cambria Math" w:cstheme="majorHAnsi"/>
              </w:rPr>
              <m:t>i</m:t>
            </m:r>
          </m:sub>
          <m:sup/>
          <m:e>
            <m:sSub>
              <m:sSubPr>
                <m:ctrlPr>
                  <w:rPr>
                    <w:rFonts w:ascii="Cambria Math" w:hAnsi="Cambria Math" w:cstheme="majorHAnsi"/>
                    <w:i/>
                  </w:rPr>
                </m:ctrlPr>
              </m:sSubPr>
              <m:e>
                <m:r>
                  <w:rPr>
                    <w:rFonts w:ascii="Cambria Math" w:hAnsi="Cambria Math" w:cstheme="majorHAnsi"/>
                  </w:rPr>
                  <m:t>ω</m:t>
                </m:r>
              </m:e>
              <m:sub>
                <m:r>
                  <w:rPr>
                    <w:rFonts w:ascii="Cambria Math" w:hAnsi="Cambria Math" w:cstheme="majorHAnsi"/>
                  </w:rPr>
                  <m:t>ij</m:t>
                </m:r>
              </m:sub>
            </m:sSub>
          </m:e>
        </m:nary>
        <m:r>
          <w:rPr>
            <w:rFonts w:ascii="Cambria Math" w:eastAsiaTheme="minorEastAsia" w:hAnsi="Cambria Math" w:cstheme="majorHAnsi"/>
          </w:rPr>
          <m:t>=1</m:t>
        </m:r>
      </m:oMath>
    </w:p>
    <w:p w14:paraId="51070790" w14:textId="77777777" w:rsidR="00945012" w:rsidRDefault="00945012" w:rsidP="0010200F">
      <w:pPr>
        <w:jc w:val="both"/>
      </w:pPr>
    </w:p>
    <w:p w14:paraId="2C40682C" w14:textId="0D6EC553" w:rsidR="005501DF" w:rsidRDefault="00361AD1" w:rsidP="004744A5">
      <w:pPr>
        <w:jc w:val="both"/>
      </w:pPr>
      <w:r>
        <w:t xml:space="preserve">The results of the GAM were fed into the nonlinear optimization model, and the </w:t>
      </w:r>
      <w:r w:rsidR="00A96E0F">
        <w:t>proportions</w:t>
      </w:r>
      <w:r>
        <w:t xml:space="preserve"> of CHE</w:t>
      </w:r>
      <w:r w:rsidR="009C160E">
        <w:t xml:space="preserve"> (%)</w:t>
      </w:r>
      <w:r w:rsidR="00A96E0F">
        <w:t xml:space="preserve"> </w:t>
      </w:r>
      <w:r w:rsidR="001C52F4">
        <w:t>to achieve optimal levels of</w:t>
      </w:r>
      <w:r w:rsidR="00A96E0F">
        <w:t xml:space="preserve"> each </w:t>
      </w:r>
      <w:r>
        <w:t>health outcome</w:t>
      </w:r>
      <w:r w:rsidR="00342177">
        <w:t xml:space="preserve"> </w:t>
      </w:r>
      <w:r w:rsidR="001C52F4">
        <w:t>are</w:t>
      </w:r>
      <w:r>
        <w:t xml:space="preserve"> shown in Table 3.</w:t>
      </w:r>
    </w:p>
    <w:tbl>
      <w:tblPr>
        <w:tblW w:w="8340" w:type="dxa"/>
        <w:jc w:val="center"/>
        <w:tblLook w:val="04A0" w:firstRow="1" w:lastRow="0" w:firstColumn="1" w:lastColumn="0" w:noHBand="0" w:noVBand="1"/>
      </w:tblPr>
      <w:tblGrid>
        <w:gridCol w:w="3700"/>
        <w:gridCol w:w="1580"/>
        <w:gridCol w:w="1540"/>
        <w:gridCol w:w="1520"/>
      </w:tblGrid>
      <w:tr w:rsidR="00342177" w:rsidRPr="00342177" w14:paraId="105AE1E3" w14:textId="77777777" w:rsidTr="00342177">
        <w:trPr>
          <w:trHeight w:val="288"/>
          <w:jc w:val="center"/>
        </w:trPr>
        <w:tc>
          <w:tcPr>
            <w:tcW w:w="8340" w:type="dxa"/>
            <w:gridSpan w:val="4"/>
            <w:tcBorders>
              <w:top w:val="nil"/>
              <w:left w:val="nil"/>
              <w:bottom w:val="single" w:sz="4" w:space="0" w:color="auto"/>
              <w:right w:val="nil"/>
            </w:tcBorders>
            <w:noWrap/>
            <w:vAlign w:val="bottom"/>
            <w:hideMark/>
          </w:tcPr>
          <w:p w14:paraId="34D2A6EF" w14:textId="01BB5BD2" w:rsidR="00342177" w:rsidRPr="005501DF" w:rsidRDefault="00342177" w:rsidP="00342177">
            <w:pPr>
              <w:spacing w:after="0" w:line="240" w:lineRule="auto"/>
              <w:rPr>
                <w:rFonts w:ascii="Aptos Narrow" w:eastAsia="Times New Roman" w:hAnsi="Aptos Narrow" w:cs="Times New Roman"/>
                <w:b/>
                <w:bCs/>
                <w:color w:val="0070C0"/>
                <w:kern w:val="0"/>
                <w:sz w:val="22"/>
                <w:szCs w:val="22"/>
                <w14:ligatures w14:val="none"/>
              </w:rPr>
            </w:pPr>
            <w:r w:rsidRPr="005501DF">
              <w:rPr>
                <w:rFonts w:ascii="Aptos Narrow" w:eastAsia="Times New Roman" w:hAnsi="Aptos Narrow" w:cs="Times New Roman"/>
                <w:b/>
                <w:bCs/>
                <w:color w:val="0070C0"/>
                <w:kern w:val="0"/>
                <w:sz w:val="22"/>
                <w:szCs w:val="22"/>
                <w14:ligatures w14:val="none"/>
              </w:rPr>
              <w:t xml:space="preserve">Table </w:t>
            </w:r>
            <w:r w:rsidR="00361AD1" w:rsidRPr="005501DF">
              <w:rPr>
                <w:rFonts w:ascii="Aptos Narrow" w:eastAsia="Times New Roman" w:hAnsi="Aptos Narrow" w:cs="Times New Roman"/>
                <w:b/>
                <w:bCs/>
                <w:color w:val="0070C0"/>
                <w:kern w:val="0"/>
                <w:sz w:val="22"/>
                <w:szCs w:val="22"/>
                <w14:ligatures w14:val="none"/>
              </w:rPr>
              <w:t>3</w:t>
            </w:r>
            <w:r w:rsidRPr="005501DF">
              <w:rPr>
                <w:rFonts w:ascii="Aptos Narrow" w:eastAsia="Times New Roman" w:hAnsi="Aptos Narrow" w:cs="Times New Roman"/>
                <w:b/>
                <w:bCs/>
                <w:color w:val="0070C0"/>
                <w:kern w:val="0"/>
                <w:sz w:val="22"/>
                <w:szCs w:val="22"/>
                <w14:ligatures w14:val="none"/>
              </w:rPr>
              <w:t xml:space="preserve">: </w:t>
            </w:r>
            <w:r w:rsidR="00361AD1" w:rsidRPr="005501DF">
              <w:rPr>
                <w:rFonts w:ascii="Aptos Narrow" w:eastAsia="Times New Roman" w:hAnsi="Aptos Narrow" w:cs="Times New Roman"/>
                <w:b/>
                <w:bCs/>
                <w:color w:val="0070C0"/>
                <w:kern w:val="0"/>
                <w:sz w:val="22"/>
                <w:szCs w:val="22"/>
                <w14:ligatures w14:val="none"/>
              </w:rPr>
              <w:t xml:space="preserve"> CHE Components</w:t>
            </w:r>
            <w:r w:rsidR="00092A65" w:rsidRPr="005501DF">
              <w:rPr>
                <w:rFonts w:ascii="Aptos Narrow" w:eastAsia="Times New Roman" w:hAnsi="Aptos Narrow" w:cs="Times New Roman"/>
                <w:b/>
                <w:bCs/>
                <w:color w:val="0070C0"/>
                <w:kern w:val="0"/>
                <w:sz w:val="22"/>
                <w:szCs w:val="22"/>
                <w14:ligatures w14:val="none"/>
              </w:rPr>
              <w:t xml:space="preserve"> </w:t>
            </w:r>
            <w:r w:rsidRPr="005501DF">
              <w:rPr>
                <w:rFonts w:ascii="Aptos Narrow" w:eastAsia="Times New Roman" w:hAnsi="Aptos Narrow" w:cs="Times New Roman"/>
                <w:b/>
                <w:bCs/>
                <w:color w:val="0070C0"/>
                <w:kern w:val="0"/>
                <w:sz w:val="22"/>
                <w:szCs w:val="22"/>
                <w14:ligatures w14:val="none"/>
              </w:rPr>
              <w:t>Allocation</w:t>
            </w:r>
            <w:r w:rsidR="00361AD1" w:rsidRPr="005501DF">
              <w:rPr>
                <w:rFonts w:ascii="Aptos Narrow" w:eastAsia="Times New Roman" w:hAnsi="Aptos Narrow" w:cs="Times New Roman"/>
                <w:b/>
                <w:bCs/>
                <w:color w:val="0070C0"/>
                <w:kern w:val="0"/>
                <w:sz w:val="22"/>
                <w:szCs w:val="22"/>
                <w14:ligatures w14:val="none"/>
              </w:rPr>
              <w:t>s</w:t>
            </w:r>
            <w:r w:rsidRPr="005501DF">
              <w:rPr>
                <w:rFonts w:ascii="Aptos Narrow" w:eastAsia="Times New Roman" w:hAnsi="Aptos Narrow" w:cs="Times New Roman"/>
                <w:b/>
                <w:bCs/>
                <w:color w:val="0070C0"/>
                <w:kern w:val="0"/>
                <w:sz w:val="22"/>
                <w:szCs w:val="22"/>
                <w14:ligatures w14:val="none"/>
              </w:rPr>
              <w:t xml:space="preserve"> </w:t>
            </w:r>
            <w:r w:rsidR="00361AD1" w:rsidRPr="005501DF">
              <w:rPr>
                <w:rFonts w:ascii="Aptos Narrow" w:eastAsia="Times New Roman" w:hAnsi="Aptos Narrow" w:cs="Times New Roman"/>
                <w:b/>
                <w:bCs/>
                <w:color w:val="0070C0"/>
                <w:kern w:val="0"/>
                <w:sz w:val="22"/>
                <w:szCs w:val="22"/>
                <w14:ligatures w14:val="none"/>
              </w:rPr>
              <w:t>to achieve Optimal Health Outcomes (%)</w:t>
            </w:r>
          </w:p>
        </w:tc>
      </w:tr>
      <w:tr w:rsidR="00342177" w:rsidRPr="00342177" w14:paraId="044D8ED5" w14:textId="77777777" w:rsidTr="00342177">
        <w:trPr>
          <w:trHeight w:val="312"/>
          <w:jc w:val="center"/>
        </w:trPr>
        <w:tc>
          <w:tcPr>
            <w:tcW w:w="3700" w:type="dxa"/>
            <w:tcBorders>
              <w:top w:val="nil"/>
              <w:left w:val="nil"/>
              <w:bottom w:val="single" w:sz="4" w:space="0" w:color="auto"/>
              <w:right w:val="nil"/>
            </w:tcBorders>
            <w:vAlign w:val="center"/>
            <w:hideMark/>
          </w:tcPr>
          <w:p w14:paraId="09988AC0" w14:textId="6DC8EE71" w:rsidR="00342177" w:rsidRPr="00342177" w:rsidRDefault="00342177" w:rsidP="00342177">
            <w:pPr>
              <w:spacing w:after="0" w:line="240" w:lineRule="auto"/>
              <w:rPr>
                <w:rFonts w:ascii="Calibri" w:eastAsia="Times New Roman" w:hAnsi="Calibri" w:cs="Calibri"/>
                <w:b/>
                <w:bCs/>
                <w:color w:val="000000"/>
                <w:kern w:val="0"/>
                <w14:ligatures w14:val="none"/>
              </w:rPr>
            </w:pPr>
            <w:r w:rsidRPr="00342177">
              <w:rPr>
                <w:rFonts w:ascii="Calibri" w:eastAsia="Times New Roman" w:hAnsi="Calibri" w:cs="Calibri"/>
                <w:b/>
                <w:bCs/>
                <w:color w:val="000000"/>
                <w:kern w:val="0"/>
                <w14:ligatures w14:val="none"/>
              </w:rPr>
              <w:t>Key Health Variable</w:t>
            </w:r>
            <w:r w:rsidR="009C17DE">
              <w:rPr>
                <w:rFonts w:ascii="Calibri" w:eastAsia="Times New Roman" w:hAnsi="Calibri" w:cs="Calibri"/>
                <w:b/>
                <w:bCs/>
                <w:color w:val="000000"/>
                <w:kern w:val="0"/>
                <w14:ligatures w14:val="none"/>
              </w:rPr>
              <w:t xml:space="preserve"> </w:t>
            </w:r>
          </w:p>
        </w:tc>
        <w:tc>
          <w:tcPr>
            <w:tcW w:w="1580" w:type="dxa"/>
            <w:tcBorders>
              <w:top w:val="nil"/>
              <w:left w:val="nil"/>
              <w:bottom w:val="single" w:sz="4" w:space="0" w:color="auto"/>
              <w:right w:val="nil"/>
            </w:tcBorders>
            <w:vAlign w:val="center"/>
            <w:hideMark/>
          </w:tcPr>
          <w:p w14:paraId="3C0F8D97" w14:textId="0115F4A4" w:rsidR="00342177" w:rsidRPr="00342177" w:rsidRDefault="00342177" w:rsidP="00342177">
            <w:pPr>
              <w:spacing w:after="0" w:line="240" w:lineRule="auto"/>
              <w:jc w:val="center"/>
              <w:rPr>
                <w:rFonts w:ascii="Calibri" w:eastAsia="Times New Roman" w:hAnsi="Calibri" w:cs="Calibri"/>
                <w:b/>
                <w:bCs/>
                <w:color w:val="000000"/>
                <w:kern w:val="0"/>
                <w14:ligatures w14:val="none"/>
              </w:rPr>
            </w:pPr>
            <w:r w:rsidRPr="00342177">
              <w:rPr>
                <w:rFonts w:ascii="Calibri" w:eastAsia="Times New Roman" w:hAnsi="Calibri" w:cs="Calibri"/>
                <w:b/>
                <w:bCs/>
                <w:color w:val="000000"/>
                <w:kern w:val="0"/>
                <w14:ligatures w14:val="none"/>
              </w:rPr>
              <w:t>EXT</w:t>
            </w:r>
            <w:r w:rsidR="009C17DE">
              <w:rPr>
                <w:rFonts w:ascii="Calibri" w:eastAsia="Times New Roman" w:hAnsi="Calibri" w:cs="Calibri"/>
                <w:b/>
                <w:bCs/>
                <w:color w:val="000000"/>
                <w:kern w:val="0"/>
                <w14:ligatures w14:val="none"/>
              </w:rPr>
              <w:t xml:space="preserve"> </w:t>
            </w:r>
          </w:p>
        </w:tc>
        <w:tc>
          <w:tcPr>
            <w:tcW w:w="1540" w:type="dxa"/>
            <w:tcBorders>
              <w:top w:val="nil"/>
              <w:left w:val="nil"/>
              <w:bottom w:val="single" w:sz="4" w:space="0" w:color="auto"/>
              <w:right w:val="nil"/>
            </w:tcBorders>
            <w:vAlign w:val="center"/>
            <w:hideMark/>
          </w:tcPr>
          <w:p w14:paraId="3BB7A948" w14:textId="7F4581DC" w:rsidR="00342177" w:rsidRPr="00342177" w:rsidRDefault="00342177" w:rsidP="00342177">
            <w:pPr>
              <w:spacing w:after="0" w:line="240" w:lineRule="auto"/>
              <w:jc w:val="center"/>
              <w:rPr>
                <w:rFonts w:ascii="Calibri" w:eastAsia="Times New Roman" w:hAnsi="Calibri" w:cs="Calibri"/>
                <w:b/>
                <w:bCs/>
                <w:color w:val="000000"/>
                <w:kern w:val="0"/>
                <w14:ligatures w14:val="none"/>
              </w:rPr>
            </w:pPr>
            <w:r w:rsidRPr="00342177">
              <w:rPr>
                <w:rFonts w:ascii="Calibri" w:eastAsia="Times New Roman" w:hAnsi="Calibri" w:cs="Calibri"/>
                <w:b/>
                <w:bCs/>
                <w:color w:val="000000"/>
                <w:kern w:val="0"/>
                <w14:ligatures w14:val="none"/>
              </w:rPr>
              <w:t>GGHED</w:t>
            </w:r>
            <w:r w:rsidR="009C17DE">
              <w:rPr>
                <w:rFonts w:ascii="Calibri" w:eastAsia="Times New Roman" w:hAnsi="Calibri" w:cs="Calibri"/>
                <w:b/>
                <w:bCs/>
                <w:color w:val="000000"/>
                <w:kern w:val="0"/>
                <w14:ligatures w14:val="none"/>
              </w:rPr>
              <w:t xml:space="preserve"> </w:t>
            </w:r>
          </w:p>
        </w:tc>
        <w:tc>
          <w:tcPr>
            <w:tcW w:w="1520" w:type="dxa"/>
            <w:tcBorders>
              <w:top w:val="nil"/>
              <w:left w:val="nil"/>
              <w:bottom w:val="single" w:sz="4" w:space="0" w:color="auto"/>
              <w:right w:val="nil"/>
            </w:tcBorders>
            <w:vAlign w:val="center"/>
            <w:hideMark/>
          </w:tcPr>
          <w:p w14:paraId="0FE5F751" w14:textId="72B6C89D" w:rsidR="00342177" w:rsidRPr="00342177" w:rsidRDefault="00342177" w:rsidP="00342177">
            <w:pPr>
              <w:spacing w:after="0" w:line="240" w:lineRule="auto"/>
              <w:jc w:val="center"/>
              <w:rPr>
                <w:rFonts w:ascii="Calibri" w:eastAsia="Times New Roman" w:hAnsi="Calibri" w:cs="Calibri"/>
                <w:b/>
                <w:bCs/>
                <w:color w:val="000000"/>
                <w:kern w:val="0"/>
                <w14:ligatures w14:val="none"/>
              </w:rPr>
            </w:pPr>
            <w:r w:rsidRPr="00342177">
              <w:rPr>
                <w:rFonts w:ascii="Calibri" w:eastAsia="Times New Roman" w:hAnsi="Calibri" w:cs="Calibri"/>
                <w:b/>
                <w:bCs/>
                <w:color w:val="000000"/>
                <w:kern w:val="0"/>
                <w14:ligatures w14:val="none"/>
              </w:rPr>
              <w:t>PVTD</w:t>
            </w:r>
            <w:r w:rsidR="009C17DE">
              <w:rPr>
                <w:rFonts w:ascii="Calibri" w:eastAsia="Times New Roman" w:hAnsi="Calibri" w:cs="Calibri"/>
                <w:b/>
                <w:bCs/>
                <w:color w:val="000000"/>
                <w:kern w:val="0"/>
                <w14:ligatures w14:val="none"/>
              </w:rPr>
              <w:t xml:space="preserve"> </w:t>
            </w:r>
          </w:p>
        </w:tc>
      </w:tr>
      <w:tr w:rsidR="00342177" w:rsidRPr="00342177" w14:paraId="09F2F4B3" w14:textId="77777777" w:rsidTr="00342177">
        <w:trPr>
          <w:trHeight w:val="312"/>
          <w:jc w:val="center"/>
        </w:trPr>
        <w:tc>
          <w:tcPr>
            <w:tcW w:w="3700" w:type="dxa"/>
            <w:tcBorders>
              <w:top w:val="nil"/>
              <w:left w:val="nil"/>
              <w:bottom w:val="nil"/>
              <w:right w:val="nil"/>
            </w:tcBorders>
            <w:vAlign w:val="center"/>
            <w:hideMark/>
          </w:tcPr>
          <w:p w14:paraId="2E6D41E5" w14:textId="77777777" w:rsidR="00342177" w:rsidRPr="00342177" w:rsidRDefault="00342177" w:rsidP="00342177">
            <w:pPr>
              <w:spacing w:after="0" w:line="240" w:lineRule="auto"/>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Life Expectancy (LE)</w:t>
            </w:r>
          </w:p>
        </w:tc>
        <w:tc>
          <w:tcPr>
            <w:tcW w:w="1580" w:type="dxa"/>
            <w:tcBorders>
              <w:top w:val="nil"/>
              <w:left w:val="nil"/>
              <w:bottom w:val="nil"/>
              <w:right w:val="nil"/>
            </w:tcBorders>
            <w:vAlign w:val="center"/>
            <w:hideMark/>
          </w:tcPr>
          <w:p w14:paraId="3085B0BB"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13.76</w:t>
            </w:r>
          </w:p>
        </w:tc>
        <w:tc>
          <w:tcPr>
            <w:tcW w:w="1540" w:type="dxa"/>
            <w:tcBorders>
              <w:top w:val="nil"/>
              <w:left w:val="nil"/>
              <w:bottom w:val="nil"/>
              <w:right w:val="nil"/>
            </w:tcBorders>
            <w:vAlign w:val="center"/>
            <w:hideMark/>
          </w:tcPr>
          <w:p w14:paraId="13D9B4CD"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50.05</w:t>
            </w:r>
          </w:p>
        </w:tc>
        <w:tc>
          <w:tcPr>
            <w:tcW w:w="1520" w:type="dxa"/>
            <w:tcBorders>
              <w:top w:val="nil"/>
              <w:left w:val="nil"/>
              <w:bottom w:val="nil"/>
              <w:right w:val="nil"/>
            </w:tcBorders>
            <w:vAlign w:val="center"/>
            <w:hideMark/>
          </w:tcPr>
          <w:p w14:paraId="21F9DF29"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36.19</w:t>
            </w:r>
          </w:p>
        </w:tc>
      </w:tr>
      <w:tr w:rsidR="00342177" w:rsidRPr="00342177" w14:paraId="3CE12655" w14:textId="77777777" w:rsidTr="00342177">
        <w:trPr>
          <w:trHeight w:val="456"/>
          <w:jc w:val="center"/>
        </w:trPr>
        <w:tc>
          <w:tcPr>
            <w:tcW w:w="3700" w:type="dxa"/>
            <w:tcBorders>
              <w:top w:val="nil"/>
              <w:left w:val="nil"/>
              <w:bottom w:val="nil"/>
              <w:right w:val="nil"/>
            </w:tcBorders>
            <w:vAlign w:val="center"/>
            <w:hideMark/>
          </w:tcPr>
          <w:p w14:paraId="48A23179" w14:textId="77777777" w:rsidR="00342177" w:rsidRPr="00342177" w:rsidRDefault="00342177" w:rsidP="00342177">
            <w:pPr>
              <w:spacing w:after="0" w:line="240" w:lineRule="auto"/>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Maternal Mortality Ratio (MMR)</w:t>
            </w:r>
          </w:p>
        </w:tc>
        <w:tc>
          <w:tcPr>
            <w:tcW w:w="1580" w:type="dxa"/>
            <w:tcBorders>
              <w:top w:val="nil"/>
              <w:left w:val="nil"/>
              <w:bottom w:val="nil"/>
              <w:right w:val="nil"/>
            </w:tcBorders>
            <w:vAlign w:val="center"/>
            <w:hideMark/>
          </w:tcPr>
          <w:p w14:paraId="1150BC83"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7.71</w:t>
            </w:r>
          </w:p>
        </w:tc>
        <w:tc>
          <w:tcPr>
            <w:tcW w:w="1540" w:type="dxa"/>
            <w:tcBorders>
              <w:top w:val="nil"/>
              <w:left w:val="nil"/>
              <w:bottom w:val="nil"/>
              <w:right w:val="nil"/>
            </w:tcBorders>
            <w:vAlign w:val="center"/>
            <w:hideMark/>
          </w:tcPr>
          <w:p w14:paraId="615CA0FD"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92.29</w:t>
            </w:r>
          </w:p>
        </w:tc>
        <w:tc>
          <w:tcPr>
            <w:tcW w:w="1520" w:type="dxa"/>
            <w:tcBorders>
              <w:top w:val="nil"/>
              <w:left w:val="nil"/>
              <w:bottom w:val="nil"/>
              <w:right w:val="nil"/>
            </w:tcBorders>
            <w:vAlign w:val="center"/>
            <w:hideMark/>
          </w:tcPr>
          <w:p w14:paraId="3998FAFA"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0.00</w:t>
            </w:r>
          </w:p>
        </w:tc>
      </w:tr>
      <w:tr w:rsidR="00342177" w:rsidRPr="00342177" w14:paraId="62ADF5E0" w14:textId="77777777" w:rsidTr="00342177">
        <w:trPr>
          <w:trHeight w:val="312"/>
          <w:jc w:val="center"/>
        </w:trPr>
        <w:tc>
          <w:tcPr>
            <w:tcW w:w="3700" w:type="dxa"/>
            <w:tcBorders>
              <w:top w:val="nil"/>
              <w:left w:val="nil"/>
              <w:bottom w:val="nil"/>
              <w:right w:val="nil"/>
            </w:tcBorders>
            <w:vAlign w:val="center"/>
            <w:hideMark/>
          </w:tcPr>
          <w:p w14:paraId="248858BB" w14:textId="77777777" w:rsidR="00342177" w:rsidRPr="00342177" w:rsidRDefault="00342177" w:rsidP="00342177">
            <w:pPr>
              <w:spacing w:after="0" w:line="240" w:lineRule="auto"/>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Infant Mortality Rate (IMR)</w:t>
            </w:r>
          </w:p>
        </w:tc>
        <w:tc>
          <w:tcPr>
            <w:tcW w:w="1580" w:type="dxa"/>
            <w:tcBorders>
              <w:top w:val="nil"/>
              <w:left w:val="nil"/>
              <w:bottom w:val="nil"/>
              <w:right w:val="nil"/>
            </w:tcBorders>
            <w:vAlign w:val="center"/>
            <w:hideMark/>
          </w:tcPr>
          <w:p w14:paraId="1DC0CD36"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16.68</w:t>
            </w:r>
          </w:p>
        </w:tc>
        <w:tc>
          <w:tcPr>
            <w:tcW w:w="1540" w:type="dxa"/>
            <w:tcBorders>
              <w:top w:val="nil"/>
              <w:left w:val="nil"/>
              <w:bottom w:val="nil"/>
              <w:right w:val="nil"/>
            </w:tcBorders>
            <w:vAlign w:val="center"/>
            <w:hideMark/>
          </w:tcPr>
          <w:p w14:paraId="088D4AD7"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43.95</w:t>
            </w:r>
          </w:p>
        </w:tc>
        <w:tc>
          <w:tcPr>
            <w:tcW w:w="1520" w:type="dxa"/>
            <w:tcBorders>
              <w:top w:val="nil"/>
              <w:left w:val="nil"/>
              <w:bottom w:val="nil"/>
              <w:right w:val="nil"/>
            </w:tcBorders>
            <w:vAlign w:val="center"/>
            <w:hideMark/>
          </w:tcPr>
          <w:p w14:paraId="2F7CD2C1"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39.37</w:t>
            </w:r>
          </w:p>
        </w:tc>
      </w:tr>
      <w:tr w:rsidR="00342177" w:rsidRPr="00342177" w14:paraId="6D0CF674" w14:textId="77777777" w:rsidTr="00342177">
        <w:trPr>
          <w:trHeight w:val="624"/>
          <w:jc w:val="center"/>
        </w:trPr>
        <w:tc>
          <w:tcPr>
            <w:tcW w:w="3700" w:type="dxa"/>
            <w:tcBorders>
              <w:top w:val="nil"/>
              <w:left w:val="nil"/>
              <w:bottom w:val="single" w:sz="4" w:space="0" w:color="auto"/>
              <w:right w:val="nil"/>
            </w:tcBorders>
            <w:vAlign w:val="center"/>
            <w:hideMark/>
          </w:tcPr>
          <w:p w14:paraId="46BE8251" w14:textId="77777777" w:rsidR="00342177" w:rsidRPr="00342177" w:rsidRDefault="00342177" w:rsidP="00342177">
            <w:pPr>
              <w:spacing w:after="0" w:line="240" w:lineRule="auto"/>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Universal Health Coverage (UHC_SCI)</w:t>
            </w:r>
          </w:p>
        </w:tc>
        <w:tc>
          <w:tcPr>
            <w:tcW w:w="1580" w:type="dxa"/>
            <w:tcBorders>
              <w:top w:val="nil"/>
              <w:left w:val="nil"/>
              <w:bottom w:val="single" w:sz="4" w:space="0" w:color="auto"/>
              <w:right w:val="nil"/>
            </w:tcBorders>
            <w:vAlign w:val="center"/>
            <w:hideMark/>
          </w:tcPr>
          <w:p w14:paraId="159A4581"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17.98</w:t>
            </w:r>
          </w:p>
        </w:tc>
        <w:tc>
          <w:tcPr>
            <w:tcW w:w="1540" w:type="dxa"/>
            <w:tcBorders>
              <w:top w:val="nil"/>
              <w:left w:val="nil"/>
              <w:bottom w:val="single" w:sz="4" w:space="0" w:color="auto"/>
              <w:right w:val="nil"/>
            </w:tcBorders>
            <w:vAlign w:val="center"/>
            <w:hideMark/>
          </w:tcPr>
          <w:p w14:paraId="5A6924CD"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82.02</w:t>
            </w:r>
          </w:p>
        </w:tc>
        <w:tc>
          <w:tcPr>
            <w:tcW w:w="1520" w:type="dxa"/>
            <w:tcBorders>
              <w:top w:val="nil"/>
              <w:left w:val="nil"/>
              <w:bottom w:val="single" w:sz="4" w:space="0" w:color="auto"/>
              <w:right w:val="nil"/>
            </w:tcBorders>
            <w:vAlign w:val="center"/>
            <w:hideMark/>
          </w:tcPr>
          <w:p w14:paraId="0EB5BC7E" w14:textId="77777777" w:rsidR="00342177" w:rsidRPr="00342177" w:rsidRDefault="00342177" w:rsidP="00342177">
            <w:pPr>
              <w:spacing w:after="0" w:line="240" w:lineRule="auto"/>
              <w:jc w:val="center"/>
              <w:rPr>
                <w:rFonts w:ascii="Calibri" w:eastAsia="Times New Roman" w:hAnsi="Calibri" w:cs="Calibri"/>
                <w:color w:val="000000"/>
                <w:kern w:val="0"/>
                <w14:ligatures w14:val="none"/>
              </w:rPr>
            </w:pPr>
            <w:r w:rsidRPr="00342177">
              <w:rPr>
                <w:rFonts w:ascii="Calibri" w:eastAsia="Times New Roman" w:hAnsi="Calibri" w:cs="Calibri"/>
                <w:color w:val="000000"/>
                <w:kern w:val="0"/>
                <w14:ligatures w14:val="none"/>
              </w:rPr>
              <w:t>0.00</w:t>
            </w:r>
          </w:p>
        </w:tc>
      </w:tr>
      <w:tr w:rsidR="00342177" w:rsidRPr="00342177" w14:paraId="2D8BC3FB" w14:textId="77777777" w:rsidTr="00342177">
        <w:trPr>
          <w:trHeight w:val="324"/>
          <w:jc w:val="center"/>
        </w:trPr>
        <w:tc>
          <w:tcPr>
            <w:tcW w:w="3700" w:type="dxa"/>
            <w:tcBorders>
              <w:top w:val="nil"/>
              <w:left w:val="nil"/>
              <w:bottom w:val="double" w:sz="6" w:space="0" w:color="auto"/>
              <w:right w:val="nil"/>
            </w:tcBorders>
            <w:vAlign w:val="center"/>
            <w:hideMark/>
          </w:tcPr>
          <w:p w14:paraId="2557A153" w14:textId="77777777" w:rsidR="00342177" w:rsidRPr="00342177" w:rsidRDefault="00342177" w:rsidP="006238EC">
            <w:pPr>
              <w:spacing w:after="0" w:line="240" w:lineRule="auto"/>
              <w:rPr>
                <w:rFonts w:ascii="Calibri" w:eastAsia="Times New Roman" w:hAnsi="Calibri" w:cs="Calibri"/>
                <w:b/>
                <w:bCs/>
                <w:color w:val="000000"/>
                <w:kern w:val="0"/>
                <w14:ligatures w14:val="none"/>
              </w:rPr>
            </w:pPr>
            <w:r w:rsidRPr="00342177">
              <w:rPr>
                <w:rFonts w:ascii="Calibri" w:eastAsia="Times New Roman" w:hAnsi="Calibri" w:cs="Calibri"/>
                <w:b/>
                <w:bCs/>
                <w:color w:val="000000"/>
                <w:kern w:val="0"/>
                <w14:ligatures w14:val="none"/>
              </w:rPr>
              <w:t>Averages</w:t>
            </w:r>
          </w:p>
        </w:tc>
        <w:tc>
          <w:tcPr>
            <w:tcW w:w="1580" w:type="dxa"/>
            <w:tcBorders>
              <w:top w:val="nil"/>
              <w:left w:val="nil"/>
              <w:bottom w:val="double" w:sz="6" w:space="0" w:color="auto"/>
              <w:right w:val="nil"/>
            </w:tcBorders>
            <w:noWrap/>
            <w:vAlign w:val="bottom"/>
            <w:hideMark/>
          </w:tcPr>
          <w:p w14:paraId="2DD4B742" w14:textId="77777777" w:rsidR="00342177" w:rsidRPr="00342177" w:rsidRDefault="00342177" w:rsidP="00342177">
            <w:pPr>
              <w:spacing w:after="0" w:line="240" w:lineRule="auto"/>
              <w:jc w:val="center"/>
              <w:rPr>
                <w:rFonts w:ascii="Calibri" w:eastAsia="Times New Roman" w:hAnsi="Calibri" w:cs="Calibri"/>
                <w:color w:val="000000"/>
                <w:kern w:val="0"/>
                <w:sz w:val="22"/>
                <w:szCs w:val="22"/>
                <w14:ligatures w14:val="none"/>
              </w:rPr>
            </w:pPr>
            <w:r w:rsidRPr="00342177">
              <w:rPr>
                <w:rFonts w:ascii="Calibri" w:eastAsia="Times New Roman" w:hAnsi="Calibri" w:cs="Calibri"/>
                <w:color w:val="000000"/>
                <w:kern w:val="0"/>
                <w:sz w:val="22"/>
                <w:szCs w:val="22"/>
                <w14:ligatures w14:val="none"/>
              </w:rPr>
              <w:t>14.03</w:t>
            </w:r>
          </w:p>
        </w:tc>
        <w:tc>
          <w:tcPr>
            <w:tcW w:w="1540" w:type="dxa"/>
            <w:tcBorders>
              <w:top w:val="nil"/>
              <w:left w:val="nil"/>
              <w:bottom w:val="double" w:sz="6" w:space="0" w:color="auto"/>
              <w:right w:val="nil"/>
            </w:tcBorders>
            <w:noWrap/>
            <w:vAlign w:val="bottom"/>
            <w:hideMark/>
          </w:tcPr>
          <w:p w14:paraId="54872B1A" w14:textId="77777777" w:rsidR="00342177" w:rsidRPr="00342177" w:rsidRDefault="00342177" w:rsidP="00342177">
            <w:pPr>
              <w:spacing w:after="0" w:line="240" w:lineRule="auto"/>
              <w:jc w:val="center"/>
              <w:rPr>
                <w:rFonts w:ascii="Calibri" w:eastAsia="Times New Roman" w:hAnsi="Calibri" w:cs="Calibri"/>
                <w:color w:val="000000"/>
                <w:kern w:val="0"/>
                <w:sz w:val="22"/>
                <w:szCs w:val="22"/>
                <w14:ligatures w14:val="none"/>
              </w:rPr>
            </w:pPr>
            <w:r w:rsidRPr="00342177">
              <w:rPr>
                <w:rFonts w:ascii="Calibri" w:eastAsia="Times New Roman" w:hAnsi="Calibri" w:cs="Calibri"/>
                <w:color w:val="000000"/>
                <w:kern w:val="0"/>
                <w:sz w:val="22"/>
                <w:szCs w:val="22"/>
                <w14:ligatures w14:val="none"/>
              </w:rPr>
              <w:t>67.08</w:t>
            </w:r>
          </w:p>
        </w:tc>
        <w:tc>
          <w:tcPr>
            <w:tcW w:w="1520" w:type="dxa"/>
            <w:tcBorders>
              <w:top w:val="nil"/>
              <w:left w:val="nil"/>
              <w:bottom w:val="double" w:sz="6" w:space="0" w:color="auto"/>
              <w:right w:val="nil"/>
            </w:tcBorders>
            <w:noWrap/>
            <w:vAlign w:val="bottom"/>
            <w:hideMark/>
          </w:tcPr>
          <w:p w14:paraId="608D7343" w14:textId="77777777" w:rsidR="00342177" w:rsidRPr="00342177" w:rsidRDefault="00342177" w:rsidP="00342177">
            <w:pPr>
              <w:spacing w:after="0" w:line="240" w:lineRule="auto"/>
              <w:jc w:val="center"/>
              <w:rPr>
                <w:rFonts w:ascii="Calibri" w:eastAsia="Times New Roman" w:hAnsi="Calibri" w:cs="Calibri"/>
                <w:color w:val="000000"/>
                <w:kern w:val="0"/>
                <w:sz w:val="22"/>
                <w:szCs w:val="22"/>
                <w14:ligatures w14:val="none"/>
              </w:rPr>
            </w:pPr>
            <w:r w:rsidRPr="00342177">
              <w:rPr>
                <w:rFonts w:ascii="Calibri" w:eastAsia="Times New Roman" w:hAnsi="Calibri" w:cs="Calibri"/>
                <w:color w:val="000000"/>
                <w:kern w:val="0"/>
                <w:sz w:val="22"/>
                <w:szCs w:val="22"/>
                <w14:ligatures w14:val="none"/>
              </w:rPr>
              <w:t>18.89</w:t>
            </w:r>
          </w:p>
        </w:tc>
      </w:tr>
    </w:tbl>
    <w:p w14:paraId="17D9A295" w14:textId="77777777" w:rsidR="00361AD1" w:rsidRDefault="00361AD1" w:rsidP="00F73F60">
      <w:pPr>
        <w:jc w:val="both"/>
      </w:pPr>
    </w:p>
    <w:p w14:paraId="0E1D2AF8" w14:textId="408B0F00" w:rsidR="00F42E0D" w:rsidRDefault="00342177" w:rsidP="00F73F60">
      <w:pPr>
        <w:jc w:val="both"/>
      </w:pPr>
      <w:r>
        <w:t xml:space="preserve">Table </w:t>
      </w:r>
      <w:r w:rsidR="00361AD1">
        <w:t>3</w:t>
      </w:r>
      <w:r>
        <w:t xml:space="preserve"> results show that to optimize </w:t>
      </w:r>
      <w:r w:rsidR="001C52F4">
        <w:t xml:space="preserve">health systems (as seen from </w:t>
      </w:r>
      <w:r>
        <w:t>the different health outcomes</w:t>
      </w:r>
      <w:r w:rsidR="001C52F4">
        <w:t xml:space="preserve"> by</w:t>
      </w:r>
      <w:r w:rsidR="00361AD1">
        <w:t xml:space="preserve"> maximizing life expectancy and universal service health coverage while minimizing infant mortality and maternal mortality ratios</w:t>
      </w:r>
      <w:r w:rsidR="009B0DEF">
        <w:t>)</w:t>
      </w:r>
      <w:r w:rsidR="00361AD1">
        <w:t>, governments</w:t>
      </w:r>
      <w:r w:rsidR="001C52F4">
        <w:t xml:space="preserve"> funding</w:t>
      </w:r>
      <w:r w:rsidR="00361AD1">
        <w:t xml:space="preserve"> </w:t>
      </w:r>
      <w:r w:rsidR="006238EC">
        <w:t>(GGHED)</w:t>
      </w:r>
      <w:r w:rsidR="00361AD1">
        <w:t xml:space="preserve"> </w:t>
      </w:r>
      <w:r w:rsidR="009B0DEF">
        <w:t>needs to take up the giant share (67%) of current health expenditure</w:t>
      </w:r>
      <w:r w:rsidR="006238EC">
        <w:t>,</w:t>
      </w:r>
      <w:r w:rsidR="009B0DEF">
        <w:t xml:space="preserve"> followed by private-level funding</w:t>
      </w:r>
      <w:r w:rsidR="006238EC">
        <w:t xml:space="preserve"> (PVTD)</w:t>
      </w:r>
      <w:r w:rsidR="00045BEF">
        <w:t xml:space="preserve"> </w:t>
      </w:r>
      <w:r w:rsidR="00361AD1">
        <w:t>contribut</w:t>
      </w:r>
      <w:r w:rsidR="009B0DEF">
        <w:t>ing around</w:t>
      </w:r>
      <w:r w:rsidR="00361AD1">
        <w:t xml:space="preserve"> 19% of CHE</w:t>
      </w:r>
      <w:r w:rsidR="00945012">
        <w:t>,</w:t>
      </w:r>
      <w:r w:rsidR="006238EC">
        <w:t xml:space="preserve"> including out-of-pocket expenditure (OOP)</w:t>
      </w:r>
      <w:r w:rsidR="00361AD1">
        <w:t xml:space="preserve"> </w:t>
      </w:r>
      <w:r w:rsidR="00F42E0D">
        <w:t>and</w:t>
      </w:r>
      <w:r w:rsidR="009B0DEF">
        <w:t xml:space="preserve"> the smallest share (14% of CHE) should come from</w:t>
      </w:r>
      <w:r w:rsidR="00F42E0D">
        <w:t xml:space="preserve"> external </w:t>
      </w:r>
      <w:r w:rsidR="009B0DEF">
        <w:t>funding sources</w:t>
      </w:r>
      <w:r w:rsidR="00F42E0D">
        <w:t xml:space="preserve"> (EXT) </w:t>
      </w:r>
      <w:r w:rsidR="009B0DEF">
        <w:t>such as donors</w:t>
      </w:r>
      <w:r w:rsidR="003212F0">
        <w:t>.</w:t>
      </w:r>
    </w:p>
    <w:p w14:paraId="3F18017E" w14:textId="220BC815" w:rsidR="00342177" w:rsidRDefault="00A902B2" w:rsidP="00F73F60">
      <w:pPr>
        <w:jc w:val="both"/>
      </w:pPr>
      <w:r>
        <w:t>A</w:t>
      </w:r>
      <w:r w:rsidR="003212F0">
        <w:t xml:space="preserve"> descriptive analysis of the effect of </w:t>
      </w:r>
      <w:r w:rsidR="00F42E0D">
        <w:t xml:space="preserve">governments' spending 67% or more of their CHEs on the four health outcomes </w:t>
      </w:r>
      <w:r w:rsidR="003212F0">
        <w:t>was done</w:t>
      </w:r>
      <w:r>
        <w:t>, where an average was performed on the four health outcomes for countries spending 67% of GGHED on CHE compared to those that spend less, just to view whether there is any visible difference. A</w:t>
      </w:r>
      <w:r w:rsidR="005624BE">
        <w:t xml:space="preserve"> summary</w:t>
      </w:r>
      <w:r>
        <w:t xml:space="preserve"> of the same </w:t>
      </w:r>
      <w:r w:rsidR="00F42E0D">
        <w:t xml:space="preserve">is </w:t>
      </w:r>
      <w:r w:rsidR="005624BE">
        <w:t xml:space="preserve">given in Table </w:t>
      </w:r>
      <w:r w:rsidR="00F42E0D">
        <w:t>4</w:t>
      </w:r>
      <w:r w:rsidR="003212F0">
        <w:t>.</w:t>
      </w:r>
    </w:p>
    <w:tbl>
      <w:tblPr>
        <w:tblW w:w="7877" w:type="dxa"/>
        <w:jc w:val="center"/>
        <w:tblLook w:val="04A0" w:firstRow="1" w:lastRow="0" w:firstColumn="1" w:lastColumn="0" w:noHBand="0" w:noVBand="1"/>
      </w:tblPr>
      <w:tblGrid>
        <w:gridCol w:w="2970"/>
        <w:gridCol w:w="1220"/>
        <w:gridCol w:w="1260"/>
        <w:gridCol w:w="1250"/>
        <w:gridCol w:w="1177"/>
      </w:tblGrid>
      <w:tr w:rsidR="005624BE" w:rsidRPr="005624BE" w14:paraId="0CD4B0E6" w14:textId="77777777" w:rsidTr="00F42E0D">
        <w:trPr>
          <w:trHeight w:val="288"/>
          <w:jc w:val="center"/>
        </w:trPr>
        <w:tc>
          <w:tcPr>
            <w:tcW w:w="7877" w:type="dxa"/>
            <w:gridSpan w:val="5"/>
            <w:tcBorders>
              <w:top w:val="nil"/>
              <w:left w:val="nil"/>
              <w:bottom w:val="single" w:sz="4" w:space="0" w:color="auto"/>
              <w:right w:val="nil"/>
            </w:tcBorders>
            <w:noWrap/>
            <w:vAlign w:val="bottom"/>
            <w:hideMark/>
          </w:tcPr>
          <w:p w14:paraId="62986E84" w14:textId="3887819A" w:rsidR="005624BE" w:rsidRPr="005501DF" w:rsidRDefault="005624BE" w:rsidP="005624BE">
            <w:pPr>
              <w:spacing w:after="0" w:line="240" w:lineRule="auto"/>
              <w:rPr>
                <w:rFonts w:ascii="Aptos Narrow" w:eastAsia="Times New Roman" w:hAnsi="Aptos Narrow" w:cs="Times New Roman"/>
                <w:b/>
                <w:bCs/>
                <w:color w:val="0070C0"/>
                <w:kern w:val="0"/>
                <w:sz w:val="22"/>
                <w:szCs w:val="22"/>
                <w14:ligatures w14:val="none"/>
              </w:rPr>
            </w:pPr>
            <w:r w:rsidRPr="005501DF">
              <w:rPr>
                <w:rFonts w:ascii="Aptos Narrow" w:eastAsia="Times New Roman" w:hAnsi="Aptos Narrow" w:cs="Times New Roman"/>
                <w:b/>
                <w:bCs/>
                <w:color w:val="0070C0"/>
                <w:kern w:val="0"/>
                <w:sz w:val="22"/>
                <w:szCs w:val="22"/>
                <w14:ligatures w14:val="none"/>
              </w:rPr>
              <w:t xml:space="preserve">Table </w:t>
            </w:r>
            <w:r w:rsidR="00F42E0D" w:rsidRPr="005501DF">
              <w:rPr>
                <w:rFonts w:ascii="Aptos Narrow" w:eastAsia="Times New Roman" w:hAnsi="Aptos Narrow" w:cs="Times New Roman"/>
                <w:b/>
                <w:bCs/>
                <w:color w:val="0070C0"/>
                <w:kern w:val="0"/>
                <w:sz w:val="22"/>
                <w:szCs w:val="22"/>
                <w14:ligatures w14:val="none"/>
              </w:rPr>
              <w:t>4</w:t>
            </w:r>
            <w:r w:rsidRPr="005501DF">
              <w:rPr>
                <w:rFonts w:ascii="Aptos Narrow" w:eastAsia="Times New Roman" w:hAnsi="Aptos Narrow" w:cs="Times New Roman"/>
                <w:b/>
                <w:bCs/>
                <w:color w:val="0070C0"/>
                <w:kern w:val="0"/>
                <w:sz w:val="22"/>
                <w:szCs w:val="22"/>
                <w14:ligatures w14:val="none"/>
              </w:rPr>
              <w:t xml:space="preserve">: </w:t>
            </w:r>
            <w:r w:rsidR="005501DF">
              <w:rPr>
                <w:rFonts w:ascii="Aptos Narrow" w:eastAsia="Times New Roman" w:hAnsi="Aptos Narrow" w:cs="Times New Roman"/>
                <w:b/>
                <w:bCs/>
                <w:color w:val="0070C0"/>
                <w:kern w:val="0"/>
                <w:sz w:val="22"/>
                <w:szCs w:val="22"/>
                <w14:ligatures w14:val="none"/>
              </w:rPr>
              <w:t>Effect</w:t>
            </w:r>
            <w:r w:rsidRPr="005501DF">
              <w:rPr>
                <w:rFonts w:ascii="Aptos Narrow" w:eastAsia="Times New Roman" w:hAnsi="Aptos Narrow" w:cs="Times New Roman"/>
                <w:b/>
                <w:bCs/>
                <w:color w:val="0070C0"/>
                <w:kern w:val="0"/>
                <w:sz w:val="22"/>
                <w:szCs w:val="22"/>
                <w14:ligatures w14:val="none"/>
              </w:rPr>
              <w:t xml:space="preserve"> of </w:t>
            </w:r>
            <w:r w:rsidR="00F42E0D" w:rsidRPr="005501DF">
              <w:rPr>
                <w:rFonts w:ascii="Aptos Narrow" w:eastAsia="Times New Roman" w:hAnsi="Aptos Narrow" w:cs="Times New Roman"/>
                <w:b/>
                <w:bCs/>
                <w:color w:val="0070C0"/>
                <w:kern w:val="0"/>
                <w:sz w:val="22"/>
                <w:szCs w:val="22"/>
                <w14:ligatures w14:val="none"/>
              </w:rPr>
              <w:t xml:space="preserve">Government Spending 67% or more of </w:t>
            </w:r>
            <w:r w:rsidR="00EB4525">
              <w:rPr>
                <w:rFonts w:ascii="Aptos Narrow" w:eastAsia="Times New Roman" w:hAnsi="Aptos Narrow" w:cs="Times New Roman"/>
                <w:b/>
                <w:bCs/>
                <w:color w:val="0070C0"/>
                <w:kern w:val="0"/>
                <w:sz w:val="22"/>
                <w:szCs w:val="22"/>
                <w14:ligatures w14:val="none"/>
              </w:rPr>
              <w:t>CHE</w:t>
            </w:r>
            <w:r w:rsidRPr="005501DF">
              <w:rPr>
                <w:rFonts w:ascii="Aptos Narrow" w:eastAsia="Times New Roman" w:hAnsi="Aptos Narrow" w:cs="Times New Roman"/>
                <w:b/>
                <w:bCs/>
                <w:color w:val="0070C0"/>
                <w:kern w:val="0"/>
                <w:sz w:val="22"/>
                <w:szCs w:val="22"/>
                <w14:ligatures w14:val="none"/>
              </w:rPr>
              <w:t xml:space="preserve"> on Health Outcomes</w:t>
            </w:r>
          </w:p>
        </w:tc>
      </w:tr>
      <w:tr w:rsidR="005624BE" w:rsidRPr="005624BE" w14:paraId="58893ED0" w14:textId="77777777" w:rsidTr="00F42E0D">
        <w:trPr>
          <w:trHeight w:val="312"/>
          <w:jc w:val="center"/>
        </w:trPr>
        <w:tc>
          <w:tcPr>
            <w:tcW w:w="2970" w:type="dxa"/>
            <w:tcBorders>
              <w:top w:val="nil"/>
              <w:left w:val="nil"/>
              <w:bottom w:val="single" w:sz="4" w:space="0" w:color="auto"/>
              <w:right w:val="nil"/>
            </w:tcBorders>
            <w:vAlign w:val="center"/>
            <w:hideMark/>
          </w:tcPr>
          <w:p w14:paraId="56930D18" w14:textId="5CE0FE4A" w:rsidR="005624BE" w:rsidRPr="005624BE" w:rsidRDefault="00F42E0D" w:rsidP="005624BE">
            <w:pPr>
              <w:spacing w:after="0" w:line="240" w:lineRule="auto"/>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 xml:space="preserve">Government Expenditure (GGHED) </w:t>
            </w:r>
          </w:p>
        </w:tc>
        <w:tc>
          <w:tcPr>
            <w:tcW w:w="1220" w:type="dxa"/>
            <w:tcBorders>
              <w:top w:val="nil"/>
              <w:left w:val="nil"/>
              <w:bottom w:val="single" w:sz="4" w:space="0" w:color="auto"/>
              <w:right w:val="nil"/>
            </w:tcBorders>
            <w:vAlign w:val="center"/>
            <w:hideMark/>
          </w:tcPr>
          <w:p w14:paraId="626A2BA2" w14:textId="77777777" w:rsidR="005624BE" w:rsidRPr="005624BE" w:rsidRDefault="005624BE" w:rsidP="005624BE">
            <w:pPr>
              <w:spacing w:after="0" w:line="240" w:lineRule="auto"/>
              <w:jc w:val="center"/>
              <w:rPr>
                <w:rFonts w:ascii="Calibri" w:eastAsia="Times New Roman" w:hAnsi="Calibri" w:cs="Calibri"/>
                <w:b/>
                <w:bCs/>
                <w:color w:val="000000"/>
                <w:kern w:val="0"/>
                <w14:ligatures w14:val="none"/>
              </w:rPr>
            </w:pPr>
            <w:r w:rsidRPr="005624BE">
              <w:rPr>
                <w:rFonts w:ascii="Calibri" w:eastAsia="Times New Roman" w:hAnsi="Calibri" w:cs="Calibri"/>
                <w:b/>
                <w:bCs/>
                <w:color w:val="000000"/>
                <w:kern w:val="0"/>
                <w14:ligatures w14:val="none"/>
              </w:rPr>
              <w:t>SCI_UHC</w:t>
            </w:r>
          </w:p>
        </w:tc>
        <w:tc>
          <w:tcPr>
            <w:tcW w:w="1260" w:type="dxa"/>
            <w:tcBorders>
              <w:top w:val="nil"/>
              <w:left w:val="nil"/>
              <w:bottom w:val="single" w:sz="4" w:space="0" w:color="auto"/>
              <w:right w:val="nil"/>
            </w:tcBorders>
            <w:vAlign w:val="center"/>
            <w:hideMark/>
          </w:tcPr>
          <w:p w14:paraId="1E18BE7E" w14:textId="77777777" w:rsidR="005624BE" w:rsidRPr="005624BE" w:rsidRDefault="005624BE" w:rsidP="005624BE">
            <w:pPr>
              <w:spacing w:after="0" w:line="240" w:lineRule="auto"/>
              <w:jc w:val="center"/>
              <w:rPr>
                <w:rFonts w:ascii="Calibri" w:eastAsia="Times New Roman" w:hAnsi="Calibri" w:cs="Calibri"/>
                <w:b/>
                <w:bCs/>
                <w:color w:val="000000"/>
                <w:kern w:val="0"/>
                <w14:ligatures w14:val="none"/>
              </w:rPr>
            </w:pPr>
            <w:r w:rsidRPr="005624BE">
              <w:rPr>
                <w:rFonts w:ascii="Calibri" w:eastAsia="Times New Roman" w:hAnsi="Calibri" w:cs="Calibri"/>
                <w:b/>
                <w:bCs/>
                <w:color w:val="000000"/>
                <w:kern w:val="0"/>
                <w14:ligatures w14:val="none"/>
              </w:rPr>
              <w:t>LE</w:t>
            </w:r>
          </w:p>
        </w:tc>
        <w:tc>
          <w:tcPr>
            <w:tcW w:w="1250" w:type="dxa"/>
            <w:tcBorders>
              <w:top w:val="nil"/>
              <w:left w:val="nil"/>
              <w:bottom w:val="single" w:sz="4" w:space="0" w:color="auto"/>
              <w:right w:val="nil"/>
            </w:tcBorders>
            <w:vAlign w:val="center"/>
            <w:hideMark/>
          </w:tcPr>
          <w:p w14:paraId="3650BD0B" w14:textId="77777777" w:rsidR="005624BE" w:rsidRPr="005624BE" w:rsidRDefault="005624BE" w:rsidP="005624BE">
            <w:pPr>
              <w:spacing w:after="0" w:line="240" w:lineRule="auto"/>
              <w:jc w:val="center"/>
              <w:rPr>
                <w:rFonts w:ascii="Calibri" w:eastAsia="Times New Roman" w:hAnsi="Calibri" w:cs="Calibri"/>
                <w:b/>
                <w:bCs/>
                <w:color w:val="000000"/>
                <w:kern w:val="0"/>
                <w14:ligatures w14:val="none"/>
              </w:rPr>
            </w:pPr>
            <w:r w:rsidRPr="005624BE">
              <w:rPr>
                <w:rFonts w:ascii="Calibri" w:eastAsia="Times New Roman" w:hAnsi="Calibri" w:cs="Calibri"/>
                <w:b/>
                <w:bCs/>
                <w:color w:val="000000"/>
                <w:kern w:val="0"/>
                <w14:ligatures w14:val="none"/>
              </w:rPr>
              <w:t>MMR</w:t>
            </w:r>
          </w:p>
        </w:tc>
        <w:tc>
          <w:tcPr>
            <w:tcW w:w="1176" w:type="dxa"/>
            <w:tcBorders>
              <w:top w:val="nil"/>
              <w:left w:val="nil"/>
              <w:bottom w:val="single" w:sz="4" w:space="0" w:color="auto"/>
              <w:right w:val="nil"/>
            </w:tcBorders>
            <w:vAlign w:val="center"/>
            <w:hideMark/>
          </w:tcPr>
          <w:p w14:paraId="52711D98" w14:textId="77777777" w:rsidR="005624BE" w:rsidRPr="005624BE" w:rsidRDefault="005624BE" w:rsidP="005624BE">
            <w:pPr>
              <w:spacing w:after="0" w:line="240" w:lineRule="auto"/>
              <w:jc w:val="center"/>
              <w:rPr>
                <w:rFonts w:ascii="Calibri" w:eastAsia="Times New Roman" w:hAnsi="Calibri" w:cs="Calibri"/>
                <w:b/>
                <w:bCs/>
                <w:color w:val="000000"/>
                <w:kern w:val="0"/>
                <w14:ligatures w14:val="none"/>
              </w:rPr>
            </w:pPr>
            <w:r w:rsidRPr="005624BE">
              <w:rPr>
                <w:rFonts w:ascii="Calibri" w:eastAsia="Times New Roman" w:hAnsi="Calibri" w:cs="Calibri"/>
                <w:b/>
                <w:bCs/>
                <w:color w:val="000000"/>
                <w:kern w:val="0"/>
                <w14:ligatures w14:val="none"/>
              </w:rPr>
              <w:t>IMR</w:t>
            </w:r>
          </w:p>
        </w:tc>
      </w:tr>
      <w:tr w:rsidR="005624BE" w:rsidRPr="005624BE" w14:paraId="3EA33E92" w14:textId="77777777" w:rsidTr="00F42E0D">
        <w:trPr>
          <w:trHeight w:val="312"/>
          <w:jc w:val="center"/>
        </w:trPr>
        <w:tc>
          <w:tcPr>
            <w:tcW w:w="2970" w:type="dxa"/>
            <w:tcBorders>
              <w:top w:val="nil"/>
              <w:left w:val="nil"/>
              <w:bottom w:val="nil"/>
              <w:right w:val="nil"/>
            </w:tcBorders>
            <w:vAlign w:val="center"/>
            <w:hideMark/>
          </w:tcPr>
          <w:p w14:paraId="243B8F4D" w14:textId="282D5AAD" w:rsidR="005624BE" w:rsidRPr="005624BE" w:rsidRDefault="00F42E0D" w:rsidP="005624BE">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Less than </w:t>
            </w:r>
            <w:r w:rsidR="005624BE" w:rsidRPr="005624BE">
              <w:rPr>
                <w:rFonts w:ascii="Calibri" w:eastAsia="Times New Roman" w:hAnsi="Calibri" w:cs="Calibri"/>
                <w:color w:val="000000"/>
                <w:kern w:val="0"/>
                <w14:ligatures w14:val="none"/>
              </w:rPr>
              <w:t>67% of CHE</w:t>
            </w:r>
          </w:p>
        </w:tc>
        <w:tc>
          <w:tcPr>
            <w:tcW w:w="1220" w:type="dxa"/>
            <w:tcBorders>
              <w:top w:val="nil"/>
              <w:left w:val="nil"/>
              <w:bottom w:val="nil"/>
              <w:right w:val="nil"/>
            </w:tcBorders>
            <w:vAlign w:val="center"/>
            <w:hideMark/>
          </w:tcPr>
          <w:p w14:paraId="1BF5395E"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39.3</w:t>
            </w:r>
          </w:p>
        </w:tc>
        <w:tc>
          <w:tcPr>
            <w:tcW w:w="1260" w:type="dxa"/>
            <w:tcBorders>
              <w:top w:val="nil"/>
              <w:left w:val="nil"/>
              <w:bottom w:val="nil"/>
              <w:right w:val="nil"/>
            </w:tcBorders>
            <w:vAlign w:val="center"/>
            <w:hideMark/>
          </w:tcPr>
          <w:p w14:paraId="29A68E10"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59.3</w:t>
            </w:r>
          </w:p>
        </w:tc>
        <w:tc>
          <w:tcPr>
            <w:tcW w:w="1250" w:type="dxa"/>
            <w:tcBorders>
              <w:top w:val="nil"/>
              <w:left w:val="nil"/>
              <w:bottom w:val="nil"/>
              <w:right w:val="nil"/>
            </w:tcBorders>
            <w:vAlign w:val="center"/>
            <w:hideMark/>
          </w:tcPr>
          <w:p w14:paraId="75A4B727"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496.0</w:t>
            </w:r>
          </w:p>
        </w:tc>
        <w:tc>
          <w:tcPr>
            <w:tcW w:w="1176" w:type="dxa"/>
            <w:tcBorders>
              <w:top w:val="nil"/>
              <w:left w:val="nil"/>
              <w:bottom w:val="nil"/>
              <w:right w:val="nil"/>
            </w:tcBorders>
            <w:vAlign w:val="center"/>
            <w:hideMark/>
          </w:tcPr>
          <w:p w14:paraId="4B134DFA"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58.0</w:t>
            </w:r>
          </w:p>
        </w:tc>
      </w:tr>
      <w:tr w:rsidR="005624BE" w:rsidRPr="005624BE" w14:paraId="3E6C72E5" w14:textId="77777777" w:rsidTr="00F42E0D">
        <w:trPr>
          <w:trHeight w:val="312"/>
          <w:jc w:val="center"/>
        </w:trPr>
        <w:tc>
          <w:tcPr>
            <w:tcW w:w="2970" w:type="dxa"/>
            <w:tcBorders>
              <w:top w:val="nil"/>
              <w:left w:val="nil"/>
              <w:bottom w:val="single" w:sz="4" w:space="0" w:color="auto"/>
              <w:right w:val="nil"/>
            </w:tcBorders>
            <w:vAlign w:val="center"/>
            <w:hideMark/>
          </w:tcPr>
          <w:p w14:paraId="17A43D36" w14:textId="03E6C2F4" w:rsidR="005624BE" w:rsidRPr="005624BE" w:rsidRDefault="005624BE" w:rsidP="005624BE">
            <w:pPr>
              <w:spacing w:after="0" w:line="240" w:lineRule="auto"/>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 xml:space="preserve">67% </w:t>
            </w:r>
            <w:r w:rsidR="00F42E0D">
              <w:rPr>
                <w:rFonts w:ascii="Calibri" w:eastAsia="Times New Roman" w:hAnsi="Calibri" w:cs="Calibri"/>
                <w:color w:val="000000"/>
                <w:kern w:val="0"/>
                <w14:ligatures w14:val="none"/>
              </w:rPr>
              <w:t xml:space="preserve">or more </w:t>
            </w:r>
            <w:r w:rsidRPr="005624BE">
              <w:rPr>
                <w:rFonts w:ascii="Calibri" w:eastAsia="Times New Roman" w:hAnsi="Calibri" w:cs="Calibri"/>
                <w:color w:val="000000"/>
                <w:kern w:val="0"/>
                <w14:ligatures w14:val="none"/>
              </w:rPr>
              <w:t>of CHE</w:t>
            </w:r>
          </w:p>
        </w:tc>
        <w:tc>
          <w:tcPr>
            <w:tcW w:w="1220" w:type="dxa"/>
            <w:tcBorders>
              <w:top w:val="nil"/>
              <w:left w:val="nil"/>
              <w:bottom w:val="single" w:sz="4" w:space="0" w:color="auto"/>
              <w:right w:val="nil"/>
            </w:tcBorders>
            <w:vAlign w:val="center"/>
            <w:hideMark/>
          </w:tcPr>
          <w:p w14:paraId="12CCEFC0"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65.3</w:t>
            </w:r>
          </w:p>
        </w:tc>
        <w:tc>
          <w:tcPr>
            <w:tcW w:w="1260" w:type="dxa"/>
            <w:tcBorders>
              <w:top w:val="nil"/>
              <w:left w:val="nil"/>
              <w:bottom w:val="single" w:sz="4" w:space="0" w:color="auto"/>
              <w:right w:val="nil"/>
            </w:tcBorders>
            <w:vAlign w:val="center"/>
            <w:hideMark/>
          </w:tcPr>
          <w:p w14:paraId="5B1655E4"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71.8</w:t>
            </w:r>
          </w:p>
        </w:tc>
        <w:tc>
          <w:tcPr>
            <w:tcW w:w="1250" w:type="dxa"/>
            <w:tcBorders>
              <w:top w:val="nil"/>
              <w:left w:val="nil"/>
              <w:bottom w:val="single" w:sz="4" w:space="0" w:color="auto"/>
              <w:right w:val="nil"/>
            </w:tcBorders>
            <w:vAlign w:val="center"/>
            <w:hideMark/>
          </w:tcPr>
          <w:p w14:paraId="02E9EE10"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81.5</w:t>
            </w:r>
          </w:p>
        </w:tc>
        <w:tc>
          <w:tcPr>
            <w:tcW w:w="1176" w:type="dxa"/>
            <w:tcBorders>
              <w:top w:val="nil"/>
              <w:left w:val="nil"/>
              <w:bottom w:val="single" w:sz="4" w:space="0" w:color="auto"/>
              <w:right w:val="nil"/>
            </w:tcBorders>
            <w:vAlign w:val="center"/>
            <w:hideMark/>
          </w:tcPr>
          <w:p w14:paraId="635E944E" w14:textId="77777777" w:rsidR="005624BE" w:rsidRPr="005624BE" w:rsidRDefault="005624BE" w:rsidP="005624BE">
            <w:pPr>
              <w:spacing w:after="0" w:line="240" w:lineRule="auto"/>
              <w:jc w:val="center"/>
              <w:rPr>
                <w:rFonts w:ascii="Calibri" w:eastAsia="Times New Roman" w:hAnsi="Calibri" w:cs="Calibri"/>
                <w:color w:val="000000"/>
                <w:kern w:val="0"/>
                <w14:ligatures w14:val="none"/>
              </w:rPr>
            </w:pPr>
            <w:r w:rsidRPr="005624BE">
              <w:rPr>
                <w:rFonts w:ascii="Calibri" w:eastAsia="Times New Roman" w:hAnsi="Calibri" w:cs="Calibri"/>
                <w:color w:val="000000"/>
                <w:kern w:val="0"/>
                <w14:ligatures w14:val="none"/>
              </w:rPr>
              <w:t>24.0</w:t>
            </w:r>
          </w:p>
        </w:tc>
      </w:tr>
    </w:tbl>
    <w:p w14:paraId="43786667" w14:textId="77777777" w:rsidR="005624BE" w:rsidRDefault="005624BE" w:rsidP="00F73F60">
      <w:pPr>
        <w:jc w:val="both"/>
      </w:pPr>
    </w:p>
    <w:p w14:paraId="54B5EC71" w14:textId="4BC71B99" w:rsidR="00085D93" w:rsidRDefault="00B730C1" w:rsidP="008A6B44">
      <w:pPr>
        <w:jc w:val="both"/>
        <w:rPr>
          <w:b/>
          <w:bCs/>
          <w:color w:val="C00000"/>
        </w:rPr>
      </w:pPr>
      <w:r>
        <w:t xml:space="preserve">Table </w:t>
      </w:r>
      <w:r w:rsidR="00F42E0D">
        <w:t>4</w:t>
      </w:r>
      <w:r>
        <w:t xml:space="preserve"> </w:t>
      </w:r>
      <w:r w:rsidR="00A902B2">
        <w:t>shows</w:t>
      </w:r>
      <w:r>
        <w:t xml:space="preserve"> that </w:t>
      </w:r>
      <w:r w:rsidR="00F42E0D">
        <w:t>governments invest</w:t>
      </w:r>
      <w:r w:rsidR="00EB4525">
        <w:t>ing</w:t>
      </w:r>
      <w:r w:rsidR="00F42E0D">
        <w:t xml:space="preserve"> in 67% or more of their current health expenditure (CHE) </w:t>
      </w:r>
      <w:r w:rsidR="00EB4525">
        <w:t xml:space="preserve">observe 26% higher </w:t>
      </w:r>
      <w:r>
        <w:t>universal service health coverage ind</w:t>
      </w:r>
      <w:r w:rsidR="008A6B44">
        <w:t>ices</w:t>
      </w:r>
      <w:r w:rsidR="00EB4525">
        <w:t>, 12.5 years higher</w:t>
      </w:r>
      <w:r>
        <w:t xml:space="preserve"> life expectancy levels, </w:t>
      </w:r>
      <w:r w:rsidR="00EB4525">
        <w:t>414.5 fewer maternal deaths</w:t>
      </w:r>
      <w:r w:rsidR="008A6B44">
        <w:t xml:space="preserve"> </w:t>
      </w:r>
      <w:r w:rsidR="00EB4525">
        <w:t>per 100,000 live births, and 34 fewer deaths per 1,000 live births</w:t>
      </w:r>
      <w:r>
        <w:t xml:space="preserve"> </w:t>
      </w:r>
      <w:r w:rsidR="008A6B44">
        <w:t xml:space="preserve">compared to those who spend less. </w:t>
      </w:r>
      <w:r w:rsidR="00085D93">
        <w:rPr>
          <w:b/>
          <w:bCs/>
          <w:color w:val="C00000"/>
        </w:rPr>
        <w:br w:type="page"/>
      </w:r>
    </w:p>
    <w:p w14:paraId="1D2A69A4" w14:textId="79DB8CBF" w:rsidR="003C5D30" w:rsidRPr="00014A75" w:rsidRDefault="003C5D30" w:rsidP="003C5D30">
      <w:pPr>
        <w:spacing w:before="240"/>
        <w:jc w:val="both"/>
        <w:rPr>
          <w:b/>
          <w:bCs/>
          <w:color w:val="C00000"/>
          <w:sz w:val="28"/>
          <w:szCs w:val="28"/>
        </w:rPr>
      </w:pPr>
      <w:r w:rsidRPr="006712A2">
        <w:rPr>
          <w:b/>
          <w:bCs/>
          <w:color w:val="C00000"/>
        </w:rPr>
        <w:lastRenderedPageBreak/>
        <w:t xml:space="preserve">Analyzing the </w:t>
      </w:r>
      <w:r w:rsidR="00E64130" w:rsidRPr="006712A2">
        <w:rPr>
          <w:b/>
          <w:bCs/>
          <w:color w:val="C00000"/>
        </w:rPr>
        <w:t xml:space="preserve">Optimal Health Workforce Density Benchmarks to </w:t>
      </w:r>
      <w:r w:rsidR="00DA7107" w:rsidRPr="006712A2">
        <w:rPr>
          <w:b/>
          <w:bCs/>
          <w:color w:val="C00000"/>
        </w:rPr>
        <w:t>achieve</w:t>
      </w:r>
      <w:r w:rsidRPr="006712A2">
        <w:rPr>
          <w:b/>
          <w:bCs/>
          <w:color w:val="C00000"/>
        </w:rPr>
        <w:t xml:space="preserve"> Key Health Outcomes and UHC Service Coverage Index</w:t>
      </w:r>
      <w:r w:rsidR="00E64130" w:rsidRPr="006712A2">
        <w:rPr>
          <w:b/>
          <w:bCs/>
          <w:color w:val="C00000"/>
        </w:rPr>
        <w:t xml:space="preserve"> before Diminishing Returns</w:t>
      </w:r>
      <w:r w:rsidR="00E64130">
        <w:rPr>
          <w:b/>
          <w:bCs/>
          <w:color w:val="C00000"/>
          <w:sz w:val="28"/>
          <w:szCs w:val="28"/>
        </w:rPr>
        <w:t>.</w:t>
      </w:r>
    </w:p>
    <w:p w14:paraId="5B312236" w14:textId="0E0CBEEA" w:rsidR="005B0680" w:rsidRDefault="003C5D30" w:rsidP="00DA7107">
      <w:pPr>
        <w:spacing w:before="160"/>
        <w:jc w:val="both"/>
      </w:pPr>
      <w:r>
        <w:t xml:space="preserve">Health workforce density refers to the number of health care professionals, such as doctors, nurses, midwives, pharmacists, dentists, etc., available per unit of population. In this section, we assume that this number is measured per 10,000 population. </w:t>
      </w:r>
      <w:r w:rsidRPr="00065196">
        <w:t>Evidence from the World Health Organization (WHO) demonstrates that a minimum density of 44.5 doctors, nurses, and midwives per 10,000 population is essential to deliver essential health services and sustain progress toward UHC</w:t>
      </w:r>
      <w:r w:rsidR="00DA7107">
        <w:t xml:space="preserve"> </w:t>
      </w:r>
      <w:r w:rsidRPr="00065196">
        <w:t>(World Health Organization, 202</w:t>
      </w:r>
      <w:r>
        <w:t>5</w:t>
      </w:r>
      <w:r w:rsidRPr="00065196">
        <w:t>).</w:t>
      </w:r>
      <w:r w:rsidR="00B111C3">
        <w:t xml:space="preserve"> </w:t>
      </w:r>
      <w:r w:rsidRPr="00065196">
        <w:t xml:space="preserve">Countries that reach or surpass this threshold consistently record service coverage indices above 70%, reflecting improved access, quality, and equity in care (Ahmat, </w:t>
      </w:r>
      <w:proofErr w:type="spellStart"/>
      <w:r w:rsidRPr="00065196">
        <w:t>Asamani</w:t>
      </w:r>
      <w:proofErr w:type="spellEnd"/>
      <w:r w:rsidRPr="00065196">
        <w:t xml:space="preserve">, &amp; </w:t>
      </w:r>
      <w:proofErr w:type="spellStart"/>
      <w:r w:rsidRPr="00065196">
        <w:t>Illou</w:t>
      </w:r>
      <w:proofErr w:type="spellEnd"/>
      <w:r w:rsidRPr="00065196">
        <w:t>, 2022).</w:t>
      </w:r>
      <w:r>
        <w:t xml:space="preserve"> </w:t>
      </w:r>
      <w:r w:rsidR="00045BEF">
        <w:t xml:space="preserve"> </w:t>
      </w:r>
      <w:r w:rsidR="005B0680">
        <w:t>To understand</w:t>
      </w:r>
      <w:r w:rsidR="005D1A5A">
        <w:t xml:space="preserve"> whether equal distribution of health workers across cadres can suffice, </w:t>
      </w:r>
      <w:r w:rsidR="005B0680">
        <w:t xml:space="preserve">the average </w:t>
      </w:r>
      <w:r w:rsidR="005D1A5A">
        <w:t xml:space="preserve">observed </w:t>
      </w:r>
      <w:r w:rsidR="005B0680">
        <w:t xml:space="preserve">proportion of health workers </w:t>
      </w:r>
      <w:r w:rsidR="005D1A5A">
        <w:t xml:space="preserve">per 10,000 population for each cadre </w:t>
      </w:r>
      <w:r w:rsidR="005B0680">
        <w:t>t</w:t>
      </w:r>
      <w:r w:rsidR="005D1A5A">
        <w:t>hat</w:t>
      </w:r>
      <w:r w:rsidR="005B0680">
        <w:t xml:space="preserve"> </w:t>
      </w:r>
      <w:r w:rsidR="005D1A5A">
        <w:t>met</w:t>
      </w:r>
      <w:r w:rsidR="005B0680">
        <w:t xml:space="preserve"> the 70% UHC, as per the historical dataset, was </w:t>
      </w:r>
      <w:r w:rsidR="005D1A5A">
        <w:t>calculated</w:t>
      </w:r>
      <w:r w:rsidR="005B0680">
        <w:t xml:space="preserve"> and recorded in Table 5. </w:t>
      </w:r>
    </w:p>
    <w:tbl>
      <w:tblPr>
        <w:tblW w:w="8561" w:type="dxa"/>
        <w:tblLook w:val="04A0" w:firstRow="1" w:lastRow="0" w:firstColumn="1" w:lastColumn="0" w:noHBand="0" w:noVBand="1"/>
      </w:tblPr>
      <w:tblGrid>
        <w:gridCol w:w="3015"/>
        <w:gridCol w:w="938"/>
        <w:gridCol w:w="981"/>
        <w:gridCol w:w="1912"/>
        <w:gridCol w:w="1359"/>
        <w:gridCol w:w="720"/>
      </w:tblGrid>
      <w:tr w:rsidR="005B0680" w:rsidRPr="00065196" w14:paraId="4EF08DDA" w14:textId="77777777" w:rsidTr="0002795A">
        <w:trPr>
          <w:trHeight w:val="288"/>
        </w:trPr>
        <w:tc>
          <w:tcPr>
            <w:tcW w:w="8561" w:type="dxa"/>
            <w:gridSpan w:val="6"/>
            <w:tcBorders>
              <w:top w:val="nil"/>
              <w:left w:val="nil"/>
              <w:bottom w:val="nil"/>
              <w:right w:val="nil"/>
            </w:tcBorders>
            <w:noWrap/>
            <w:vAlign w:val="bottom"/>
            <w:hideMark/>
          </w:tcPr>
          <w:p w14:paraId="06FA6490" w14:textId="00C5454D" w:rsidR="005B0680" w:rsidRPr="00065196" w:rsidRDefault="005B0680" w:rsidP="0002795A">
            <w:pPr>
              <w:spacing w:after="0" w:line="240" w:lineRule="auto"/>
              <w:jc w:val="center"/>
              <w:rPr>
                <w:rFonts w:ascii="Aptos Narrow" w:eastAsia="Times New Roman" w:hAnsi="Aptos Narrow" w:cs="Times New Roman"/>
                <w:b/>
                <w:bCs/>
                <w:color w:val="0070C0"/>
                <w:kern w:val="0"/>
                <w:sz w:val="22"/>
                <w:szCs w:val="22"/>
                <w14:ligatures w14:val="none"/>
              </w:rPr>
            </w:pPr>
            <w:r w:rsidRPr="00065196">
              <w:rPr>
                <w:rFonts w:ascii="Aptos Narrow" w:eastAsia="Times New Roman" w:hAnsi="Aptos Narrow" w:cs="Times New Roman"/>
                <w:b/>
                <w:bCs/>
                <w:color w:val="0070C0"/>
                <w:kern w:val="0"/>
                <w:sz w:val="22"/>
                <w:szCs w:val="22"/>
                <w14:ligatures w14:val="none"/>
              </w:rPr>
              <w:t xml:space="preserve">Table </w:t>
            </w:r>
            <w:r>
              <w:rPr>
                <w:rFonts w:ascii="Aptos Narrow" w:eastAsia="Times New Roman" w:hAnsi="Aptos Narrow" w:cs="Times New Roman"/>
                <w:b/>
                <w:bCs/>
                <w:color w:val="0070C0"/>
                <w:kern w:val="0"/>
                <w:sz w:val="22"/>
                <w:szCs w:val="22"/>
                <w14:ligatures w14:val="none"/>
              </w:rPr>
              <w:t>5</w:t>
            </w:r>
            <w:r w:rsidRPr="00065196">
              <w:rPr>
                <w:rFonts w:ascii="Aptos Narrow" w:eastAsia="Times New Roman" w:hAnsi="Aptos Narrow" w:cs="Times New Roman"/>
                <w:b/>
                <w:bCs/>
                <w:color w:val="0070C0"/>
                <w:kern w:val="0"/>
                <w:sz w:val="22"/>
                <w:szCs w:val="22"/>
                <w14:ligatures w14:val="none"/>
              </w:rPr>
              <w:t xml:space="preserve">: </w:t>
            </w:r>
            <w:r>
              <w:rPr>
                <w:rFonts w:ascii="Aptos Narrow" w:eastAsia="Times New Roman" w:hAnsi="Aptos Narrow" w:cs="Times New Roman"/>
                <w:b/>
                <w:bCs/>
                <w:color w:val="0070C0"/>
                <w:kern w:val="0"/>
                <w:sz w:val="22"/>
                <w:szCs w:val="22"/>
                <w14:ligatures w14:val="none"/>
              </w:rPr>
              <w:t>Descriptive Analysis of the M</w:t>
            </w:r>
            <w:r w:rsidRPr="00065196">
              <w:rPr>
                <w:rFonts w:ascii="Aptos Narrow" w:eastAsia="Times New Roman" w:hAnsi="Aptos Narrow" w:cs="Times New Roman"/>
                <w:b/>
                <w:bCs/>
                <w:color w:val="0070C0"/>
                <w:kern w:val="0"/>
                <w:sz w:val="22"/>
                <w:szCs w:val="22"/>
                <w14:ligatures w14:val="none"/>
              </w:rPr>
              <w:t xml:space="preserve">inimum Achievement </w:t>
            </w:r>
            <w:r>
              <w:rPr>
                <w:rFonts w:ascii="Aptos Narrow" w:eastAsia="Times New Roman" w:hAnsi="Aptos Narrow" w:cs="Times New Roman"/>
                <w:b/>
                <w:bCs/>
                <w:color w:val="0070C0"/>
                <w:kern w:val="0"/>
                <w:sz w:val="22"/>
                <w:szCs w:val="22"/>
                <w14:ligatures w14:val="none"/>
              </w:rPr>
              <w:t>of</w:t>
            </w:r>
            <w:r w:rsidRPr="00065196">
              <w:rPr>
                <w:rFonts w:ascii="Aptos Narrow" w:eastAsia="Times New Roman" w:hAnsi="Aptos Narrow" w:cs="Times New Roman"/>
                <w:b/>
                <w:bCs/>
                <w:color w:val="0070C0"/>
                <w:kern w:val="0"/>
                <w:sz w:val="22"/>
                <w:szCs w:val="22"/>
                <w14:ligatures w14:val="none"/>
              </w:rPr>
              <w:t xml:space="preserve"> 70 </w:t>
            </w:r>
            <w:r>
              <w:rPr>
                <w:rFonts w:ascii="Aptos Narrow" w:eastAsia="Times New Roman" w:hAnsi="Aptos Narrow" w:cs="Times New Roman"/>
                <w:b/>
                <w:bCs/>
                <w:color w:val="0070C0"/>
                <w:kern w:val="0"/>
                <w:sz w:val="22"/>
                <w:szCs w:val="22"/>
                <w14:ligatures w14:val="none"/>
              </w:rPr>
              <w:t xml:space="preserve">% UHC </w:t>
            </w:r>
            <w:r w:rsidRPr="00065196">
              <w:rPr>
                <w:rFonts w:ascii="Aptos Narrow" w:eastAsia="Times New Roman" w:hAnsi="Aptos Narrow" w:cs="Times New Roman"/>
                <w:b/>
                <w:bCs/>
                <w:color w:val="0070C0"/>
                <w:kern w:val="0"/>
                <w:sz w:val="22"/>
                <w:szCs w:val="22"/>
                <w14:ligatures w14:val="none"/>
              </w:rPr>
              <w:t xml:space="preserve">per 10,000 population </w:t>
            </w:r>
          </w:p>
        </w:tc>
      </w:tr>
      <w:tr w:rsidR="005B0680" w:rsidRPr="00065196" w14:paraId="0E6E7B16" w14:textId="77777777" w:rsidTr="0002795A">
        <w:trPr>
          <w:trHeight w:val="288"/>
        </w:trPr>
        <w:tc>
          <w:tcPr>
            <w:tcW w:w="3015" w:type="dxa"/>
            <w:tcBorders>
              <w:top w:val="single" w:sz="4" w:space="0" w:color="auto"/>
              <w:left w:val="nil"/>
              <w:bottom w:val="single" w:sz="4" w:space="0" w:color="auto"/>
              <w:right w:val="nil"/>
            </w:tcBorders>
            <w:noWrap/>
            <w:vAlign w:val="bottom"/>
            <w:hideMark/>
          </w:tcPr>
          <w:p w14:paraId="7D7EBE1B" w14:textId="77777777" w:rsidR="005B0680" w:rsidRPr="00065196" w:rsidRDefault="005B0680" w:rsidP="0002795A">
            <w:pPr>
              <w:spacing w:after="0" w:line="240" w:lineRule="auto"/>
              <w:rPr>
                <w:rFonts w:ascii="Aptos Narrow" w:eastAsia="Times New Roman" w:hAnsi="Aptos Narrow" w:cs="Times New Roman"/>
                <w:b/>
                <w:bCs/>
                <w:color w:val="000000"/>
                <w:kern w:val="0"/>
                <w:sz w:val="22"/>
                <w:szCs w:val="22"/>
                <w14:ligatures w14:val="none"/>
              </w:rPr>
            </w:pPr>
            <w:r w:rsidRPr="00065196">
              <w:rPr>
                <w:rFonts w:ascii="Aptos Narrow" w:eastAsia="Times New Roman" w:hAnsi="Aptos Narrow" w:cs="Times New Roman"/>
                <w:b/>
                <w:bCs/>
                <w:color w:val="000000"/>
                <w:kern w:val="0"/>
                <w:sz w:val="22"/>
                <w:szCs w:val="22"/>
                <w14:ligatures w14:val="none"/>
              </w:rPr>
              <w:t>Cadre</w:t>
            </w:r>
          </w:p>
        </w:tc>
        <w:tc>
          <w:tcPr>
            <w:tcW w:w="840" w:type="dxa"/>
            <w:tcBorders>
              <w:top w:val="single" w:sz="4" w:space="0" w:color="auto"/>
              <w:left w:val="nil"/>
              <w:bottom w:val="single" w:sz="4" w:space="0" w:color="auto"/>
              <w:right w:val="nil"/>
            </w:tcBorders>
            <w:noWrap/>
            <w:vAlign w:val="bottom"/>
            <w:hideMark/>
          </w:tcPr>
          <w:p w14:paraId="025010D1" w14:textId="77777777" w:rsidR="005B0680" w:rsidRPr="00065196" w:rsidRDefault="005B0680" w:rsidP="0002795A">
            <w:pPr>
              <w:spacing w:after="0" w:line="240" w:lineRule="auto"/>
              <w:jc w:val="center"/>
              <w:rPr>
                <w:rFonts w:ascii="Aptos Narrow" w:eastAsia="Times New Roman" w:hAnsi="Aptos Narrow" w:cs="Times New Roman"/>
                <w:b/>
                <w:bCs/>
                <w:color w:val="000000"/>
                <w:kern w:val="0"/>
                <w:sz w:val="22"/>
                <w:szCs w:val="22"/>
                <w14:ligatures w14:val="none"/>
              </w:rPr>
            </w:pPr>
            <w:r w:rsidRPr="00065196">
              <w:rPr>
                <w:rFonts w:ascii="Aptos Narrow" w:eastAsia="Times New Roman" w:hAnsi="Aptos Narrow" w:cs="Times New Roman"/>
                <w:b/>
                <w:bCs/>
                <w:color w:val="000000"/>
                <w:kern w:val="0"/>
                <w:sz w:val="22"/>
                <w:szCs w:val="22"/>
                <w14:ligatures w14:val="none"/>
              </w:rPr>
              <w:t>Doctors</w:t>
            </w:r>
          </w:p>
        </w:tc>
        <w:tc>
          <w:tcPr>
            <w:tcW w:w="888" w:type="dxa"/>
            <w:tcBorders>
              <w:top w:val="single" w:sz="4" w:space="0" w:color="auto"/>
              <w:left w:val="nil"/>
              <w:bottom w:val="single" w:sz="4" w:space="0" w:color="auto"/>
              <w:right w:val="nil"/>
            </w:tcBorders>
            <w:noWrap/>
            <w:vAlign w:val="bottom"/>
            <w:hideMark/>
          </w:tcPr>
          <w:p w14:paraId="54A1D0E8" w14:textId="77777777" w:rsidR="005B0680" w:rsidRPr="00065196" w:rsidRDefault="005B0680" w:rsidP="0002795A">
            <w:pPr>
              <w:spacing w:after="0" w:line="240" w:lineRule="auto"/>
              <w:jc w:val="center"/>
              <w:rPr>
                <w:rFonts w:ascii="Aptos Narrow" w:eastAsia="Times New Roman" w:hAnsi="Aptos Narrow" w:cs="Times New Roman"/>
                <w:b/>
                <w:bCs/>
                <w:color w:val="000000"/>
                <w:kern w:val="0"/>
                <w:sz w:val="22"/>
                <w:szCs w:val="22"/>
                <w14:ligatures w14:val="none"/>
              </w:rPr>
            </w:pPr>
            <w:r w:rsidRPr="00065196">
              <w:rPr>
                <w:rFonts w:ascii="Aptos Narrow" w:eastAsia="Times New Roman" w:hAnsi="Aptos Narrow" w:cs="Times New Roman"/>
                <w:b/>
                <w:bCs/>
                <w:color w:val="000000"/>
                <w:kern w:val="0"/>
                <w:sz w:val="22"/>
                <w:szCs w:val="22"/>
                <w14:ligatures w14:val="none"/>
              </w:rPr>
              <w:t>Dentists</w:t>
            </w:r>
          </w:p>
        </w:tc>
        <w:tc>
          <w:tcPr>
            <w:tcW w:w="1912" w:type="dxa"/>
            <w:tcBorders>
              <w:top w:val="single" w:sz="4" w:space="0" w:color="auto"/>
              <w:left w:val="nil"/>
              <w:bottom w:val="single" w:sz="4" w:space="0" w:color="auto"/>
              <w:right w:val="nil"/>
            </w:tcBorders>
            <w:noWrap/>
            <w:vAlign w:val="bottom"/>
            <w:hideMark/>
          </w:tcPr>
          <w:p w14:paraId="5ED829DA" w14:textId="77777777" w:rsidR="005B0680" w:rsidRPr="00065196" w:rsidRDefault="005B0680" w:rsidP="0002795A">
            <w:pPr>
              <w:spacing w:after="0" w:line="240" w:lineRule="auto"/>
              <w:jc w:val="center"/>
              <w:rPr>
                <w:rFonts w:ascii="Aptos Narrow" w:eastAsia="Times New Roman" w:hAnsi="Aptos Narrow" w:cs="Times New Roman"/>
                <w:b/>
                <w:bCs/>
                <w:color w:val="000000"/>
                <w:kern w:val="0"/>
                <w:sz w:val="22"/>
                <w:szCs w:val="22"/>
                <w14:ligatures w14:val="none"/>
              </w:rPr>
            </w:pPr>
            <w:proofErr w:type="spellStart"/>
            <w:r w:rsidRPr="00065196">
              <w:rPr>
                <w:rFonts w:ascii="Aptos Narrow" w:eastAsia="Times New Roman" w:hAnsi="Aptos Narrow" w:cs="Times New Roman"/>
                <w:b/>
                <w:bCs/>
                <w:color w:val="000000"/>
                <w:kern w:val="0"/>
                <w:sz w:val="22"/>
                <w:szCs w:val="22"/>
                <w14:ligatures w14:val="none"/>
              </w:rPr>
              <w:t>Nursing_Midwifery</w:t>
            </w:r>
            <w:proofErr w:type="spellEnd"/>
          </w:p>
        </w:tc>
        <w:tc>
          <w:tcPr>
            <w:tcW w:w="1310" w:type="dxa"/>
            <w:tcBorders>
              <w:top w:val="single" w:sz="4" w:space="0" w:color="auto"/>
              <w:left w:val="nil"/>
              <w:bottom w:val="single" w:sz="4" w:space="0" w:color="auto"/>
              <w:right w:val="nil"/>
            </w:tcBorders>
            <w:noWrap/>
            <w:vAlign w:val="bottom"/>
            <w:hideMark/>
          </w:tcPr>
          <w:p w14:paraId="25CA6B4F" w14:textId="77777777" w:rsidR="005B0680" w:rsidRPr="00065196" w:rsidRDefault="005B0680" w:rsidP="0002795A">
            <w:pPr>
              <w:spacing w:after="0" w:line="240" w:lineRule="auto"/>
              <w:jc w:val="center"/>
              <w:rPr>
                <w:rFonts w:ascii="Aptos Narrow" w:eastAsia="Times New Roman" w:hAnsi="Aptos Narrow" w:cs="Times New Roman"/>
                <w:b/>
                <w:bCs/>
                <w:color w:val="000000"/>
                <w:kern w:val="0"/>
                <w:sz w:val="22"/>
                <w:szCs w:val="22"/>
                <w14:ligatures w14:val="none"/>
              </w:rPr>
            </w:pPr>
            <w:r w:rsidRPr="00065196">
              <w:rPr>
                <w:rFonts w:ascii="Aptos Narrow" w:eastAsia="Times New Roman" w:hAnsi="Aptos Narrow" w:cs="Times New Roman"/>
                <w:b/>
                <w:bCs/>
                <w:color w:val="000000"/>
                <w:kern w:val="0"/>
                <w:sz w:val="22"/>
                <w:szCs w:val="22"/>
                <w14:ligatures w14:val="none"/>
              </w:rPr>
              <w:t>Pharmacists</w:t>
            </w:r>
          </w:p>
        </w:tc>
        <w:tc>
          <w:tcPr>
            <w:tcW w:w="596" w:type="dxa"/>
            <w:tcBorders>
              <w:top w:val="single" w:sz="4" w:space="0" w:color="auto"/>
              <w:left w:val="nil"/>
              <w:bottom w:val="single" w:sz="4" w:space="0" w:color="auto"/>
              <w:right w:val="nil"/>
            </w:tcBorders>
            <w:noWrap/>
            <w:vAlign w:val="bottom"/>
            <w:hideMark/>
          </w:tcPr>
          <w:p w14:paraId="61838ABE" w14:textId="77777777" w:rsidR="005B0680" w:rsidRPr="00065196" w:rsidRDefault="005B0680" w:rsidP="0002795A">
            <w:pPr>
              <w:spacing w:after="0" w:line="240" w:lineRule="auto"/>
              <w:jc w:val="center"/>
              <w:rPr>
                <w:rFonts w:ascii="Aptos Narrow" w:eastAsia="Times New Roman" w:hAnsi="Aptos Narrow" w:cs="Times New Roman"/>
                <w:b/>
                <w:bCs/>
                <w:color w:val="000000"/>
                <w:kern w:val="0"/>
                <w:sz w:val="22"/>
                <w:szCs w:val="22"/>
                <w14:ligatures w14:val="none"/>
              </w:rPr>
            </w:pPr>
            <w:r w:rsidRPr="00065196">
              <w:rPr>
                <w:rFonts w:ascii="Aptos Narrow" w:eastAsia="Times New Roman" w:hAnsi="Aptos Narrow" w:cs="Times New Roman"/>
                <w:b/>
                <w:bCs/>
                <w:color w:val="000000"/>
                <w:kern w:val="0"/>
                <w:sz w:val="22"/>
                <w:szCs w:val="22"/>
                <w14:ligatures w14:val="none"/>
              </w:rPr>
              <w:t>Total</w:t>
            </w:r>
          </w:p>
        </w:tc>
      </w:tr>
      <w:tr w:rsidR="005B0680" w:rsidRPr="00065196" w14:paraId="4BF1575B" w14:textId="77777777" w:rsidTr="0002795A">
        <w:trPr>
          <w:trHeight w:val="288"/>
        </w:trPr>
        <w:tc>
          <w:tcPr>
            <w:tcW w:w="3015" w:type="dxa"/>
            <w:tcBorders>
              <w:top w:val="nil"/>
              <w:left w:val="nil"/>
              <w:bottom w:val="nil"/>
              <w:right w:val="nil"/>
            </w:tcBorders>
            <w:shd w:val="clear" w:color="000000" w:fill="FFFFFF"/>
            <w:noWrap/>
            <w:vAlign w:val="bottom"/>
            <w:hideMark/>
          </w:tcPr>
          <w:p w14:paraId="3F74A939" w14:textId="77777777" w:rsidR="005B0680" w:rsidRPr="00065196" w:rsidRDefault="005B0680" w:rsidP="0002795A">
            <w:pPr>
              <w:spacing w:after="0" w:line="240" w:lineRule="auto"/>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Average per 10,000 population</w:t>
            </w:r>
          </w:p>
        </w:tc>
        <w:tc>
          <w:tcPr>
            <w:tcW w:w="840" w:type="dxa"/>
            <w:tcBorders>
              <w:top w:val="nil"/>
              <w:left w:val="nil"/>
              <w:bottom w:val="nil"/>
              <w:right w:val="nil"/>
            </w:tcBorders>
            <w:shd w:val="clear" w:color="000000" w:fill="FFFFFF"/>
            <w:noWrap/>
            <w:vAlign w:val="bottom"/>
            <w:hideMark/>
          </w:tcPr>
          <w:p w14:paraId="798CCC51"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11.09</w:t>
            </w:r>
          </w:p>
        </w:tc>
        <w:tc>
          <w:tcPr>
            <w:tcW w:w="888" w:type="dxa"/>
            <w:tcBorders>
              <w:top w:val="nil"/>
              <w:left w:val="nil"/>
              <w:bottom w:val="nil"/>
              <w:right w:val="nil"/>
            </w:tcBorders>
            <w:shd w:val="clear" w:color="000000" w:fill="FFFFFF"/>
            <w:noWrap/>
            <w:vAlign w:val="bottom"/>
            <w:hideMark/>
          </w:tcPr>
          <w:p w14:paraId="29872CBF"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2.19</w:t>
            </w:r>
          </w:p>
        </w:tc>
        <w:tc>
          <w:tcPr>
            <w:tcW w:w="1912" w:type="dxa"/>
            <w:tcBorders>
              <w:top w:val="nil"/>
              <w:left w:val="nil"/>
              <w:bottom w:val="nil"/>
              <w:right w:val="nil"/>
            </w:tcBorders>
            <w:shd w:val="clear" w:color="000000" w:fill="FFFFFF"/>
            <w:noWrap/>
            <w:vAlign w:val="bottom"/>
            <w:hideMark/>
          </w:tcPr>
          <w:p w14:paraId="41CC75D3"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28.53</w:t>
            </w:r>
          </w:p>
        </w:tc>
        <w:tc>
          <w:tcPr>
            <w:tcW w:w="1310" w:type="dxa"/>
            <w:tcBorders>
              <w:top w:val="nil"/>
              <w:left w:val="nil"/>
              <w:bottom w:val="nil"/>
              <w:right w:val="nil"/>
            </w:tcBorders>
            <w:shd w:val="clear" w:color="000000" w:fill="FFFFFF"/>
            <w:noWrap/>
            <w:vAlign w:val="bottom"/>
            <w:hideMark/>
          </w:tcPr>
          <w:p w14:paraId="5BD102B5"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2.81</w:t>
            </w:r>
          </w:p>
        </w:tc>
        <w:tc>
          <w:tcPr>
            <w:tcW w:w="596" w:type="dxa"/>
            <w:tcBorders>
              <w:top w:val="nil"/>
              <w:left w:val="nil"/>
              <w:bottom w:val="nil"/>
              <w:right w:val="nil"/>
            </w:tcBorders>
            <w:shd w:val="clear" w:color="000000" w:fill="FFFFFF"/>
            <w:noWrap/>
            <w:vAlign w:val="bottom"/>
            <w:hideMark/>
          </w:tcPr>
          <w:p w14:paraId="7C61B889"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44.61</w:t>
            </w:r>
          </w:p>
        </w:tc>
      </w:tr>
      <w:tr w:rsidR="005B0680" w:rsidRPr="00065196" w14:paraId="36D035AD" w14:textId="77777777" w:rsidTr="0002795A">
        <w:trPr>
          <w:trHeight w:val="288"/>
        </w:trPr>
        <w:tc>
          <w:tcPr>
            <w:tcW w:w="3015" w:type="dxa"/>
            <w:tcBorders>
              <w:top w:val="nil"/>
              <w:left w:val="nil"/>
              <w:bottom w:val="single" w:sz="4" w:space="0" w:color="auto"/>
              <w:right w:val="nil"/>
            </w:tcBorders>
            <w:shd w:val="clear" w:color="000000" w:fill="FFFFFF"/>
            <w:noWrap/>
            <w:vAlign w:val="bottom"/>
            <w:hideMark/>
          </w:tcPr>
          <w:p w14:paraId="04B11401" w14:textId="77777777" w:rsidR="005B0680" w:rsidRPr="00065196" w:rsidRDefault="005B0680" w:rsidP="0002795A">
            <w:pPr>
              <w:spacing w:after="0" w:line="240" w:lineRule="auto"/>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Proportion per doctor</w:t>
            </w:r>
          </w:p>
        </w:tc>
        <w:tc>
          <w:tcPr>
            <w:tcW w:w="840" w:type="dxa"/>
            <w:tcBorders>
              <w:top w:val="nil"/>
              <w:left w:val="nil"/>
              <w:bottom w:val="single" w:sz="4" w:space="0" w:color="auto"/>
              <w:right w:val="nil"/>
            </w:tcBorders>
            <w:shd w:val="clear" w:color="000000" w:fill="FFFFFF"/>
            <w:noWrap/>
            <w:vAlign w:val="bottom"/>
            <w:hideMark/>
          </w:tcPr>
          <w:p w14:paraId="18592AF4"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1.000</w:t>
            </w:r>
          </w:p>
        </w:tc>
        <w:tc>
          <w:tcPr>
            <w:tcW w:w="888" w:type="dxa"/>
            <w:tcBorders>
              <w:top w:val="nil"/>
              <w:left w:val="nil"/>
              <w:bottom w:val="single" w:sz="4" w:space="0" w:color="auto"/>
              <w:right w:val="nil"/>
            </w:tcBorders>
            <w:shd w:val="clear" w:color="000000" w:fill="FFFFFF"/>
            <w:noWrap/>
            <w:vAlign w:val="bottom"/>
            <w:hideMark/>
          </w:tcPr>
          <w:p w14:paraId="2FD19C26"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0.197</w:t>
            </w:r>
          </w:p>
        </w:tc>
        <w:tc>
          <w:tcPr>
            <w:tcW w:w="1912" w:type="dxa"/>
            <w:tcBorders>
              <w:top w:val="nil"/>
              <w:left w:val="nil"/>
              <w:bottom w:val="single" w:sz="4" w:space="0" w:color="auto"/>
              <w:right w:val="nil"/>
            </w:tcBorders>
            <w:shd w:val="clear" w:color="000000" w:fill="FFFFFF"/>
            <w:noWrap/>
            <w:vAlign w:val="bottom"/>
            <w:hideMark/>
          </w:tcPr>
          <w:p w14:paraId="1760188D"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2.573</w:t>
            </w:r>
          </w:p>
        </w:tc>
        <w:tc>
          <w:tcPr>
            <w:tcW w:w="1310" w:type="dxa"/>
            <w:tcBorders>
              <w:top w:val="nil"/>
              <w:left w:val="nil"/>
              <w:bottom w:val="single" w:sz="4" w:space="0" w:color="auto"/>
              <w:right w:val="nil"/>
            </w:tcBorders>
            <w:shd w:val="clear" w:color="000000" w:fill="FFFFFF"/>
            <w:noWrap/>
            <w:vAlign w:val="bottom"/>
            <w:hideMark/>
          </w:tcPr>
          <w:p w14:paraId="5C9A9C48"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r w:rsidRPr="00065196">
              <w:rPr>
                <w:rFonts w:ascii="Aptos Narrow" w:eastAsia="Times New Roman" w:hAnsi="Aptos Narrow" w:cs="Times New Roman"/>
                <w:color w:val="000000"/>
                <w:kern w:val="0"/>
                <w:sz w:val="22"/>
                <w:szCs w:val="22"/>
                <w14:ligatures w14:val="none"/>
              </w:rPr>
              <w:t>0.254</w:t>
            </w:r>
          </w:p>
        </w:tc>
        <w:tc>
          <w:tcPr>
            <w:tcW w:w="596" w:type="dxa"/>
            <w:tcBorders>
              <w:top w:val="nil"/>
              <w:left w:val="nil"/>
              <w:bottom w:val="single" w:sz="4" w:space="0" w:color="auto"/>
              <w:right w:val="nil"/>
            </w:tcBorders>
            <w:shd w:val="clear" w:color="000000" w:fill="FFFFFF"/>
            <w:noWrap/>
            <w:vAlign w:val="bottom"/>
            <w:hideMark/>
          </w:tcPr>
          <w:p w14:paraId="326A65CD" w14:textId="77777777" w:rsidR="005B0680" w:rsidRPr="00065196" w:rsidRDefault="005B0680" w:rsidP="0002795A">
            <w:pPr>
              <w:spacing w:after="0" w:line="240" w:lineRule="auto"/>
              <w:jc w:val="center"/>
              <w:rPr>
                <w:rFonts w:ascii="Aptos Narrow" w:eastAsia="Times New Roman" w:hAnsi="Aptos Narrow" w:cs="Times New Roman"/>
                <w:color w:val="000000"/>
                <w:kern w:val="0"/>
                <w:sz w:val="22"/>
                <w:szCs w:val="22"/>
                <w14:ligatures w14:val="none"/>
              </w:rPr>
            </w:pPr>
          </w:p>
        </w:tc>
      </w:tr>
    </w:tbl>
    <w:p w14:paraId="5ED960E4" w14:textId="77777777" w:rsidR="00D83536" w:rsidRDefault="00D83536" w:rsidP="00D83536">
      <w:pPr>
        <w:spacing w:after="120"/>
        <w:jc w:val="both"/>
      </w:pPr>
    </w:p>
    <w:p w14:paraId="7D2C2D32" w14:textId="758CE641" w:rsidR="00D83536" w:rsidRDefault="00D83536" w:rsidP="00FF7812">
      <w:pPr>
        <w:spacing w:after="120"/>
      </w:pPr>
      <w:r>
        <w:rPr>
          <w:noProof/>
        </w:rPr>
        <w:drawing>
          <wp:anchor distT="0" distB="0" distL="114300" distR="114300" simplePos="0" relativeHeight="251659264" behindDoc="1" locked="0" layoutInCell="1" allowOverlap="1" wp14:anchorId="32E3E727" wp14:editId="22CED7F8">
            <wp:simplePos x="0" y="0"/>
            <wp:positionH relativeFrom="column">
              <wp:posOffset>810260</wp:posOffset>
            </wp:positionH>
            <wp:positionV relativeFrom="paragraph">
              <wp:posOffset>1341120</wp:posOffset>
            </wp:positionV>
            <wp:extent cx="4866005" cy="2539365"/>
            <wp:effectExtent l="0" t="0" r="0" b="0"/>
            <wp:wrapTopAndBottom/>
            <wp:docPr id="16917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6005" cy="253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680">
        <w:t xml:space="preserve">It was observed (see Table 5) that, on average, a minimum of about 11.09 doctors, 2.19 dentists, 28.53 nurses and midwives, and 2.81 pharmacists are required per 10,000 population to achieve </w:t>
      </w:r>
      <w:r w:rsidR="00DA7107">
        <w:t xml:space="preserve">at least </w:t>
      </w:r>
      <w:r w:rsidR="005B0680">
        <w:t>70% U</w:t>
      </w:r>
      <w:r w:rsidR="00DA7107">
        <w:t>niversal Health Service</w:t>
      </w:r>
      <w:r w:rsidR="005B0680">
        <w:t xml:space="preserve"> </w:t>
      </w:r>
      <w:r w:rsidR="00DA7107">
        <w:t xml:space="preserve">Coverage </w:t>
      </w:r>
      <w:r w:rsidR="005B0680">
        <w:t>levels. Implying that the journey to a</w:t>
      </w:r>
      <w:r w:rsidR="005B0680" w:rsidRPr="0069633A">
        <w:t>chieving</w:t>
      </w:r>
      <w:r w:rsidR="005B0680">
        <w:t xml:space="preserve"> 100% </w:t>
      </w:r>
      <w:r w:rsidR="005B0680" w:rsidRPr="0069633A">
        <w:t>Universal Health Coverage (UHC)</w:t>
      </w:r>
      <w:r w:rsidR="005B0680" w:rsidRPr="00FF7812">
        <w:t xml:space="preserve"> doesn’t require an equitable but rather a well-distributed health workforce</w:t>
      </w:r>
      <w:r w:rsidR="00E706DA" w:rsidRPr="00FF7812">
        <w:t xml:space="preserve"> across cadres</w:t>
      </w:r>
      <w:r w:rsidR="005B0680" w:rsidRPr="00FF7812">
        <w:t>.</w:t>
      </w:r>
      <w:r w:rsidR="005B0680" w:rsidRPr="005B0680">
        <w:t xml:space="preserve"> </w:t>
      </w:r>
      <w:r w:rsidR="005B0680">
        <w:t xml:space="preserve">A </w:t>
      </w:r>
      <w:r>
        <w:t xml:space="preserve">non-linear relationship between UHC_SCI and the different HWF density cadres was </w:t>
      </w:r>
      <w:r w:rsidR="00E706DA">
        <w:t>spotted</w:t>
      </w:r>
      <w:r>
        <w:t xml:space="preserve"> from the </w:t>
      </w:r>
      <w:r w:rsidR="005B0680">
        <w:t xml:space="preserve">visual plot </w:t>
      </w:r>
      <w:r>
        <w:t>(See Figure 2).</w:t>
      </w:r>
    </w:p>
    <w:p w14:paraId="71497AB1" w14:textId="79CE5F55" w:rsidR="005B065E" w:rsidRPr="005B065E" w:rsidRDefault="005B065E" w:rsidP="00D83536">
      <w:pPr>
        <w:spacing w:after="120"/>
        <w:jc w:val="center"/>
        <w:rPr>
          <w:rFonts w:ascii="Aptos Narrow" w:eastAsia="Times New Roman" w:hAnsi="Aptos Narrow" w:cs="Times New Roman"/>
          <w:b/>
          <w:bCs/>
          <w:color w:val="0070C0"/>
          <w:kern w:val="0"/>
          <w:sz w:val="22"/>
          <w:szCs w:val="22"/>
          <w14:ligatures w14:val="none"/>
        </w:rPr>
      </w:pPr>
      <w:r w:rsidRPr="005B065E">
        <w:rPr>
          <w:rFonts w:ascii="Aptos Narrow" w:eastAsia="Times New Roman" w:hAnsi="Aptos Narrow" w:cs="Times New Roman"/>
          <w:b/>
          <w:bCs/>
          <w:color w:val="0070C0"/>
          <w:kern w:val="0"/>
          <w:sz w:val="22"/>
          <w:szCs w:val="22"/>
          <w14:ligatures w14:val="none"/>
        </w:rPr>
        <w:t>Figure 2: Relationship between UHC and Cadre Specific HWF Densities</w:t>
      </w:r>
    </w:p>
    <w:p w14:paraId="2F36CF4B" w14:textId="63EC9A0A" w:rsidR="009445BD" w:rsidRDefault="00050DFA" w:rsidP="009445BD">
      <w:pPr>
        <w:jc w:val="both"/>
      </w:pPr>
      <w:r>
        <w:lastRenderedPageBreak/>
        <w:t xml:space="preserve">A </w:t>
      </w:r>
      <w:r w:rsidR="00D42355">
        <w:t xml:space="preserve">similar </w:t>
      </w:r>
      <w:r w:rsidR="005D1A5A">
        <w:t xml:space="preserve">non-linear </w:t>
      </w:r>
      <w:r w:rsidR="00D42355">
        <w:t xml:space="preserve">relationship </w:t>
      </w:r>
      <w:r w:rsidR="005D1A5A">
        <w:t>was assumed between health workforce densities of different cadres and the key health outcomes such as life expectancy (LE), maternal mortality ratio (MMR), and infant mortality ratio (IMR).</w:t>
      </w:r>
      <w:r w:rsidR="009445BD">
        <w:t xml:space="preserve"> A generalized additive model, see equation (2), was fitted to </w:t>
      </w:r>
      <w:r w:rsidR="00AE4CBF">
        <w:t xml:space="preserve">examine the relationship between a specific key health outcome and the workforce density of a specific cadre per 10,000 population </w:t>
      </w:r>
      <w:r w:rsidR="004F16A0">
        <w:t>to</w:t>
      </w:r>
      <w:r w:rsidR="009445BD">
        <w:t xml:space="preserve"> </w:t>
      </w:r>
      <w:r w:rsidR="00AE4CBF">
        <w:t xml:space="preserve">help us </w:t>
      </w:r>
      <w:r w:rsidR="005D1A5A">
        <w:t xml:space="preserve">determine the threshold above which we </w:t>
      </w:r>
      <w:r w:rsidR="004F16A0">
        <w:t>record</w:t>
      </w:r>
      <w:r w:rsidR="005D1A5A">
        <w:t xml:space="preserve"> diminishing effects </w:t>
      </w:r>
      <w:r w:rsidR="004F16A0">
        <w:t>despite</w:t>
      </w:r>
      <w:r w:rsidR="005D1A5A">
        <w:t xml:space="preserve"> </w:t>
      </w:r>
      <w:r w:rsidR="004F16A0">
        <w:t xml:space="preserve">an </w:t>
      </w:r>
      <w:r w:rsidR="005D1A5A">
        <w:t xml:space="preserve">increase in </w:t>
      </w:r>
      <w:r w:rsidR="004F16A0">
        <w:t xml:space="preserve">the </w:t>
      </w:r>
      <w:r w:rsidR="005D1A5A">
        <w:t>health workforce workers from a specific cadre</w:t>
      </w:r>
      <w:r w:rsidR="009445BD">
        <w:t xml:space="preserve">. </w:t>
      </w:r>
    </w:p>
    <w:p w14:paraId="64BB33FB" w14:textId="3345C8E2" w:rsidR="009445BD" w:rsidRPr="00E03C80" w:rsidRDefault="009445BD" w:rsidP="00E706DA">
      <w:pPr>
        <w:jc w:val="right"/>
        <w:rPr>
          <w:b/>
          <w:bCs/>
          <w:sz w:val="20"/>
          <w:szCs w:val="20"/>
        </w:rPr>
      </w:pPr>
      <w:r w:rsidRPr="00DA7107">
        <w:rPr>
          <w:rFonts w:asciiTheme="majorHAnsi" w:hAnsiTheme="majorHAnsi" w:cstheme="majorHAnsi"/>
          <w:sz w:val="20"/>
          <w:szCs w:val="20"/>
        </w:rPr>
        <w:t>g(E[KHO</w:t>
      </w:r>
      <w:proofErr w:type="gramStart"/>
      <w:r w:rsidRPr="00DA7107">
        <w:rPr>
          <w:rFonts w:asciiTheme="majorHAnsi" w:hAnsiTheme="majorHAnsi" w:cstheme="majorHAnsi"/>
          <w:sz w:val="20"/>
          <w:szCs w:val="20"/>
        </w:rPr>
        <w:t>])=</w:t>
      </w:r>
      <w:proofErr w:type="gramEnd"/>
      <m:oMath>
        <m:sSub>
          <m:sSubPr>
            <m:ctrlPr>
              <w:rPr>
                <w:rFonts w:ascii="Cambria Math" w:hAnsi="Cambria Math" w:cstheme="majorHAnsi"/>
                <w:sz w:val="20"/>
                <w:szCs w:val="20"/>
              </w:rPr>
            </m:ctrlPr>
          </m:sSubPr>
          <m:e>
            <m:r>
              <w:rPr>
                <w:rFonts w:ascii="Cambria Math" w:hAnsi="Cambria Math" w:cstheme="majorHAnsi"/>
                <w:sz w:val="20"/>
                <w:szCs w:val="20"/>
              </w:rPr>
              <m:t>β</m:t>
            </m:r>
          </m:e>
          <m:sub>
            <m:r>
              <w:rPr>
                <w:rFonts w:ascii="Cambria Math" w:hAnsi="Cambria Math" w:cstheme="majorHAnsi"/>
                <w:sz w:val="20"/>
                <w:szCs w:val="20"/>
              </w:rPr>
              <m:t>0</m:t>
            </m:r>
          </m:sub>
        </m:sSub>
        <m:r>
          <w:rPr>
            <w:rFonts w:ascii="Cambria Math" w:hAnsi="Cambria Math" w:cstheme="majorHAnsi"/>
            <w:sz w:val="20"/>
            <w:szCs w:val="20"/>
          </w:rPr>
          <m:t>+</m:t>
        </m:r>
        <m:sSub>
          <m:sSubPr>
            <m:ctrlPr>
              <w:rPr>
                <w:rFonts w:ascii="Cambria Math" w:hAnsi="Cambria Math" w:cstheme="majorHAnsi"/>
                <w:sz w:val="20"/>
                <w:szCs w:val="20"/>
              </w:rPr>
            </m:ctrlPr>
          </m:sSubPr>
          <m:e>
            <m:r>
              <w:rPr>
                <w:rFonts w:ascii="Cambria Math" w:hAnsi="Cambria Math" w:cstheme="majorHAnsi"/>
                <w:sz w:val="20"/>
                <w:szCs w:val="20"/>
              </w:rPr>
              <m:t>f</m:t>
            </m:r>
          </m:e>
          <m:sub>
            <m:r>
              <w:rPr>
                <w:rFonts w:ascii="Cambria Math" w:hAnsi="Cambria Math" w:cstheme="majorHAnsi"/>
                <w:sz w:val="20"/>
                <w:szCs w:val="20"/>
              </w:rPr>
              <m:t>1</m:t>
            </m:r>
          </m:sub>
        </m:sSub>
      </m:oMath>
      <w:r w:rsidRPr="00DA7107">
        <w:rPr>
          <w:rFonts w:asciiTheme="majorHAnsi" w:hAnsiTheme="majorHAnsi" w:cstheme="majorHAnsi"/>
          <w:sz w:val="20"/>
          <w:szCs w:val="20"/>
        </w:rPr>
        <w:t>(</w:t>
      </w:r>
      <w:proofErr w:type="spellStart"/>
      <w:r w:rsidR="005D1A5A" w:rsidRPr="00DA7107">
        <w:rPr>
          <w:rFonts w:asciiTheme="majorHAnsi" w:hAnsiTheme="majorHAnsi" w:cstheme="majorHAnsi"/>
          <w:sz w:val="20"/>
          <w:szCs w:val="20"/>
        </w:rPr>
        <w:t>Workforce_</w:t>
      </w:r>
      <w:proofErr w:type="gramStart"/>
      <w:r w:rsidR="005D1A5A" w:rsidRPr="00DA7107">
        <w:rPr>
          <w:rFonts w:asciiTheme="majorHAnsi" w:hAnsiTheme="majorHAnsi" w:cstheme="majorHAnsi"/>
          <w:sz w:val="20"/>
          <w:szCs w:val="20"/>
        </w:rPr>
        <w:t>Cadre</w:t>
      </w:r>
      <w:proofErr w:type="spellEnd"/>
      <w:r w:rsidR="005D1A5A" w:rsidRPr="00DA7107">
        <w:rPr>
          <w:rFonts w:asciiTheme="majorHAnsi" w:hAnsiTheme="majorHAnsi" w:cstheme="majorHAnsi"/>
          <w:sz w:val="20"/>
          <w:szCs w:val="20"/>
        </w:rPr>
        <w:t>)+</w:t>
      </w:r>
      <w:proofErr w:type="gramEnd"/>
      <w:r w:rsidRPr="00DA7107">
        <w:rPr>
          <w:rFonts w:asciiTheme="majorHAnsi" w:hAnsiTheme="majorHAnsi" w:cstheme="majorHAnsi"/>
          <w:sz w:val="20"/>
          <w:szCs w:val="20"/>
        </w:rPr>
        <w:t>e</w:t>
      </w:r>
      <w:r w:rsidRPr="00E03C80">
        <w:rPr>
          <w:b/>
          <w:bCs/>
          <w:sz w:val="20"/>
          <w:szCs w:val="20"/>
        </w:rPr>
        <w:t xml:space="preserve">   </w:t>
      </w:r>
      <w:r w:rsidR="00E706DA">
        <w:rPr>
          <w:b/>
          <w:bCs/>
          <w:sz w:val="20"/>
          <w:szCs w:val="20"/>
        </w:rPr>
        <w:tab/>
      </w:r>
      <w:r w:rsidR="00E706DA">
        <w:rPr>
          <w:b/>
          <w:bCs/>
          <w:sz w:val="20"/>
          <w:szCs w:val="20"/>
        </w:rPr>
        <w:tab/>
      </w:r>
      <w:r w:rsidR="00E706DA">
        <w:rPr>
          <w:b/>
          <w:bCs/>
          <w:sz w:val="20"/>
          <w:szCs w:val="20"/>
        </w:rPr>
        <w:tab/>
      </w:r>
      <w:r w:rsidR="00E706DA">
        <w:rPr>
          <w:b/>
          <w:bCs/>
          <w:sz w:val="20"/>
          <w:szCs w:val="20"/>
        </w:rPr>
        <w:tab/>
      </w:r>
      <w:proofErr w:type="gramStart"/>
      <w:r w:rsidRPr="00E03C80">
        <w:rPr>
          <w:b/>
          <w:bCs/>
          <w:sz w:val="20"/>
          <w:szCs w:val="20"/>
        </w:rPr>
        <w:t xml:space="preserve">   (</w:t>
      </w:r>
      <w:proofErr w:type="gramEnd"/>
      <w:r w:rsidR="00E03C80" w:rsidRPr="00E03C80">
        <w:rPr>
          <w:b/>
          <w:bCs/>
          <w:sz w:val="20"/>
          <w:szCs w:val="20"/>
        </w:rPr>
        <w:t>2</w:t>
      </w:r>
      <w:r w:rsidRPr="00E03C80">
        <w:rPr>
          <w:b/>
          <w:bCs/>
          <w:sz w:val="20"/>
          <w:szCs w:val="20"/>
        </w:rPr>
        <w:t>)</w:t>
      </w:r>
    </w:p>
    <w:p w14:paraId="7CC605D0" w14:textId="544BE054" w:rsidR="009445BD" w:rsidRDefault="009445BD" w:rsidP="009445BD">
      <w:r>
        <w:t xml:space="preserve">where KHO is the key health outcome: LE, MMR, IMR, UHC_SCI, g(.) is a link function, </w:t>
      </w:r>
      <m:oMath>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oMath>
      <w:r>
        <w:t xml:space="preserve"> is a smooth function, </w:t>
      </w:r>
      <w:proofErr w:type="spellStart"/>
      <w:r w:rsidR="005D1A5A">
        <w:t>Workforce_Cadre</w:t>
      </w:r>
      <w:proofErr w:type="spellEnd"/>
      <w:r w:rsidR="005D1A5A">
        <w:t xml:space="preserve">: Doctors, Nurses/Midwives, Dentists, Pharmacists, </w:t>
      </w:r>
      <w:r>
        <w:t>e is the error term. T</w:t>
      </w:r>
      <w:r w:rsidR="004F16A0">
        <w:t xml:space="preserve">able </w:t>
      </w:r>
      <w:r w:rsidR="00E706DA">
        <w:t>6</w:t>
      </w:r>
      <w:r w:rsidR="004F16A0">
        <w:t xml:space="preserve"> gives a summary of the optimal allocation of doctors, nurses, midwives, dentists, and pharmacists per 10,000 population</w:t>
      </w:r>
      <w:r w:rsidR="00DA7107">
        <w:t>,</w:t>
      </w:r>
      <w:r w:rsidR="004F16A0">
        <w:t xml:space="preserve"> where key health outcome variables </w:t>
      </w:r>
      <w:r w:rsidR="00DA7107">
        <w:t>are optimized</w:t>
      </w:r>
      <w:r>
        <w:t>.</w:t>
      </w:r>
    </w:p>
    <w:tbl>
      <w:tblPr>
        <w:tblW w:w="9360" w:type="dxa"/>
        <w:jc w:val="center"/>
        <w:tblLook w:val="04A0" w:firstRow="1" w:lastRow="0" w:firstColumn="1" w:lastColumn="0" w:noHBand="0" w:noVBand="1"/>
      </w:tblPr>
      <w:tblGrid>
        <w:gridCol w:w="372"/>
        <w:gridCol w:w="2218"/>
        <w:gridCol w:w="960"/>
        <w:gridCol w:w="1680"/>
        <w:gridCol w:w="966"/>
        <w:gridCol w:w="1324"/>
        <w:gridCol w:w="1840"/>
      </w:tblGrid>
      <w:tr w:rsidR="0059468E" w:rsidRPr="00E706DA" w14:paraId="0FA34CD3" w14:textId="77777777" w:rsidTr="0059468E">
        <w:trPr>
          <w:trHeight w:val="504"/>
          <w:jc w:val="center"/>
        </w:trPr>
        <w:tc>
          <w:tcPr>
            <w:tcW w:w="540" w:type="dxa"/>
            <w:tcBorders>
              <w:top w:val="nil"/>
              <w:left w:val="nil"/>
              <w:bottom w:val="single" w:sz="8" w:space="0" w:color="auto"/>
              <w:right w:val="nil"/>
            </w:tcBorders>
          </w:tcPr>
          <w:p w14:paraId="5050AC2A" w14:textId="77777777" w:rsidR="0059468E" w:rsidRPr="00E706DA" w:rsidRDefault="0059468E" w:rsidP="00E706DA">
            <w:pPr>
              <w:spacing w:after="0" w:line="240" w:lineRule="auto"/>
              <w:rPr>
                <w:rFonts w:ascii="Aptos Narrow" w:eastAsia="Times New Roman" w:hAnsi="Aptos Narrow" w:cs="Calibri"/>
                <w:b/>
                <w:bCs/>
                <w:color w:val="0070C0"/>
                <w:kern w:val="0"/>
                <w:sz w:val="22"/>
                <w:szCs w:val="22"/>
                <w14:ligatures w14:val="none"/>
              </w:rPr>
            </w:pPr>
          </w:p>
        </w:tc>
        <w:tc>
          <w:tcPr>
            <w:tcW w:w="8820" w:type="dxa"/>
            <w:gridSpan w:val="6"/>
            <w:tcBorders>
              <w:top w:val="nil"/>
              <w:left w:val="nil"/>
              <w:bottom w:val="single" w:sz="8" w:space="0" w:color="auto"/>
              <w:right w:val="nil"/>
            </w:tcBorders>
            <w:noWrap/>
            <w:vAlign w:val="center"/>
            <w:hideMark/>
          </w:tcPr>
          <w:p w14:paraId="45C0C71C" w14:textId="0AE00C9D" w:rsidR="0059468E" w:rsidRPr="00E706DA" w:rsidRDefault="0059468E" w:rsidP="00E706DA">
            <w:pPr>
              <w:spacing w:after="0" w:line="240" w:lineRule="auto"/>
              <w:rPr>
                <w:rFonts w:ascii="Aptos Narrow" w:eastAsia="Times New Roman" w:hAnsi="Aptos Narrow" w:cs="Calibri"/>
                <w:b/>
                <w:bCs/>
                <w:color w:val="0070C0"/>
                <w:kern w:val="0"/>
                <w:sz w:val="22"/>
                <w:szCs w:val="22"/>
                <w14:ligatures w14:val="none"/>
              </w:rPr>
            </w:pPr>
            <w:r w:rsidRPr="00E706DA">
              <w:rPr>
                <w:rFonts w:ascii="Aptos Narrow" w:eastAsia="Times New Roman" w:hAnsi="Aptos Narrow" w:cs="Calibri"/>
                <w:b/>
                <w:bCs/>
                <w:color w:val="0070C0"/>
                <w:kern w:val="0"/>
                <w:sz w:val="22"/>
                <w:szCs w:val="22"/>
                <w14:ligatures w14:val="none"/>
              </w:rPr>
              <w:t xml:space="preserve">Table </w:t>
            </w:r>
            <w:r>
              <w:rPr>
                <w:rFonts w:ascii="Aptos Narrow" w:eastAsia="Times New Roman" w:hAnsi="Aptos Narrow" w:cs="Calibri"/>
                <w:b/>
                <w:bCs/>
                <w:color w:val="0070C0"/>
                <w:kern w:val="0"/>
                <w:sz w:val="22"/>
                <w:szCs w:val="22"/>
                <w14:ligatures w14:val="none"/>
              </w:rPr>
              <w:t>6</w:t>
            </w:r>
            <w:r w:rsidRPr="00E706DA">
              <w:rPr>
                <w:rFonts w:ascii="Aptos Narrow" w:eastAsia="Times New Roman" w:hAnsi="Aptos Narrow" w:cs="Calibri"/>
                <w:b/>
                <w:bCs/>
                <w:color w:val="0070C0"/>
                <w:kern w:val="0"/>
                <w:sz w:val="22"/>
                <w:szCs w:val="22"/>
                <w14:ligatures w14:val="none"/>
              </w:rPr>
              <w:t xml:space="preserve">:  </w:t>
            </w:r>
            <w:r w:rsidRPr="004F16A0">
              <w:rPr>
                <w:rFonts w:ascii="Aptos Narrow" w:eastAsia="Times New Roman" w:hAnsi="Aptos Narrow" w:cs="Calibri"/>
                <w:b/>
                <w:bCs/>
                <w:color w:val="0070C0"/>
                <w:kern w:val="0"/>
                <w:sz w:val="22"/>
                <w:szCs w:val="22"/>
                <w14:ligatures w14:val="none"/>
              </w:rPr>
              <w:t xml:space="preserve">Optimal Health Workforce Density </w:t>
            </w:r>
            <w:r>
              <w:rPr>
                <w:rFonts w:ascii="Aptos Narrow" w:eastAsia="Times New Roman" w:hAnsi="Aptos Narrow" w:cs="Calibri"/>
                <w:b/>
                <w:bCs/>
                <w:color w:val="0070C0"/>
                <w:kern w:val="0"/>
                <w:sz w:val="22"/>
                <w:szCs w:val="22"/>
                <w14:ligatures w14:val="none"/>
              </w:rPr>
              <w:t>Thresholds per 10,000 population</w:t>
            </w:r>
            <w:r w:rsidRPr="004F16A0">
              <w:rPr>
                <w:rFonts w:ascii="Aptos Narrow" w:eastAsia="Times New Roman" w:hAnsi="Aptos Narrow" w:cs="Calibri"/>
                <w:b/>
                <w:bCs/>
                <w:color w:val="0070C0"/>
                <w:kern w:val="0"/>
                <w:sz w:val="22"/>
                <w:szCs w:val="22"/>
                <w14:ligatures w14:val="none"/>
              </w:rPr>
              <w:t xml:space="preserve"> </w:t>
            </w:r>
            <w:r>
              <w:rPr>
                <w:rFonts w:ascii="Aptos Narrow" w:eastAsia="Times New Roman" w:hAnsi="Aptos Narrow" w:cs="Calibri"/>
                <w:b/>
                <w:bCs/>
                <w:color w:val="0070C0"/>
                <w:kern w:val="0"/>
                <w:sz w:val="22"/>
                <w:szCs w:val="22"/>
                <w14:ligatures w14:val="none"/>
              </w:rPr>
              <w:t xml:space="preserve">Required </w:t>
            </w:r>
            <w:r w:rsidRPr="004F16A0">
              <w:rPr>
                <w:rFonts w:ascii="Aptos Narrow" w:eastAsia="Times New Roman" w:hAnsi="Aptos Narrow" w:cs="Calibri"/>
                <w:b/>
                <w:bCs/>
                <w:color w:val="0070C0"/>
                <w:kern w:val="0"/>
                <w:sz w:val="22"/>
                <w:szCs w:val="22"/>
                <w14:ligatures w14:val="none"/>
              </w:rPr>
              <w:t>for Key</w:t>
            </w:r>
            <w:r>
              <w:rPr>
                <w:rFonts w:ascii="Aptos Narrow" w:eastAsia="Times New Roman" w:hAnsi="Aptos Narrow" w:cs="Calibri"/>
                <w:b/>
                <w:bCs/>
                <w:color w:val="0070C0"/>
                <w:kern w:val="0"/>
                <w:sz w:val="22"/>
                <w:szCs w:val="22"/>
                <w14:ligatures w14:val="none"/>
              </w:rPr>
              <w:t xml:space="preserve"> Health</w:t>
            </w:r>
            <w:r w:rsidRPr="004F16A0">
              <w:rPr>
                <w:rFonts w:ascii="Aptos Narrow" w:eastAsia="Times New Roman" w:hAnsi="Aptos Narrow" w:cs="Calibri"/>
                <w:b/>
                <w:bCs/>
                <w:color w:val="0070C0"/>
                <w:kern w:val="0"/>
                <w:sz w:val="22"/>
                <w:szCs w:val="22"/>
                <w14:ligatures w14:val="none"/>
              </w:rPr>
              <w:t xml:space="preserve"> Outcomes</w:t>
            </w:r>
          </w:p>
        </w:tc>
      </w:tr>
      <w:tr w:rsidR="0059468E" w:rsidRPr="00E706DA" w14:paraId="1F01E289" w14:textId="77777777" w:rsidTr="005033FB">
        <w:trPr>
          <w:trHeight w:val="588"/>
          <w:jc w:val="center"/>
        </w:trPr>
        <w:tc>
          <w:tcPr>
            <w:tcW w:w="2948" w:type="dxa"/>
            <w:gridSpan w:val="2"/>
            <w:tcBorders>
              <w:top w:val="nil"/>
              <w:left w:val="nil"/>
              <w:bottom w:val="single" w:sz="8" w:space="0" w:color="auto"/>
              <w:right w:val="nil"/>
            </w:tcBorders>
            <w:vAlign w:val="center"/>
            <w:hideMark/>
          </w:tcPr>
          <w:p w14:paraId="06C6F15B" w14:textId="77777777" w:rsidR="0059468E" w:rsidRPr="00E706DA" w:rsidRDefault="0059468E" w:rsidP="0059468E">
            <w:pPr>
              <w:spacing w:after="0" w:line="240" w:lineRule="auto"/>
              <w:rPr>
                <w:rFonts w:ascii="Calibri" w:eastAsia="Times New Roman" w:hAnsi="Calibri" w:cs="Calibri"/>
                <w:b/>
                <w:bCs/>
                <w:color w:val="000000"/>
                <w:kern w:val="0"/>
                <w:sz w:val="22"/>
                <w:szCs w:val="22"/>
                <w14:ligatures w14:val="none"/>
              </w:rPr>
            </w:pPr>
            <w:r w:rsidRPr="00E706DA">
              <w:rPr>
                <w:rFonts w:ascii="Calibri" w:eastAsia="Times New Roman" w:hAnsi="Calibri" w:cs="Calibri"/>
                <w:b/>
                <w:bCs/>
                <w:color w:val="000000"/>
                <w:kern w:val="0"/>
                <w:sz w:val="22"/>
                <w:szCs w:val="22"/>
                <w14:ligatures w14:val="none"/>
              </w:rPr>
              <w:t xml:space="preserve">Key Health Variable </w:t>
            </w:r>
          </w:p>
        </w:tc>
        <w:tc>
          <w:tcPr>
            <w:tcW w:w="960" w:type="dxa"/>
            <w:tcBorders>
              <w:top w:val="nil"/>
              <w:left w:val="nil"/>
              <w:bottom w:val="single" w:sz="8" w:space="0" w:color="auto"/>
              <w:right w:val="nil"/>
            </w:tcBorders>
            <w:vAlign w:val="center"/>
            <w:hideMark/>
          </w:tcPr>
          <w:p w14:paraId="1925D41A" w14:textId="77777777" w:rsidR="0059468E" w:rsidRPr="00E706DA" w:rsidRDefault="0059468E" w:rsidP="0059468E">
            <w:pPr>
              <w:spacing w:after="0" w:line="240" w:lineRule="auto"/>
              <w:jc w:val="center"/>
              <w:rPr>
                <w:rFonts w:ascii="Calibri" w:eastAsia="Times New Roman" w:hAnsi="Calibri" w:cs="Calibri"/>
                <w:b/>
                <w:bCs/>
                <w:color w:val="000000"/>
                <w:kern w:val="0"/>
                <w:sz w:val="22"/>
                <w:szCs w:val="22"/>
                <w14:ligatures w14:val="none"/>
              </w:rPr>
            </w:pPr>
            <w:r w:rsidRPr="00E706DA">
              <w:rPr>
                <w:rFonts w:ascii="Calibri" w:eastAsia="Times New Roman" w:hAnsi="Calibri" w:cs="Calibri"/>
                <w:b/>
                <w:bCs/>
                <w:color w:val="000000"/>
                <w:kern w:val="0"/>
                <w:sz w:val="22"/>
                <w:szCs w:val="22"/>
                <w14:ligatures w14:val="none"/>
              </w:rPr>
              <w:t>Doctors</w:t>
            </w:r>
          </w:p>
        </w:tc>
        <w:tc>
          <w:tcPr>
            <w:tcW w:w="1680" w:type="dxa"/>
            <w:tcBorders>
              <w:top w:val="nil"/>
              <w:left w:val="nil"/>
              <w:bottom w:val="single" w:sz="8" w:space="0" w:color="auto"/>
              <w:right w:val="nil"/>
            </w:tcBorders>
            <w:vAlign w:val="center"/>
            <w:hideMark/>
          </w:tcPr>
          <w:p w14:paraId="5B46AB15" w14:textId="77777777" w:rsidR="0059468E" w:rsidRPr="00E706DA" w:rsidRDefault="0059468E" w:rsidP="0059468E">
            <w:pPr>
              <w:spacing w:after="0" w:line="240" w:lineRule="auto"/>
              <w:jc w:val="center"/>
              <w:rPr>
                <w:rFonts w:ascii="Calibri" w:eastAsia="Times New Roman" w:hAnsi="Calibri" w:cs="Calibri"/>
                <w:b/>
                <w:bCs/>
                <w:color w:val="000000"/>
                <w:kern w:val="0"/>
                <w:sz w:val="22"/>
                <w:szCs w:val="22"/>
                <w14:ligatures w14:val="none"/>
              </w:rPr>
            </w:pPr>
            <w:r w:rsidRPr="00E706DA">
              <w:rPr>
                <w:rFonts w:ascii="Calibri" w:eastAsia="Times New Roman" w:hAnsi="Calibri" w:cs="Calibri"/>
                <w:b/>
                <w:bCs/>
                <w:color w:val="000000"/>
                <w:kern w:val="0"/>
                <w:sz w:val="22"/>
                <w:szCs w:val="22"/>
                <w14:ligatures w14:val="none"/>
              </w:rPr>
              <w:t>Nurses &amp; Midwives</w:t>
            </w:r>
          </w:p>
        </w:tc>
        <w:tc>
          <w:tcPr>
            <w:tcW w:w="966" w:type="dxa"/>
            <w:tcBorders>
              <w:top w:val="nil"/>
              <w:left w:val="nil"/>
              <w:bottom w:val="single" w:sz="8" w:space="0" w:color="auto"/>
              <w:right w:val="nil"/>
            </w:tcBorders>
            <w:vAlign w:val="center"/>
          </w:tcPr>
          <w:p w14:paraId="3E2D3751" w14:textId="69680CFD" w:rsidR="0059468E" w:rsidRPr="00E706DA" w:rsidRDefault="0059468E" w:rsidP="0059468E">
            <w:pPr>
              <w:spacing w:after="0" w:line="240" w:lineRule="auto"/>
              <w:jc w:val="center"/>
              <w:rPr>
                <w:rFonts w:ascii="Calibri" w:eastAsia="Times New Roman" w:hAnsi="Calibri" w:cs="Calibri"/>
                <w:b/>
                <w:bCs/>
                <w:color w:val="000000"/>
                <w:kern w:val="0"/>
                <w:sz w:val="22"/>
                <w:szCs w:val="22"/>
                <w14:ligatures w14:val="none"/>
              </w:rPr>
            </w:pPr>
            <w:r w:rsidRPr="00E706DA">
              <w:rPr>
                <w:rFonts w:ascii="Calibri" w:eastAsia="Times New Roman" w:hAnsi="Calibri" w:cs="Calibri"/>
                <w:b/>
                <w:bCs/>
                <w:color w:val="000000"/>
                <w:kern w:val="0"/>
                <w:sz w:val="22"/>
                <w:szCs w:val="22"/>
                <w14:ligatures w14:val="none"/>
              </w:rPr>
              <w:t>Dentists</w:t>
            </w:r>
          </w:p>
        </w:tc>
        <w:tc>
          <w:tcPr>
            <w:tcW w:w="966" w:type="dxa"/>
            <w:tcBorders>
              <w:top w:val="nil"/>
              <w:left w:val="nil"/>
              <w:bottom w:val="single" w:sz="8" w:space="0" w:color="auto"/>
              <w:right w:val="nil"/>
            </w:tcBorders>
            <w:vAlign w:val="center"/>
            <w:hideMark/>
          </w:tcPr>
          <w:p w14:paraId="411E22F7" w14:textId="0F3EE1B9" w:rsidR="0059468E" w:rsidRPr="00E706DA" w:rsidRDefault="0059468E" w:rsidP="0059468E">
            <w:pPr>
              <w:spacing w:after="0" w:line="240" w:lineRule="auto"/>
              <w:jc w:val="center"/>
              <w:rPr>
                <w:rFonts w:ascii="Calibri" w:eastAsia="Times New Roman" w:hAnsi="Calibri" w:cs="Calibri"/>
                <w:b/>
                <w:bCs/>
                <w:color w:val="000000"/>
                <w:kern w:val="0"/>
                <w:sz w:val="22"/>
                <w:szCs w:val="22"/>
                <w14:ligatures w14:val="none"/>
              </w:rPr>
            </w:pPr>
            <w:r w:rsidRPr="00E706DA">
              <w:rPr>
                <w:rFonts w:ascii="Calibri" w:eastAsia="Times New Roman" w:hAnsi="Calibri" w:cs="Calibri"/>
                <w:b/>
                <w:bCs/>
                <w:color w:val="000000"/>
                <w:kern w:val="0"/>
                <w:sz w:val="22"/>
                <w:szCs w:val="22"/>
                <w14:ligatures w14:val="none"/>
              </w:rPr>
              <w:t>Pharmacists</w:t>
            </w:r>
          </w:p>
        </w:tc>
        <w:tc>
          <w:tcPr>
            <w:tcW w:w="1840" w:type="dxa"/>
            <w:tcBorders>
              <w:top w:val="nil"/>
              <w:left w:val="nil"/>
              <w:bottom w:val="single" w:sz="8" w:space="0" w:color="auto"/>
              <w:right w:val="nil"/>
            </w:tcBorders>
            <w:vAlign w:val="center"/>
            <w:hideMark/>
          </w:tcPr>
          <w:p w14:paraId="3C302B82" w14:textId="49D0BDF3" w:rsidR="0059468E" w:rsidRPr="00E706DA" w:rsidRDefault="0059468E" w:rsidP="0059468E">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Total </w:t>
            </w:r>
          </w:p>
        </w:tc>
      </w:tr>
      <w:tr w:rsidR="0059468E" w:rsidRPr="00E706DA" w14:paraId="212F09C4" w14:textId="77777777" w:rsidTr="005033FB">
        <w:trPr>
          <w:trHeight w:val="288"/>
          <w:jc w:val="center"/>
        </w:trPr>
        <w:tc>
          <w:tcPr>
            <w:tcW w:w="2948" w:type="dxa"/>
            <w:gridSpan w:val="2"/>
            <w:tcBorders>
              <w:top w:val="nil"/>
              <w:left w:val="nil"/>
              <w:bottom w:val="nil"/>
              <w:right w:val="nil"/>
            </w:tcBorders>
            <w:vAlign w:val="center"/>
            <w:hideMark/>
          </w:tcPr>
          <w:p w14:paraId="265C601D" w14:textId="77777777" w:rsidR="0059468E" w:rsidRPr="00E706DA" w:rsidRDefault="0059468E" w:rsidP="0059468E">
            <w:pPr>
              <w:spacing w:after="0" w:line="240" w:lineRule="auto"/>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Life Expectancy (LE)</w:t>
            </w:r>
          </w:p>
        </w:tc>
        <w:tc>
          <w:tcPr>
            <w:tcW w:w="960" w:type="dxa"/>
            <w:tcBorders>
              <w:top w:val="nil"/>
              <w:left w:val="nil"/>
              <w:bottom w:val="nil"/>
              <w:right w:val="nil"/>
            </w:tcBorders>
            <w:vAlign w:val="center"/>
            <w:hideMark/>
          </w:tcPr>
          <w:p w14:paraId="40DFF0CE"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30.52</w:t>
            </w:r>
          </w:p>
        </w:tc>
        <w:tc>
          <w:tcPr>
            <w:tcW w:w="1680" w:type="dxa"/>
            <w:tcBorders>
              <w:top w:val="nil"/>
              <w:left w:val="nil"/>
              <w:bottom w:val="nil"/>
              <w:right w:val="nil"/>
            </w:tcBorders>
            <w:vAlign w:val="center"/>
            <w:hideMark/>
          </w:tcPr>
          <w:p w14:paraId="6A25F87C"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29.25</w:t>
            </w:r>
          </w:p>
        </w:tc>
        <w:tc>
          <w:tcPr>
            <w:tcW w:w="966" w:type="dxa"/>
            <w:tcBorders>
              <w:top w:val="nil"/>
              <w:left w:val="nil"/>
              <w:bottom w:val="nil"/>
              <w:right w:val="nil"/>
            </w:tcBorders>
            <w:vAlign w:val="center"/>
          </w:tcPr>
          <w:p w14:paraId="6586525B" w14:textId="7A663BBD"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2.57</w:t>
            </w:r>
          </w:p>
        </w:tc>
        <w:tc>
          <w:tcPr>
            <w:tcW w:w="966" w:type="dxa"/>
            <w:tcBorders>
              <w:top w:val="nil"/>
              <w:left w:val="nil"/>
              <w:bottom w:val="nil"/>
              <w:right w:val="nil"/>
            </w:tcBorders>
            <w:vAlign w:val="center"/>
            <w:hideMark/>
          </w:tcPr>
          <w:p w14:paraId="4DBA8B3B" w14:textId="31AC2A01"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5.15</w:t>
            </w:r>
          </w:p>
        </w:tc>
        <w:tc>
          <w:tcPr>
            <w:tcW w:w="1840" w:type="dxa"/>
            <w:tcBorders>
              <w:top w:val="nil"/>
              <w:left w:val="nil"/>
              <w:bottom w:val="nil"/>
              <w:right w:val="nil"/>
            </w:tcBorders>
            <w:vAlign w:val="center"/>
            <w:hideMark/>
          </w:tcPr>
          <w:p w14:paraId="087C3CA4" w14:textId="7F17530A"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67.49</w:t>
            </w:r>
          </w:p>
        </w:tc>
      </w:tr>
      <w:tr w:rsidR="0059468E" w:rsidRPr="00E706DA" w14:paraId="19203176" w14:textId="77777777" w:rsidTr="005033FB">
        <w:trPr>
          <w:trHeight w:val="288"/>
          <w:jc w:val="center"/>
        </w:trPr>
        <w:tc>
          <w:tcPr>
            <w:tcW w:w="2948" w:type="dxa"/>
            <w:gridSpan w:val="2"/>
            <w:tcBorders>
              <w:top w:val="nil"/>
              <w:left w:val="nil"/>
              <w:bottom w:val="nil"/>
              <w:right w:val="nil"/>
            </w:tcBorders>
            <w:vAlign w:val="center"/>
            <w:hideMark/>
          </w:tcPr>
          <w:p w14:paraId="249661CC" w14:textId="77777777" w:rsidR="0059468E" w:rsidRPr="00E706DA" w:rsidRDefault="0059468E" w:rsidP="0059468E">
            <w:pPr>
              <w:spacing w:after="0" w:line="240" w:lineRule="auto"/>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Maternal Mortality Ratio (MMR)</w:t>
            </w:r>
          </w:p>
        </w:tc>
        <w:tc>
          <w:tcPr>
            <w:tcW w:w="960" w:type="dxa"/>
            <w:tcBorders>
              <w:top w:val="nil"/>
              <w:left w:val="nil"/>
              <w:bottom w:val="nil"/>
              <w:right w:val="nil"/>
            </w:tcBorders>
            <w:vAlign w:val="center"/>
            <w:hideMark/>
          </w:tcPr>
          <w:p w14:paraId="38328E6D"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11.96</w:t>
            </w:r>
          </w:p>
        </w:tc>
        <w:tc>
          <w:tcPr>
            <w:tcW w:w="1680" w:type="dxa"/>
            <w:tcBorders>
              <w:top w:val="nil"/>
              <w:left w:val="nil"/>
              <w:bottom w:val="nil"/>
              <w:right w:val="nil"/>
            </w:tcBorders>
            <w:vAlign w:val="center"/>
            <w:hideMark/>
          </w:tcPr>
          <w:p w14:paraId="068EB1BC"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60.91</w:t>
            </w:r>
          </w:p>
        </w:tc>
        <w:tc>
          <w:tcPr>
            <w:tcW w:w="966" w:type="dxa"/>
            <w:tcBorders>
              <w:top w:val="nil"/>
              <w:left w:val="nil"/>
              <w:bottom w:val="nil"/>
              <w:right w:val="nil"/>
            </w:tcBorders>
            <w:vAlign w:val="center"/>
          </w:tcPr>
          <w:p w14:paraId="7319A17F" w14:textId="34D424C2"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2.17</w:t>
            </w:r>
          </w:p>
        </w:tc>
        <w:tc>
          <w:tcPr>
            <w:tcW w:w="966" w:type="dxa"/>
            <w:tcBorders>
              <w:top w:val="nil"/>
              <w:left w:val="nil"/>
              <w:bottom w:val="nil"/>
              <w:right w:val="nil"/>
            </w:tcBorders>
            <w:vAlign w:val="center"/>
            <w:hideMark/>
          </w:tcPr>
          <w:p w14:paraId="2B452D60" w14:textId="24105CAC"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10.08</w:t>
            </w:r>
          </w:p>
        </w:tc>
        <w:tc>
          <w:tcPr>
            <w:tcW w:w="1840" w:type="dxa"/>
            <w:tcBorders>
              <w:top w:val="nil"/>
              <w:left w:val="nil"/>
              <w:bottom w:val="nil"/>
              <w:right w:val="nil"/>
            </w:tcBorders>
            <w:vAlign w:val="center"/>
            <w:hideMark/>
          </w:tcPr>
          <w:p w14:paraId="17EA7892" w14:textId="52302702"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85.12</w:t>
            </w:r>
          </w:p>
        </w:tc>
      </w:tr>
      <w:tr w:rsidR="0059468E" w:rsidRPr="00E706DA" w14:paraId="00B8B68E" w14:textId="77777777" w:rsidTr="005033FB">
        <w:trPr>
          <w:trHeight w:val="288"/>
          <w:jc w:val="center"/>
        </w:trPr>
        <w:tc>
          <w:tcPr>
            <w:tcW w:w="2948" w:type="dxa"/>
            <w:gridSpan w:val="2"/>
            <w:tcBorders>
              <w:top w:val="nil"/>
              <w:left w:val="nil"/>
              <w:bottom w:val="nil"/>
              <w:right w:val="nil"/>
            </w:tcBorders>
            <w:vAlign w:val="center"/>
            <w:hideMark/>
          </w:tcPr>
          <w:p w14:paraId="03164D18" w14:textId="77777777" w:rsidR="0059468E" w:rsidRPr="00E706DA" w:rsidRDefault="0059468E" w:rsidP="0059468E">
            <w:pPr>
              <w:spacing w:after="0" w:line="240" w:lineRule="auto"/>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Infant Mortality Rate (IMR)</w:t>
            </w:r>
          </w:p>
        </w:tc>
        <w:tc>
          <w:tcPr>
            <w:tcW w:w="960" w:type="dxa"/>
            <w:tcBorders>
              <w:top w:val="nil"/>
              <w:left w:val="nil"/>
              <w:bottom w:val="nil"/>
              <w:right w:val="nil"/>
            </w:tcBorders>
            <w:vAlign w:val="center"/>
            <w:hideMark/>
          </w:tcPr>
          <w:p w14:paraId="0998414D"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31.61</w:t>
            </w:r>
          </w:p>
        </w:tc>
        <w:tc>
          <w:tcPr>
            <w:tcW w:w="1680" w:type="dxa"/>
            <w:tcBorders>
              <w:top w:val="nil"/>
              <w:left w:val="nil"/>
              <w:bottom w:val="nil"/>
              <w:right w:val="nil"/>
            </w:tcBorders>
            <w:vAlign w:val="center"/>
            <w:hideMark/>
          </w:tcPr>
          <w:p w14:paraId="310DE790"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46.35</w:t>
            </w:r>
          </w:p>
        </w:tc>
        <w:tc>
          <w:tcPr>
            <w:tcW w:w="966" w:type="dxa"/>
            <w:tcBorders>
              <w:top w:val="nil"/>
              <w:left w:val="nil"/>
              <w:bottom w:val="nil"/>
              <w:right w:val="nil"/>
            </w:tcBorders>
            <w:vAlign w:val="center"/>
          </w:tcPr>
          <w:p w14:paraId="2098AFFA" w14:textId="22C006EE"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2.85</w:t>
            </w:r>
          </w:p>
        </w:tc>
        <w:tc>
          <w:tcPr>
            <w:tcW w:w="966" w:type="dxa"/>
            <w:tcBorders>
              <w:top w:val="nil"/>
              <w:left w:val="nil"/>
              <w:bottom w:val="nil"/>
              <w:right w:val="nil"/>
            </w:tcBorders>
            <w:vAlign w:val="center"/>
            <w:hideMark/>
          </w:tcPr>
          <w:p w14:paraId="7D795FCF" w14:textId="34D6B8EA"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7.96</w:t>
            </w:r>
          </w:p>
        </w:tc>
        <w:tc>
          <w:tcPr>
            <w:tcW w:w="1840" w:type="dxa"/>
            <w:tcBorders>
              <w:top w:val="nil"/>
              <w:left w:val="nil"/>
              <w:bottom w:val="nil"/>
              <w:right w:val="nil"/>
            </w:tcBorders>
            <w:vAlign w:val="center"/>
            <w:hideMark/>
          </w:tcPr>
          <w:p w14:paraId="345D775B" w14:textId="2421E275"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88.77</w:t>
            </w:r>
          </w:p>
        </w:tc>
      </w:tr>
      <w:tr w:rsidR="0059468E" w:rsidRPr="00E706DA" w14:paraId="76EC49F2" w14:textId="77777777" w:rsidTr="005033FB">
        <w:trPr>
          <w:trHeight w:val="588"/>
          <w:jc w:val="center"/>
        </w:trPr>
        <w:tc>
          <w:tcPr>
            <w:tcW w:w="2948" w:type="dxa"/>
            <w:gridSpan w:val="2"/>
            <w:tcBorders>
              <w:top w:val="nil"/>
              <w:left w:val="nil"/>
              <w:bottom w:val="single" w:sz="8" w:space="0" w:color="auto"/>
              <w:right w:val="nil"/>
            </w:tcBorders>
            <w:vAlign w:val="center"/>
            <w:hideMark/>
          </w:tcPr>
          <w:p w14:paraId="4940068E" w14:textId="77777777" w:rsidR="0059468E" w:rsidRPr="00E706DA" w:rsidRDefault="0059468E" w:rsidP="0059468E">
            <w:pPr>
              <w:spacing w:after="0" w:line="240" w:lineRule="auto"/>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Universal Health Coverage (UHC_SCI)</w:t>
            </w:r>
          </w:p>
        </w:tc>
        <w:tc>
          <w:tcPr>
            <w:tcW w:w="960" w:type="dxa"/>
            <w:tcBorders>
              <w:top w:val="nil"/>
              <w:left w:val="nil"/>
              <w:bottom w:val="single" w:sz="8" w:space="0" w:color="auto"/>
              <w:right w:val="nil"/>
            </w:tcBorders>
            <w:vAlign w:val="center"/>
            <w:hideMark/>
          </w:tcPr>
          <w:p w14:paraId="38484C6E"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12.69</w:t>
            </w:r>
          </w:p>
        </w:tc>
        <w:tc>
          <w:tcPr>
            <w:tcW w:w="1680" w:type="dxa"/>
            <w:tcBorders>
              <w:top w:val="nil"/>
              <w:left w:val="nil"/>
              <w:bottom w:val="single" w:sz="8" w:space="0" w:color="auto"/>
              <w:right w:val="nil"/>
            </w:tcBorders>
            <w:vAlign w:val="center"/>
            <w:hideMark/>
          </w:tcPr>
          <w:p w14:paraId="48A8EAE8"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47.44</w:t>
            </w:r>
          </w:p>
        </w:tc>
        <w:tc>
          <w:tcPr>
            <w:tcW w:w="966" w:type="dxa"/>
            <w:tcBorders>
              <w:top w:val="nil"/>
              <w:left w:val="nil"/>
              <w:bottom w:val="single" w:sz="8" w:space="0" w:color="auto"/>
              <w:right w:val="nil"/>
            </w:tcBorders>
            <w:vAlign w:val="center"/>
          </w:tcPr>
          <w:p w14:paraId="51A77283" w14:textId="2C80C2A0"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3.16</w:t>
            </w:r>
          </w:p>
        </w:tc>
        <w:tc>
          <w:tcPr>
            <w:tcW w:w="966" w:type="dxa"/>
            <w:tcBorders>
              <w:top w:val="nil"/>
              <w:left w:val="nil"/>
              <w:bottom w:val="single" w:sz="8" w:space="0" w:color="auto"/>
              <w:right w:val="nil"/>
            </w:tcBorders>
            <w:vAlign w:val="center"/>
            <w:hideMark/>
          </w:tcPr>
          <w:p w14:paraId="1348A30C" w14:textId="28DB8095"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7.88</w:t>
            </w:r>
          </w:p>
        </w:tc>
        <w:tc>
          <w:tcPr>
            <w:tcW w:w="1840" w:type="dxa"/>
            <w:tcBorders>
              <w:top w:val="nil"/>
              <w:left w:val="nil"/>
              <w:bottom w:val="single" w:sz="8" w:space="0" w:color="auto"/>
              <w:right w:val="nil"/>
            </w:tcBorders>
            <w:vAlign w:val="center"/>
            <w:hideMark/>
          </w:tcPr>
          <w:p w14:paraId="64A3B1E3" w14:textId="5D794769"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71.17</w:t>
            </w:r>
          </w:p>
        </w:tc>
      </w:tr>
      <w:tr w:rsidR="0059468E" w:rsidRPr="00E706DA" w14:paraId="7E607967" w14:textId="77777777" w:rsidTr="005033FB">
        <w:trPr>
          <w:trHeight w:val="420"/>
          <w:jc w:val="center"/>
        </w:trPr>
        <w:tc>
          <w:tcPr>
            <w:tcW w:w="2948" w:type="dxa"/>
            <w:gridSpan w:val="2"/>
            <w:tcBorders>
              <w:top w:val="nil"/>
              <w:left w:val="nil"/>
              <w:bottom w:val="double" w:sz="6" w:space="0" w:color="auto"/>
              <w:right w:val="nil"/>
            </w:tcBorders>
            <w:vAlign w:val="center"/>
            <w:hideMark/>
          </w:tcPr>
          <w:p w14:paraId="61DDCC1D" w14:textId="77777777" w:rsidR="0059468E" w:rsidRPr="00E706DA" w:rsidRDefault="0059468E" w:rsidP="0059468E">
            <w:pPr>
              <w:spacing w:after="0" w:line="240" w:lineRule="auto"/>
              <w:rPr>
                <w:rFonts w:ascii="Calibri" w:eastAsia="Times New Roman" w:hAnsi="Calibri" w:cs="Calibri"/>
                <w:b/>
                <w:bCs/>
                <w:color w:val="000000"/>
                <w:kern w:val="0"/>
                <w:sz w:val="22"/>
                <w:szCs w:val="22"/>
                <w14:ligatures w14:val="none"/>
              </w:rPr>
            </w:pPr>
            <w:r w:rsidRPr="00E706DA">
              <w:rPr>
                <w:rFonts w:ascii="Calibri" w:eastAsia="Times New Roman" w:hAnsi="Calibri" w:cs="Calibri"/>
                <w:b/>
                <w:bCs/>
                <w:color w:val="000000"/>
                <w:kern w:val="0"/>
                <w:sz w:val="22"/>
                <w:szCs w:val="22"/>
                <w14:ligatures w14:val="none"/>
              </w:rPr>
              <w:t>Averages</w:t>
            </w:r>
          </w:p>
        </w:tc>
        <w:tc>
          <w:tcPr>
            <w:tcW w:w="960" w:type="dxa"/>
            <w:tcBorders>
              <w:top w:val="nil"/>
              <w:left w:val="nil"/>
              <w:bottom w:val="double" w:sz="6" w:space="0" w:color="auto"/>
              <w:right w:val="nil"/>
            </w:tcBorders>
            <w:noWrap/>
            <w:vAlign w:val="center"/>
            <w:hideMark/>
          </w:tcPr>
          <w:p w14:paraId="14EC507A"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21.70</w:t>
            </w:r>
          </w:p>
        </w:tc>
        <w:tc>
          <w:tcPr>
            <w:tcW w:w="1680" w:type="dxa"/>
            <w:tcBorders>
              <w:top w:val="nil"/>
              <w:left w:val="nil"/>
              <w:bottom w:val="double" w:sz="6" w:space="0" w:color="auto"/>
              <w:right w:val="nil"/>
            </w:tcBorders>
            <w:noWrap/>
            <w:vAlign w:val="center"/>
            <w:hideMark/>
          </w:tcPr>
          <w:p w14:paraId="48D806ED" w14:textId="77777777"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45.99</w:t>
            </w:r>
          </w:p>
        </w:tc>
        <w:tc>
          <w:tcPr>
            <w:tcW w:w="966" w:type="dxa"/>
            <w:tcBorders>
              <w:top w:val="nil"/>
              <w:left w:val="nil"/>
              <w:bottom w:val="double" w:sz="6" w:space="0" w:color="auto"/>
              <w:right w:val="nil"/>
            </w:tcBorders>
            <w:vAlign w:val="center"/>
          </w:tcPr>
          <w:p w14:paraId="1307D08A" w14:textId="07E0A13C"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2.69</w:t>
            </w:r>
          </w:p>
        </w:tc>
        <w:tc>
          <w:tcPr>
            <w:tcW w:w="966" w:type="dxa"/>
            <w:tcBorders>
              <w:top w:val="nil"/>
              <w:left w:val="nil"/>
              <w:bottom w:val="double" w:sz="6" w:space="0" w:color="auto"/>
              <w:right w:val="nil"/>
            </w:tcBorders>
            <w:noWrap/>
            <w:vAlign w:val="center"/>
            <w:hideMark/>
          </w:tcPr>
          <w:p w14:paraId="228E8B31" w14:textId="4EF2EB2E"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sidRPr="00E706DA">
              <w:rPr>
                <w:rFonts w:ascii="Calibri" w:eastAsia="Times New Roman" w:hAnsi="Calibri" w:cs="Calibri"/>
                <w:color w:val="000000"/>
                <w:kern w:val="0"/>
                <w:sz w:val="22"/>
                <w:szCs w:val="22"/>
                <w14:ligatures w14:val="none"/>
              </w:rPr>
              <w:t>7.77</w:t>
            </w:r>
          </w:p>
        </w:tc>
        <w:tc>
          <w:tcPr>
            <w:tcW w:w="1840" w:type="dxa"/>
            <w:tcBorders>
              <w:top w:val="nil"/>
              <w:left w:val="nil"/>
              <w:bottom w:val="double" w:sz="6" w:space="0" w:color="auto"/>
              <w:right w:val="nil"/>
            </w:tcBorders>
            <w:noWrap/>
            <w:vAlign w:val="center"/>
            <w:hideMark/>
          </w:tcPr>
          <w:p w14:paraId="517E8927" w14:textId="75FF9EF0" w:rsidR="0059468E" w:rsidRPr="00E706DA" w:rsidRDefault="0059468E" w:rsidP="0059468E">
            <w:pPr>
              <w:spacing w:after="0" w:line="240" w:lineRule="auto"/>
              <w:jc w:val="cente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78.15</w:t>
            </w:r>
          </w:p>
        </w:tc>
      </w:tr>
    </w:tbl>
    <w:p w14:paraId="74496EA7" w14:textId="16163F71" w:rsidR="004F16A0" w:rsidRDefault="004F16A0" w:rsidP="006A683C"/>
    <w:p w14:paraId="2247028F" w14:textId="3DEAEB0F" w:rsidR="00DA7107" w:rsidRDefault="004F16A0" w:rsidP="00DA7107">
      <w:pPr>
        <w:pStyle w:val="Title"/>
        <w:jc w:val="both"/>
        <w:rPr>
          <w:rFonts w:asciiTheme="minorHAnsi" w:eastAsiaTheme="minorHAnsi" w:hAnsiTheme="minorHAnsi" w:cstheme="minorBidi"/>
          <w:spacing w:val="0"/>
          <w:kern w:val="2"/>
          <w:sz w:val="24"/>
          <w:szCs w:val="24"/>
        </w:rPr>
      </w:pPr>
      <w:r w:rsidRPr="00C9271A">
        <w:rPr>
          <w:rFonts w:asciiTheme="minorHAnsi" w:eastAsiaTheme="minorHAnsi" w:hAnsiTheme="minorHAnsi" w:cstheme="minorBidi"/>
          <w:spacing w:val="0"/>
          <w:kern w:val="2"/>
          <w:sz w:val="24"/>
          <w:szCs w:val="24"/>
        </w:rPr>
        <w:t xml:space="preserve">Results from Table 6 demonstrate that key health outcomes such as life expectancy, maternal mortality, infant mortality, and service coverage improve sharply as workforce densities rise, but gains diminish above these thresholds. It was discovered that </w:t>
      </w:r>
      <w:r w:rsidR="00326393" w:rsidRPr="00C9271A">
        <w:rPr>
          <w:rFonts w:asciiTheme="minorHAnsi" w:eastAsiaTheme="minorHAnsi" w:hAnsiTheme="minorHAnsi" w:cstheme="minorBidi"/>
          <w:spacing w:val="0"/>
          <w:kern w:val="2"/>
          <w:sz w:val="24"/>
          <w:szCs w:val="24"/>
        </w:rPr>
        <w:t>for life expectancy to significantly increase, we need 31 doctors, 30 nurses and midwives, 3 dentists</w:t>
      </w:r>
      <w:r w:rsidR="00DA7107">
        <w:rPr>
          <w:rFonts w:asciiTheme="minorHAnsi" w:eastAsiaTheme="minorHAnsi" w:hAnsiTheme="minorHAnsi" w:cstheme="minorBidi"/>
          <w:spacing w:val="0"/>
          <w:kern w:val="2"/>
          <w:sz w:val="24"/>
          <w:szCs w:val="24"/>
        </w:rPr>
        <w:t>,</w:t>
      </w:r>
      <w:r w:rsidR="00326393" w:rsidRPr="00C9271A">
        <w:rPr>
          <w:rFonts w:asciiTheme="minorHAnsi" w:eastAsiaTheme="minorHAnsi" w:hAnsiTheme="minorHAnsi" w:cstheme="minorBidi"/>
          <w:spacing w:val="0"/>
          <w:kern w:val="2"/>
          <w:sz w:val="24"/>
          <w:szCs w:val="24"/>
        </w:rPr>
        <w:t xml:space="preserve"> and 6 pharmacists per 10,000 population. Similarly, for service coverage to increase, we need 13 doctors, 48 nurses and midwives, 4 dentists</w:t>
      </w:r>
      <w:r w:rsidR="00DA7107">
        <w:rPr>
          <w:rFonts w:asciiTheme="minorHAnsi" w:eastAsiaTheme="minorHAnsi" w:hAnsiTheme="minorHAnsi" w:cstheme="minorBidi"/>
          <w:spacing w:val="0"/>
          <w:kern w:val="2"/>
          <w:sz w:val="24"/>
          <w:szCs w:val="24"/>
        </w:rPr>
        <w:t>,</w:t>
      </w:r>
      <w:r w:rsidR="00326393" w:rsidRPr="00C9271A">
        <w:rPr>
          <w:rFonts w:asciiTheme="minorHAnsi" w:eastAsiaTheme="minorHAnsi" w:hAnsiTheme="minorHAnsi" w:cstheme="minorBidi"/>
          <w:spacing w:val="0"/>
          <w:kern w:val="2"/>
          <w:sz w:val="24"/>
          <w:szCs w:val="24"/>
        </w:rPr>
        <w:t xml:space="preserve"> and 8 pharmacists per 10,000 population. On the</w:t>
      </w:r>
      <w:r w:rsidR="00326393">
        <w:t xml:space="preserve"> </w:t>
      </w:r>
      <w:r w:rsidR="00326393" w:rsidRPr="00C9271A">
        <w:rPr>
          <w:rFonts w:asciiTheme="minorHAnsi" w:eastAsiaTheme="minorHAnsi" w:hAnsiTheme="minorHAnsi" w:cstheme="minorBidi"/>
          <w:spacing w:val="0"/>
          <w:kern w:val="2"/>
          <w:sz w:val="24"/>
          <w:szCs w:val="24"/>
        </w:rPr>
        <w:t>other hand, for maternal deaths to rapidly reduce, we need 12 doctors, 61 nurses, 3 dentists</w:t>
      </w:r>
      <w:r w:rsidR="00DA7107">
        <w:rPr>
          <w:rFonts w:asciiTheme="minorHAnsi" w:eastAsiaTheme="minorHAnsi" w:hAnsiTheme="minorHAnsi" w:cstheme="minorBidi"/>
          <w:spacing w:val="0"/>
          <w:kern w:val="2"/>
          <w:sz w:val="24"/>
          <w:szCs w:val="24"/>
        </w:rPr>
        <w:t>,</w:t>
      </w:r>
      <w:r w:rsidR="00326393" w:rsidRPr="00C9271A">
        <w:rPr>
          <w:rFonts w:asciiTheme="minorHAnsi" w:eastAsiaTheme="minorHAnsi" w:hAnsiTheme="minorHAnsi" w:cstheme="minorBidi"/>
          <w:spacing w:val="0"/>
          <w:kern w:val="2"/>
          <w:sz w:val="24"/>
          <w:szCs w:val="24"/>
        </w:rPr>
        <w:t xml:space="preserve"> and 1</w:t>
      </w:r>
      <w:r w:rsidR="00E64130" w:rsidRPr="00C9271A">
        <w:rPr>
          <w:rFonts w:asciiTheme="minorHAnsi" w:eastAsiaTheme="minorHAnsi" w:hAnsiTheme="minorHAnsi" w:cstheme="minorBidi"/>
          <w:spacing w:val="0"/>
          <w:kern w:val="2"/>
          <w:sz w:val="24"/>
          <w:szCs w:val="24"/>
        </w:rPr>
        <w:t>1</w:t>
      </w:r>
      <w:r w:rsidR="00326393" w:rsidRPr="00C9271A">
        <w:rPr>
          <w:rFonts w:asciiTheme="minorHAnsi" w:eastAsiaTheme="minorHAnsi" w:hAnsiTheme="minorHAnsi" w:cstheme="minorBidi"/>
          <w:spacing w:val="0"/>
          <w:kern w:val="2"/>
          <w:sz w:val="24"/>
          <w:szCs w:val="24"/>
        </w:rPr>
        <w:t xml:space="preserve"> pharmacists. Similarly, for infant deaths to </w:t>
      </w:r>
      <w:r w:rsidR="00DA7107">
        <w:rPr>
          <w:rFonts w:asciiTheme="minorHAnsi" w:eastAsiaTheme="minorHAnsi" w:hAnsiTheme="minorHAnsi" w:cstheme="minorBidi"/>
          <w:spacing w:val="0"/>
          <w:kern w:val="2"/>
          <w:sz w:val="24"/>
          <w:szCs w:val="24"/>
        </w:rPr>
        <w:t>be reduced</w:t>
      </w:r>
      <w:r w:rsidR="00326393" w:rsidRPr="00C9271A">
        <w:rPr>
          <w:rFonts w:asciiTheme="minorHAnsi" w:eastAsiaTheme="minorHAnsi" w:hAnsiTheme="minorHAnsi" w:cstheme="minorBidi"/>
          <w:spacing w:val="0"/>
          <w:kern w:val="2"/>
          <w:sz w:val="24"/>
          <w:szCs w:val="24"/>
        </w:rPr>
        <w:t>, we need 32 doctors, 47 nurses</w:t>
      </w:r>
      <w:r w:rsidR="00E64130" w:rsidRPr="00C9271A">
        <w:rPr>
          <w:rFonts w:asciiTheme="minorHAnsi" w:eastAsiaTheme="minorHAnsi" w:hAnsiTheme="minorHAnsi" w:cstheme="minorBidi"/>
          <w:spacing w:val="0"/>
          <w:kern w:val="2"/>
          <w:sz w:val="24"/>
          <w:szCs w:val="24"/>
        </w:rPr>
        <w:t>, 3 dentists</w:t>
      </w:r>
      <w:r w:rsidR="00DA7107">
        <w:rPr>
          <w:rFonts w:asciiTheme="minorHAnsi" w:eastAsiaTheme="minorHAnsi" w:hAnsiTheme="minorHAnsi" w:cstheme="minorBidi"/>
          <w:spacing w:val="0"/>
          <w:kern w:val="2"/>
          <w:sz w:val="24"/>
          <w:szCs w:val="24"/>
        </w:rPr>
        <w:t>,</w:t>
      </w:r>
      <w:r w:rsidR="00E64130" w:rsidRPr="00C9271A">
        <w:rPr>
          <w:rFonts w:asciiTheme="minorHAnsi" w:eastAsiaTheme="minorHAnsi" w:hAnsiTheme="minorHAnsi" w:cstheme="minorBidi"/>
          <w:spacing w:val="0"/>
          <w:kern w:val="2"/>
          <w:sz w:val="24"/>
          <w:szCs w:val="24"/>
        </w:rPr>
        <w:t xml:space="preserve"> and 8</w:t>
      </w:r>
      <w:r w:rsidR="00DA7107">
        <w:rPr>
          <w:rFonts w:asciiTheme="minorHAnsi" w:eastAsiaTheme="minorHAnsi" w:hAnsiTheme="minorHAnsi" w:cstheme="minorBidi"/>
          <w:spacing w:val="0"/>
          <w:kern w:val="2"/>
          <w:sz w:val="24"/>
          <w:szCs w:val="24"/>
        </w:rPr>
        <w:t xml:space="preserve"> </w:t>
      </w:r>
      <w:r w:rsidR="00E64130" w:rsidRPr="00C9271A">
        <w:rPr>
          <w:rFonts w:asciiTheme="minorHAnsi" w:eastAsiaTheme="minorHAnsi" w:hAnsiTheme="minorHAnsi" w:cstheme="minorBidi"/>
          <w:spacing w:val="0"/>
          <w:kern w:val="2"/>
          <w:sz w:val="24"/>
          <w:szCs w:val="24"/>
        </w:rPr>
        <w:t xml:space="preserve">pharmacists. </w:t>
      </w:r>
      <w:r w:rsidR="00326393" w:rsidRPr="00C9271A">
        <w:rPr>
          <w:rFonts w:asciiTheme="minorHAnsi" w:eastAsiaTheme="minorHAnsi" w:hAnsiTheme="minorHAnsi" w:cstheme="minorBidi"/>
          <w:spacing w:val="0"/>
          <w:kern w:val="2"/>
          <w:sz w:val="24"/>
          <w:szCs w:val="24"/>
        </w:rPr>
        <w:t xml:space="preserve">Therefore, </w:t>
      </w:r>
      <w:r w:rsidRPr="00C9271A">
        <w:rPr>
          <w:rFonts w:asciiTheme="minorHAnsi" w:eastAsiaTheme="minorHAnsi" w:hAnsiTheme="minorHAnsi" w:cstheme="minorBidi"/>
          <w:spacing w:val="0"/>
          <w:kern w:val="2"/>
          <w:sz w:val="24"/>
          <w:szCs w:val="24"/>
        </w:rPr>
        <w:t>on average</w:t>
      </w:r>
      <w:r w:rsidR="00326393" w:rsidRPr="00C9271A">
        <w:rPr>
          <w:rFonts w:asciiTheme="minorHAnsi" w:eastAsiaTheme="minorHAnsi" w:hAnsiTheme="minorHAnsi" w:cstheme="minorBidi"/>
          <w:spacing w:val="0"/>
          <w:kern w:val="2"/>
          <w:sz w:val="24"/>
          <w:szCs w:val="24"/>
        </w:rPr>
        <w:t xml:space="preserve"> </w:t>
      </w:r>
      <w:r w:rsidRPr="00C9271A">
        <w:rPr>
          <w:rFonts w:asciiTheme="minorHAnsi" w:eastAsiaTheme="minorHAnsi" w:hAnsiTheme="minorHAnsi" w:cstheme="minorBidi"/>
          <w:spacing w:val="0"/>
          <w:kern w:val="2"/>
          <w:sz w:val="24"/>
          <w:szCs w:val="24"/>
        </w:rPr>
        <w:t xml:space="preserve">across all </w:t>
      </w:r>
      <w:r w:rsidR="00326393" w:rsidRPr="00C9271A">
        <w:rPr>
          <w:rFonts w:asciiTheme="minorHAnsi" w:eastAsiaTheme="minorHAnsi" w:hAnsiTheme="minorHAnsi" w:cstheme="minorBidi"/>
          <w:spacing w:val="0"/>
          <w:kern w:val="2"/>
          <w:sz w:val="24"/>
          <w:szCs w:val="24"/>
        </w:rPr>
        <w:t xml:space="preserve">health </w:t>
      </w:r>
      <w:r w:rsidRPr="00C9271A">
        <w:rPr>
          <w:rFonts w:asciiTheme="minorHAnsi" w:eastAsiaTheme="minorHAnsi" w:hAnsiTheme="minorHAnsi" w:cstheme="minorBidi"/>
          <w:spacing w:val="0"/>
          <w:kern w:val="2"/>
          <w:sz w:val="24"/>
          <w:szCs w:val="24"/>
        </w:rPr>
        <w:t xml:space="preserve">outcomes, </w:t>
      </w:r>
      <w:r w:rsidR="00326393" w:rsidRPr="00C9271A">
        <w:rPr>
          <w:rFonts w:asciiTheme="minorHAnsi" w:eastAsiaTheme="minorHAnsi" w:hAnsiTheme="minorHAnsi" w:cstheme="minorBidi"/>
          <w:spacing w:val="0"/>
          <w:kern w:val="2"/>
          <w:sz w:val="24"/>
          <w:szCs w:val="24"/>
        </w:rPr>
        <w:t>we need around 22</w:t>
      </w:r>
      <w:r w:rsidR="00DA7107">
        <w:rPr>
          <w:rFonts w:asciiTheme="minorHAnsi" w:eastAsiaTheme="minorHAnsi" w:hAnsiTheme="minorHAnsi" w:cstheme="minorBidi"/>
          <w:spacing w:val="0"/>
          <w:kern w:val="2"/>
          <w:sz w:val="24"/>
          <w:szCs w:val="24"/>
        </w:rPr>
        <w:t xml:space="preserve"> to </w:t>
      </w:r>
      <w:r w:rsidR="00326393" w:rsidRPr="00C9271A">
        <w:rPr>
          <w:rFonts w:asciiTheme="minorHAnsi" w:eastAsiaTheme="minorHAnsi" w:hAnsiTheme="minorHAnsi" w:cstheme="minorBidi"/>
          <w:spacing w:val="0"/>
          <w:kern w:val="2"/>
          <w:sz w:val="24"/>
          <w:szCs w:val="24"/>
        </w:rPr>
        <w:t>32 doctors, 46</w:t>
      </w:r>
      <w:r w:rsidR="00DA7107">
        <w:rPr>
          <w:rFonts w:asciiTheme="minorHAnsi" w:eastAsiaTheme="minorHAnsi" w:hAnsiTheme="minorHAnsi" w:cstheme="minorBidi"/>
          <w:spacing w:val="0"/>
          <w:kern w:val="2"/>
          <w:sz w:val="24"/>
          <w:szCs w:val="24"/>
        </w:rPr>
        <w:t xml:space="preserve"> to </w:t>
      </w:r>
      <w:r w:rsidR="00326393" w:rsidRPr="00C9271A">
        <w:rPr>
          <w:rFonts w:asciiTheme="minorHAnsi" w:eastAsiaTheme="minorHAnsi" w:hAnsiTheme="minorHAnsi" w:cstheme="minorBidi"/>
          <w:spacing w:val="0"/>
          <w:kern w:val="2"/>
          <w:sz w:val="24"/>
          <w:szCs w:val="24"/>
        </w:rPr>
        <w:t>61 nurses, 3</w:t>
      </w:r>
      <w:r w:rsidR="00DA7107">
        <w:rPr>
          <w:rFonts w:asciiTheme="minorHAnsi" w:eastAsiaTheme="minorHAnsi" w:hAnsiTheme="minorHAnsi" w:cstheme="minorBidi"/>
          <w:spacing w:val="0"/>
          <w:kern w:val="2"/>
          <w:sz w:val="24"/>
          <w:szCs w:val="24"/>
        </w:rPr>
        <w:t xml:space="preserve"> to </w:t>
      </w:r>
      <w:r w:rsidR="00326393" w:rsidRPr="00C9271A">
        <w:rPr>
          <w:rFonts w:asciiTheme="minorHAnsi" w:eastAsiaTheme="minorHAnsi" w:hAnsiTheme="minorHAnsi" w:cstheme="minorBidi"/>
          <w:spacing w:val="0"/>
          <w:kern w:val="2"/>
          <w:sz w:val="24"/>
          <w:szCs w:val="24"/>
        </w:rPr>
        <w:t>4 dentists, and 8 to 11 pharmacists per 10,000 population</w:t>
      </w:r>
      <w:r w:rsidR="0059468E">
        <w:rPr>
          <w:rFonts w:asciiTheme="minorHAnsi" w:eastAsiaTheme="minorHAnsi" w:hAnsiTheme="minorHAnsi" w:cstheme="minorBidi"/>
          <w:spacing w:val="0"/>
          <w:kern w:val="2"/>
          <w:sz w:val="24"/>
          <w:szCs w:val="24"/>
        </w:rPr>
        <w:t>, with significant improvements in mortality ratios requiring more health workers.</w:t>
      </w:r>
    </w:p>
    <w:p w14:paraId="6FE05193" w14:textId="77777777" w:rsidR="00DA7107" w:rsidRDefault="00DA7107">
      <w:r>
        <w:br w:type="page"/>
      </w:r>
    </w:p>
    <w:p w14:paraId="4C66B2C8" w14:textId="77777777" w:rsidR="004F16A0" w:rsidRPr="00C9271A" w:rsidRDefault="004F16A0" w:rsidP="00DA7107">
      <w:pPr>
        <w:pStyle w:val="Title"/>
        <w:jc w:val="both"/>
        <w:rPr>
          <w:rFonts w:asciiTheme="minorHAnsi" w:eastAsiaTheme="minorHAnsi" w:hAnsiTheme="minorHAnsi" w:cstheme="minorBidi"/>
          <w:spacing w:val="0"/>
          <w:kern w:val="2"/>
          <w:sz w:val="24"/>
          <w:szCs w:val="24"/>
        </w:rPr>
      </w:pPr>
    </w:p>
    <w:p w14:paraId="259FCF3B" w14:textId="0BA06261" w:rsidR="000D7D92" w:rsidRPr="00E50DF0" w:rsidRDefault="000D7D92" w:rsidP="000D7D92">
      <w:pPr>
        <w:spacing w:before="240"/>
        <w:jc w:val="both"/>
        <w:rPr>
          <w:b/>
          <w:bCs/>
          <w:color w:val="C00000"/>
        </w:rPr>
      </w:pPr>
      <w:r w:rsidRPr="00E50DF0">
        <w:rPr>
          <w:b/>
          <w:bCs/>
          <w:color w:val="C00000"/>
        </w:rPr>
        <w:t xml:space="preserve">Analyzing the Optimal Government Health Financing Limits </w:t>
      </w:r>
      <w:r w:rsidR="00E50DF0" w:rsidRPr="00E50DF0">
        <w:rPr>
          <w:b/>
          <w:bCs/>
          <w:color w:val="C00000"/>
        </w:rPr>
        <w:t>that boost</w:t>
      </w:r>
      <w:r w:rsidRPr="00E50DF0">
        <w:rPr>
          <w:b/>
          <w:bCs/>
          <w:color w:val="C00000"/>
        </w:rPr>
        <w:t xml:space="preserve"> Health Workforce </w:t>
      </w:r>
      <w:proofErr w:type="gramStart"/>
      <w:r w:rsidRPr="00E50DF0">
        <w:rPr>
          <w:b/>
          <w:bCs/>
          <w:color w:val="C00000"/>
        </w:rPr>
        <w:t>Density .</w:t>
      </w:r>
      <w:proofErr w:type="gramEnd"/>
    </w:p>
    <w:p w14:paraId="180DDA3B" w14:textId="21F70CD8" w:rsidR="00ED6679" w:rsidRDefault="00085835" w:rsidP="00ED6679">
      <w:pPr>
        <w:jc w:val="both"/>
      </w:pPr>
      <w:r>
        <w:t xml:space="preserve">In this section, we determine </w:t>
      </w:r>
      <w:r w:rsidR="00ED3774">
        <w:t>whether government</w:t>
      </w:r>
      <w:r w:rsidR="00A315EC">
        <w:t xml:space="preserve"> </w:t>
      </w:r>
      <w:r w:rsidR="00ED3774">
        <w:t xml:space="preserve">financing </w:t>
      </w:r>
      <w:r w:rsidR="00A315EC">
        <w:t xml:space="preserve">on health </w:t>
      </w:r>
      <w:r w:rsidR="00ED3774">
        <w:t>(</w:t>
      </w:r>
      <w:r>
        <w:t>GGHED</w:t>
      </w:r>
      <w:r w:rsidR="00ED3774">
        <w:t>) has any effect on health workforce (HWF) densities</w:t>
      </w:r>
      <w:r w:rsidR="00337C85">
        <w:t xml:space="preserve"> and whether an increase in government expenditure has infinite or diminishing returns</w:t>
      </w:r>
      <w:r w:rsidR="00ED3774">
        <w:t>.</w:t>
      </w:r>
      <w:r w:rsidR="006177FB">
        <w:t xml:space="preserve"> </w:t>
      </w:r>
      <w:r w:rsidR="00337C85">
        <w:t>A</w:t>
      </w:r>
      <w:r w:rsidR="00AF7EE5">
        <w:t xml:space="preserve"> </w:t>
      </w:r>
      <w:r w:rsidR="00ED6679">
        <w:t>generalized additive model</w:t>
      </w:r>
      <w:r w:rsidR="00A315EC">
        <w:t xml:space="preserve"> (GAM) was </w:t>
      </w:r>
      <w:r w:rsidR="00337C85">
        <w:t xml:space="preserve">first </w:t>
      </w:r>
      <w:r w:rsidR="00ED6679">
        <w:t>fitted to the data to help us capture current or any delayed effects that government health expenditure has on health workforce density</w:t>
      </w:r>
      <w:r w:rsidR="00AF7EE5">
        <w:t xml:space="preserve">, where the current to the fifth GGHED lags were included in the model. </w:t>
      </w:r>
      <w:r w:rsidR="00A315EC">
        <w:t>T</w:t>
      </w:r>
      <w:r w:rsidR="00ED6679">
        <w:t>he fitted GAM model was given by:</w:t>
      </w:r>
    </w:p>
    <w:p w14:paraId="2399AD97" w14:textId="762ABAED" w:rsidR="00ED6679" w:rsidRPr="00A902B2" w:rsidRDefault="00000000" w:rsidP="00ED6679">
      <w:pPr>
        <w:jc w:val="center"/>
        <w:rPr>
          <w:rFonts w:asciiTheme="majorHAnsi" w:hAnsiTheme="majorHAnsi" w:cstheme="majorHAnsi"/>
          <w:sz w:val="18"/>
          <w:szCs w:val="18"/>
        </w:rPr>
      </w:pPr>
      <m:oMathPara>
        <m:oMath>
          <m:sSub>
            <m:sSubPr>
              <m:ctrlPr>
                <w:rPr>
                  <w:rFonts w:ascii="Cambria Math" w:hAnsi="Cambria Math" w:cstheme="majorHAnsi"/>
                  <w:sz w:val="18"/>
                  <w:szCs w:val="18"/>
                </w:rPr>
              </m:ctrlPr>
            </m:sSubPr>
            <m:e>
              <m:r>
                <w:rPr>
                  <w:rFonts w:ascii="Cambria Math" w:hAnsi="Cambria Math" w:cstheme="majorHAnsi"/>
                  <w:sz w:val="18"/>
                  <w:szCs w:val="18"/>
                </w:rPr>
                <m:t>HWF</m:t>
              </m:r>
            </m:e>
            <m:sub>
              <m:r>
                <w:rPr>
                  <w:rFonts w:ascii="Cambria Math" w:hAnsi="Cambria Math" w:cstheme="majorHAnsi"/>
                  <w:sz w:val="18"/>
                  <w:szCs w:val="18"/>
                </w:rPr>
                <m:t>it</m:t>
              </m:r>
            </m:sub>
          </m:sSub>
          <m:r>
            <m:rPr>
              <m:sty m:val="p"/>
            </m:rPr>
            <w:rPr>
              <w:rFonts w:ascii="Cambria Math" w:hAnsi="Cambria Math" w:cstheme="majorHAnsi"/>
              <w:sz w:val="18"/>
              <w:szCs w:val="18"/>
            </w:rPr>
            <m:t>=</m:t>
          </m:r>
          <m:r>
            <w:rPr>
              <w:rFonts w:ascii="Cambria Math" w:hAnsi="Cambria Math" w:cstheme="majorHAnsi"/>
              <w:sz w:val="18"/>
              <w:szCs w:val="18"/>
            </w:rPr>
            <m:t>α</m:t>
          </m:r>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r>
                <m:rPr>
                  <m:sty m:val="p"/>
                </m:rPr>
                <w:rPr>
                  <w:rFonts w:ascii="Cambria Math" w:hAnsi="Cambria Math" w:cstheme="majorHAnsi"/>
                  <w:sz w:val="18"/>
                  <w:szCs w:val="18"/>
                </w:rPr>
                <m:t>(</m:t>
              </m:r>
              <m:r>
                <w:rPr>
                  <w:rFonts w:ascii="Cambria Math" w:hAnsi="Cambria Math" w:cstheme="majorHAnsi"/>
                  <w:sz w:val="18"/>
                  <w:szCs w:val="18"/>
                </w:rPr>
                <m:t>GGHED</m:t>
              </m:r>
            </m:e>
            <m:sub>
              <m:r>
                <w:rPr>
                  <w:rFonts w:ascii="Cambria Math" w:hAnsi="Cambria Math" w:cstheme="majorHAnsi"/>
                  <w:sz w:val="18"/>
                  <w:szCs w:val="18"/>
                </w:rPr>
                <m:t>it</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r>
                <m:rPr>
                  <m:sty m:val="p"/>
                </m:rPr>
                <w:rPr>
                  <w:rFonts w:ascii="Cambria Math" w:hAnsi="Cambria Math" w:cstheme="majorHAnsi"/>
                  <w:sz w:val="18"/>
                  <w:szCs w:val="18"/>
                </w:rPr>
                <m:t>(</m:t>
              </m:r>
              <m:r>
                <w:rPr>
                  <w:rFonts w:ascii="Cambria Math" w:hAnsi="Cambria Math" w:cstheme="majorHAnsi"/>
                  <w:sz w:val="18"/>
                  <w:szCs w:val="18"/>
                </w:rPr>
                <m:t>GGHED</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-1)</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r>
                <m:rPr>
                  <m:sty m:val="p"/>
                </m:rPr>
                <w:rPr>
                  <w:rFonts w:ascii="Cambria Math" w:hAnsi="Cambria Math" w:cstheme="majorHAnsi"/>
                  <w:sz w:val="18"/>
                  <w:szCs w:val="18"/>
                </w:rPr>
                <m:t>(</m:t>
              </m:r>
              <m:r>
                <w:rPr>
                  <w:rFonts w:ascii="Cambria Math" w:hAnsi="Cambria Math" w:cstheme="majorHAnsi"/>
                  <w:sz w:val="18"/>
                  <w:szCs w:val="18"/>
                </w:rPr>
                <m:t>GGHED</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-2)</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r>
                <m:rPr>
                  <m:sty m:val="p"/>
                </m:rPr>
                <w:rPr>
                  <w:rFonts w:ascii="Cambria Math" w:hAnsi="Cambria Math" w:cstheme="majorHAnsi"/>
                  <w:sz w:val="18"/>
                  <w:szCs w:val="18"/>
                </w:rPr>
                <m:t>(</m:t>
              </m:r>
              <m:r>
                <w:rPr>
                  <w:rFonts w:ascii="Cambria Math" w:hAnsi="Cambria Math" w:cstheme="majorHAnsi"/>
                  <w:sz w:val="18"/>
                  <w:szCs w:val="18"/>
                </w:rPr>
                <m:t>GGHED</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-3)</m:t>
              </m:r>
            </m:sub>
          </m:sSub>
          <m:r>
            <m:rPr>
              <m:sty m:val="p"/>
            </m:rPr>
            <w:rPr>
              <w:rFonts w:ascii="Cambria Math" w:hAnsi="Cambria Math" w:cstheme="majorHAnsi"/>
              <w:sz w:val="18"/>
              <w:szCs w:val="18"/>
            </w:rPr>
            <m:t>)</m:t>
          </m:r>
        </m:oMath>
      </m:oMathPara>
    </w:p>
    <w:p w14:paraId="221CC9D1" w14:textId="52F82CCF" w:rsidR="00ED6679" w:rsidRDefault="00000000" w:rsidP="00ED6679">
      <w:pPr>
        <w:jc w:val="right"/>
      </w:pPr>
      <m:oMath>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r>
              <m:rPr>
                <m:sty m:val="p"/>
              </m:rPr>
              <w:rPr>
                <w:rFonts w:ascii="Cambria Math" w:hAnsi="Cambria Math" w:cstheme="majorHAnsi"/>
                <w:sz w:val="18"/>
                <w:szCs w:val="18"/>
              </w:rPr>
              <m:t>(</m:t>
            </m:r>
            <m:r>
              <w:rPr>
                <w:rFonts w:ascii="Cambria Math" w:hAnsi="Cambria Math" w:cstheme="majorHAnsi"/>
                <w:sz w:val="18"/>
                <w:szCs w:val="18"/>
              </w:rPr>
              <m:t>GGHED</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-4)</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m:rPr>
                <m:sty m:val="p"/>
              </m:rPr>
              <w:rPr>
                <w:rFonts w:ascii="Cambria Math" w:hAnsi="Cambria Math" w:cstheme="majorHAnsi"/>
                <w:sz w:val="18"/>
                <w:szCs w:val="18"/>
              </w:rPr>
              <m:t>+</m:t>
            </m:r>
            <m:r>
              <w:rPr>
                <w:rFonts w:ascii="Cambria Math" w:hAnsi="Cambria Math" w:cstheme="majorHAnsi"/>
                <w:sz w:val="18"/>
                <w:szCs w:val="18"/>
              </w:rPr>
              <m:t>f</m:t>
            </m:r>
            <m:r>
              <m:rPr>
                <m:sty m:val="p"/>
              </m:rPr>
              <w:rPr>
                <w:rFonts w:ascii="Cambria Math" w:hAnsi="Cambria Math" w:cstheme="majorHAnsi"/>
                <w:sz w:val="18"/>
                <w:szCs w:val="18"/>
              </w:rPr>
              <m:t>(</m:t>
            </m:r>
            <m:r>
              <w:rPr>
                <w:rFonts w:ascii="Cambria Math" w:hAnsi="Cambria Math" w:cstheme="majorHAnsi"/>
                <w:sz w:val="18"/>
                <w:szCs w:val="18"/>
              </w:rPr>
              <m:t>GGHED</m:t>
            </m:r>
          </m:e>
          <m:sub>
            <m:r>
              <w:rPr>
                <w:rFonts w:ascii="Cambria Math" w:hAnsi="Cambria Math" w:cstheme="majorHAnsi"/>
                <w:sz w:val="18"/>
                <w:szCs w:val="18"/>
              </w:rPr>
              <m:t>i</m:t>
            </m:r>
            <m:r>
              <m:rPr>
                <m:sty m:val="p"/>
              </m:rPr>
              <w:rPr>
                <w:rFonts w:ascii="Cambria Math" w:hAnsi="Cambria Math" w:cstheme="majorHAnsi"/>
                <w:sz w:val="18"/>
                <w:szCs w:val="18"/>
              </w:rPr>
              <m:t>(</m:t>
            </m:r>
            <m:r>
              <w:rPr>
                <w:rFonts w:ascii="Cambria Math" w:hAnsi="Cambria Math" w:cstheme="majorHAnsi"/>
                <w:sz w:val="18"/>
                <w:szCs w:val="18"/>
              </w:rPr>
              <m:t>t</m:t>
            </m:r>
            <m:r>
              <m:rPr>
                <m:sty m:val="p"/>
              </m:rPr>
              <w:rPr>
                <w:rFonts w:ascii="Cambria Math" w:hAnsi="Cambria Math" w:cstheme="majorHAnsi"/>
                <w:sz w:val="18"/>
                <w:szCs w:val="18"/>
              </w:rPr>
              <m:t>-5)</m:t>
            </m:r>
          </m:sub>
        </m:sSub>
        <m:r>
          <m:rPr>
            <m:sty m:val="p"/>
          </m:rPr>
          <w:rPr>
            <w:rFonts w:ascii="Cambria Math" w:hAnsi="Cambria Math" w:cstheme="majorHAnsi"/>
            <w:sz w:val="18"/>
            <w:szCs w:val="18"/>
          </w:rPr>
          <m:t>)+</m:t>
        </m:r>
        <m:sSub>
          <m:sSubPr>
            <m:ctrlPr>
              <w:rPr>
                <w:rFonts w:ascii="Cambria Math" w:hAnsi="Cambria Math" w:cstheme="majorHAnsi"/>
                <w:sz w:val="18"/>
                <w:szCs w:val="18"/>
              </w:rPr>
            </m:ctrlPr>
          </m:sSubPr>
          <m:e>
            <m:r>
              <w:rPr>
                <w:rFonts w:ascii="Cambria Math" w:hAnsi="Cambria Math" w:cstheme="majorHAnsi"/>
                <w:sz w:val="18"/>
                <w:szCs w:val="18"/>
              </w:rPr>
              <m:t>e</m:t>
            </m:r>
          </m:e>
          <m:sub>
            <m:r>
              <w:rPr>
                <w:rFonts w:ascii="Cambria Math" w:hAnsi="Cambria Math" w:cstheme="majorHAnsi"/>
                <w:sz w:val="18"/>
                <w:szCs w:val="18"/>
              </w:rPr>
              <m:t>it</m:t>
            </m:r>
          </m:sub>
        </m:sSub>
      </m:oMath>
      <w:r w:rsidR="00ED6679" w:rsidRPr="00A902B2">
        <w:rPr>
          <w:rFonts w:asciiTheme="majorHAnsi" w:hAnsiTheme="majorHAnsi" w:cstheme="majorHAnsi"/>
          <w:sz w:val="18"/>
          <w:szCs w:val="18"/>
        </w:rPr>
        <w:tab/>
        <w:t xml:space="preserve">      </w:t>
      </w:r>
      <w:r w:rsidR="00ED6679" w:rsidRPr="00C9271A">
        <w:t xml:space="preserve">                            (3)</w:t>
      </w:r>
    </w:p>
    <w:p w14:paraId="31B0B8EE" w14:textId="260B8B11" w:rsidR="00ED6679" w:rsidRDefault="00337C85" w:rsidP="00ED6679">
      <w:pPr>
        <w:jc w:val="both"/>
      </w:pPr>
      <w:r>
        <w:t>The</w:t>
      </w:r>
      <w:r w:rsidR="00A315EC">
        <w:t xml:space="preserve"> fitted </w:t>
      </w:r>
      <w:r>
        <w:t>lagged GA</w:t>
      </w:r>
      <w:r w:rsidR="00A315EC">
        <w:t xml:space="preserve">M </w:t>
      </w:r>
      <w:r w:rsidR="00F45B1C">
        <w:t>model was</w:t>
      </w:r>
      <w:r w:rsidR="007318B6">
        <w:t xml:space="preserve"> found to have</w:t>
      </w:r>
      <w:r>
        <w:t xml:space="preserve"> an explained deviance of 85.3% and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of 83.6% with an intercept of </w:t>
      </w:r>
      <w:r>
        <w:rPr>
          <w:rFonts w:eastAsiaTheme="minorEastAsia" w:cstheme="minorHAnsi"/>
        </w:rPr>
        <w:t>α</w:t>
      </w:r>
      <w:r>
        <w:rPr>
          <w:rFonts w:eastAsiaTheme="minorEastAsia"/>
        </w:rPr>
        <w:t>=17.57***</w:t>
      </w:r>
      <w:r w:rsidR="006733EC">
        <w:rPr>
          <w:rFonts w:eastAsiaTheme="minorEastAsia"/>
        </w:rPr>
        <w:t>,</w:t>
      </w:r>
      <w:r w:rsidR="00ED6679">
        <w:t xml:space="preserve"> </w:t>
      </w:r>
      <w:r>
        <w:t xml:space="preserve">and </w:t>
      </w:r>
      <w:r w:rsidR="006733EC">
        <w:t>the smoothed parameter estimates were</w:t>
      </w:r>
      <w:r w:rsidR="00ED6679">
        <w:t xml:space="preserve"> as </w:t>
      </w:r>
      <w:r w:rsidR="00F45B1C">
        <w:t>summarized</w:t>
      </w:r>
      <w:r w:rsidR="00ED6679">
        <w:t xml:space="preserve"> in Table 7:</w:t>
      </w:r>
    </w:p>
    <w:tbl>
      <w:tblPr>
        <w:tblW w:w="7470" w:type="dxa"/>
        <w:jc w:val="center"/>
        <w:tblLook w:val="04A0" w:firstRow="1" w:lastRow="0" w:firstColumn="1" w:lastColumn="0" w:noHBand="0" w:noVBand="1"/>
      </w:tblPr>
      <w:tblGrid>
        <w:gridCol w:w="1980"/>
        <w:gridCol w:w="1098"/>
        <w:gridCol w:w="1188"/>
        <w:gridCol w:w="941"/>
        <w:gridCol w:w="2263"/>
      </w:tblGrid>
      <w:tr w:rsidR="00ED6679" w:rsidRPr="00337C85" w14:paraId="5380470D" w14:textId="77777777" w:rsidTr="00DD4381">
        <w:trPr>
          <w:trHeight w:val="288"/>
          <w:jc w:val="center"/>
        </w:trPr>
        <w:tc>
          <w:tcPr>
            <w:tcW w:w="7470" w:type="dxa"/>
            <w:gridSpan w:val="5"/>
            <w:tcBorders>
              <w:top w:val="nil"/>
              <w:left w:val="nil"/>
              <w:bottom w:val="single" w:sz="4" w:space="0" w:color="auto"/>
              <w:right w:val="nil"/>
            </w:tcBorders>
            <w:noWrap/>
            <w:vAlign w:val="bottom"/>
            <w:hideMark/>
          </w:tcPr>
          <w:p w14:paraId="733F03C3" w14:textId="179A34BD" w:rsidR="00ED6679" w:rsidRPr="00337C85" w:rsidRDefault="00ED6679" w:rsidP="0002795A">
            <w:pPr>
              <w:spacing w:after="0" w:line="240" w:lineRule="auto"/>
              <w:rPr>
                <w:rFonts w:ascii="Aptos Narrow" w:eastAsia="Times New Roman" w:hAnsi="Aptos Narrow" w:cs="Calibri"/>
                <w:b/>
                <w:bCs/>
                <w:color w:val="0070C0"/>
                <w:kern w:val="0"/>
                <w:sz w:val="22"/>
                <w:szCs w:val="22"/>
                <w14:ligatures w14:val="none"/>
              </w:rPr>
            </w:pPr>
            <w:r w:rsidRPr="00337C85">
              <w:rPr>
                <w:rFonts w:ascii="Aptos Narrow" w:eastAsia="Times New Roman" w:hAnsi="Aptos Narrow" w:cs="Calibri"/>
                <w:b/>
                <w:bCs/>
                <w:color w:val="0070C0"/>
                <w:kern w:val="0"/>
                <w:sz w:val="22"/>
                <w:szCs w:val="22"/>
                <w14:ligatures w14:val="none"/>
              </w:rPr>
              <w:t xml:space="preserve">Table </w:t>
            </w:r>
            <w:r w:rsidR="00B614D1" w:rsidRPr="00337C85">
              <w:rPr>
                <w:rFonts w:ascii="Aptos Narrow" w:eastAsia="Times New Roman" w:hAnsi="Aptos Narrow" w:cs="Calibri"/>
                <w:b/>
                <w:bCs/>
                <w:color w:val="0070C0"/>
                <w:kern w:val="0"/>
                <w:sz w:val="22"/>
                <w:szCs w:val="22"/>
                <w14:ligatures w14:val="none"/>
              </w:rPr>
              <w:t>7</w:t>
            </w:r>
            <w:r w:rsidRPr="00337C85">
              <w:rPr>
                <w:rFonts w:ascii="Aptos Narrow" w:eastAsia="Times New Roman" w:hAnsi="Aptos Narrow" w:cs="Calibri"/>
                <w:b/>
                <w:bCs/>
                <w:color w:val="0070C0"/>
                <w:kern w:val="0"/>
                <w:sz w:val="22"/>
                <w:szCs w:val="22"/>
                <w14:ligatures w14:val="none"/>
              </w:rPr>
              <w:t>: Lagged</w:t>
            </w:r>
            <w:r w:rsidR="00B614D1" w:rsidRPr="00337C85">
              <w:rPr>
                <w:rFonts w:ascii="Aptos Narrow" w:eastAsia="Times New Roman" w:hAnsi="Aptos Narrow" w:cs="Calibri"/>
                <w:b/>
                <w:bCs/>
                <w:color w:val="0070C0"/>
                <w:kern w:val="0"/>
                <w:sz w:val="22"/>
                <w:szCs w:val="22"/>
                <w14:ligatures w14:val="none"/>
              </w:rPr>
              <w:t xml:space="preserve"> GAM</w:t>
            </w:r>
            <w:r w:rsidRPr="00337C85">
              <w:rPr>
                <w:rFonts w:ascii="Aptos Narrow" w:eastAsia="Times New Roman" w:hAnsi="Aptos Narrow" w:cs="Calibri"/>
                <w:b/>
                <w:bCs/>
                <w:color w:val="0070C0"/>
                <w:kern w:val="0"/>
                <w:sz w:val="22"/>
                <w:szCs w:val="22"/>
                <w14:ligatures w14:val="none"/>
              </w:rPr>
              <w:t xml:space="preserve"> Model Results</w:t>
            </w:r>
            <w:r w:rsidR="00B614D1" w:rsidRPr="00337C85">
              <w:rPr>
                <w:rFonts w:ascii="Aptos Narrow" w:eastAsia="Times New Roman" w:hAnsi="Aptos Narrow" w:cs="Calibri"/>
                <w:b/>
                <w:bCs/>
                <w:color w:val="0070C0"/>
                <w:kern w:val="0"/>
                <w:sz w:val="22"/>
                <w:szCs w:val="22"/>
                <w14:ligatures w14:val="none"/>
              </w:rPr>
              <w:t xml:space="preserve"> on the effect of GGHED </w:t>
            </w:r>
            <w:r w:rsidR="00DD4381">
              <w:rPr>
                <w:rFonts w:ascii="Aptos Narrow" w:eastAsia="Times New Roman" w:hAnsi="Aptos Narrow" w:cs="Calibri"/>
                <w:b/>
                <w:bCs/>
                <w:color w:val="0070C0"/>
                <w:kern w:val="0"/>
                <w:sz w:val="22"/>
                <w:szCs w:val="22"/>
                <w14:ligatures w14:val="none"/>
              </w:rPr>
              <w:t xml:space="preserve">per capita </w:t>
            </w:r>
            <w:r w:rsidR="00B614D1" w:rsidRPr="00337C85">
              <w:rPr>
                <w:rFonts w:ascii="Aptos Narrow" w:eastAsia="Times New Roman" w:hAnsi="Aptos Narrow" w:cs="Calibri"/>
                <w:b/>
                <w:bCs/>
                <w:color w:val="0070C0"/>
                <w:kern w:val="0"/>
                <w:sz w:val="22"/>
                <w:szCs w:val="22"/>
                <w14:ligatures w14:val="none"/>
              </w:rPr>
              <w:t>on HWF</w:t>
            </w:r>
          </w:p>
        </w:tc>
      </w:tr>
      <w:tr w:rsidR="00ED6679" w:rsidRPr="00334150" w14:paraId="0B5F9A1A" w14:textId="77777777" w:rsidTr="00DD4381">
        <w:trPr>
          <w:trHeight w:val="288"/>
          <w:jc w:val="center"/>
        </w:trPr>
        <w:tc>
          <w:tcPr>
            <w:tcW w:w="1980" w:type="dxa"/>
            <w:tcBorders>
              <w:top w:val="nil"/>
              <w:left w:val="nil"/>
              <w:bottom w:val="single" w:sz="4" w:space="0" w:color="auto"/>
              <w:right w:val="nil"/>
            </w:tcBorders>
            <w:noWrap/>
            <w:vAlign w:val="bottom"/>
            <w:hideMark/>
          </w:tcPr>
          <w:p w14:paraId="7B329742" w14:textId="77777777" w:rsidR="00ED6679" w:rsidRPr="00E94603" w:rsidRDefault="00ED6679" w:rsidP="0002795A">
            <w:pPr>
              <w:spacing w:after="0" w:line="240" w:lineRule="auto"/>
              <w:rPr>
                <w:b/>
                <w:bCs/>
                <w:sz w:val="22"/>
                <w:szCs w:val="22"/>
              </w:rPr>
            </w:pPr>
            <w:r w:rsidRPr="00E94603">
              <w:rPr>
                <w:b/>
                <w:bCs/>
                <w:sz w:val="22"/>
                <w:szCs w:val="22"/>
              </w:rPr>
              <w:t>Variable</w:t>
            </w:r>
          </w:p>
        </w:tc>
        <w:tc>
          <w:tcPr>
            <w:tcW w:w="1098" w:type="dxa"/>
            <w:tcBorders>
              <w:top w:val="nil"/>
              <w:left w:val="nil"/>
              <w:bottom w:val="single" w:sz="4" w:space="0" w:color="auto"/>
              <w:right w:val="nil"/>
            </w:tcBorders>
            <w:noWrap/>
            <w:vAlign w:val="bottom"/>
            <w:hideMark/>
          </w:tcPr>
          <w:p w14:paraId="5EE1C180" w14:textId="599E2051" w:rsidR="00ED6679" w:rsidRPr="00E94603" w:rsidRDefault="00ED6679" w:rsidP="0002795A">
            <w:pPr>
              <w:spacing w:after="0" w:line="240" w:lineRule="auto"/>
              <w:jc w:val="center"/>
              <w:rPr>
                <w:b/>
                <w:bCs/>
                <w:sz w:val="22"/>
                <w:szCs w:val="22"/>
              </w:rPr>
            </w:pPr>
            <w:proofErr w:type="spellStart"/>
            <w:r w:rsidRPr="00E94603">
              <w:rPr>
                <w:b/>
                <w:bCs/>
                <w:sz w:val="22"/>
                <w:szCs w:val="22"/>
              </w:rPr>
              <w:t>edf</w:t>
            </w:r>
            <w:proofErr w:type="spellEnd"/>
          </w:p>
        </w:tc>
        <w:tc>
          <w:tcPr>
            <w:tcW w:w="1188" w:type="dxa"/>
            <w:tcBorders>
              <w:top w:val="nil"/>
              <w:left w:val="nil"/>
              <w:bottom w:val="single" w:sz="4" w:space="0" w:color="auto"/>
              <w:right w:val="nil"/>
            </w:tcBorders>
            <w:noWrap/>
            <w:vAlign w:val="bottom"/>
            <w:hideMark/>
          </w:tcPr>
          <w:p w14:paraId="15C93587" w14:textId="3A737E31" w:rsidR="00ED6679" w:rsidRPr="00E94603" w:rsidRDefault="00ED6679" w:rsidP="0002795A">
            <w:pPr>
              <w:spacing w:after="0" w:line="240" w:lineRule="auto"/>
              <w:jc w:val="center"/>
              <w:rPr>
                <w:b/>
                <w:bCs/>
                <w:sz w:val="22"/>
                <w:szCs w:val="22"/>
              </w:rPr>
            </w:pPr>
            <w:proofErr w:type="spellStart"/>
            <w:r w:rsidRPr="00E94603">
              <w:rPr>
                <w:b/>
                <w:bCs/>
                <w:sz w:val="22"/>
                <w:szCs w:val="22"/>
              </w:rPr>
              <w:t>Ref.df</w:t>
            </w:r>
            <w:proofErr w:type="spellEnd"/>
          </w:p>
        </w:tc>
        <w:tc>
          <w:tcPr>
            <w:tcW w:w="941" w:type="dxa"/>
            <w:tcBorders>
              <w:top w:val="nil"/>
              <w:left w:val="nil"/>
              <w:bottom w:val="single" w:sz="4" w:space="0" w:color="auto"/>
              <w:right w:val="nil"/>
            </w:tcBorders>
            <w:noWrap/>
            <w:vAlign w:val="bottom"/>
            <w:hideMark/>
          </w:tcPr>
          <w:p w14:paraId="63173057" w14:textId="180867B2" w:rsidR="00ED6679" w:rsidRPr="00E94603" w:rsidRDefault="00ED6679" w:rsidP="0002795A">
            <w:pPr>
              <w:spacing w:after="0" w:line="240" w:lineRule="auto"/>
              <w:jc w:val="center"/>
              <w:rPr>
                <w:b/>
                <w:bCs/>
                <w:sz w:val="22"/>
                <w:szCs w:val="22"/>
              </w:rPr>
            </w:pPr>
            <w:r w:rsidRPr="00E94603">
              <w:rPr>
                <w:b/>
                <w:bCs/>
                <w:sz w:val="22"/>
                <w:szCs w:val="22"/>
              </w:rPr>
              <w:t>F-value</w:t>
            </w:r>
          </w:p>
        </w:tc>
        <w:tc>
          <w:tcPr>
            <w:tcW w:w="2263" w:type="dxa"/>
            <w:tcBorders>
              <w:top w:val="nil"/>
              <w:left w:val="nil"/>
              <w:bottom w:val="single" w:sz="4" w:space="0" w:color="auto"/>
              <w:right w:val="nil"/>
            </w:tcBorders>
            <w:noWrap/>
            <w:vAlign w:val="bottom"/>
            <w:hideMark/>
          </w:tcPr>
          <w:p w14:paraId="0BA67192" w14:textId="77777777" w:rsidR="00ED6679" w:rsidRPr="00E94603" w:rsidRDefault="00ED6679" w:rsidP="0002795A">
            <w:pPr>
              <w:spacing w:after="0" w:line="240" w:lineRule="auto"/>
              <w:jc w:val="center"/>
              <w:rPr>
                <w:b/>
                <w:bCs/>
                <w:sz w:val="22"/>
                <w:szCs w:val="22"/>
              </w:rPr>
            </w:pPr>
            <w:proofErr w:type="spellStart"/>
            <w:r w:rsidRPr="00E94603">
              <w:rPr>
                <w:b/>
                <w:bCs/>
                <w:sz w:val="22"/>
                <w:szCs w:val="22"/>
              </w:rPr>
              <w:t>pvalue</w:t>
            </w:r>
            <w:proofErr w:type="spellEnd"/>
          </w:p>
        </w:tc>
      </w:tr>
      <w:tr w:rsidR="00ED6679" w:rsidRPr="00334150" w14:paraId="028B5F41" w14:textId="77777777" w:rsidTr="00DD4381">
        <w:trPr>
          <w:trHeight w:val="288"/>
          <w:jc w:val="center"/>
        </w:trPr>
        <w:tc>
          <w:tcPr>
            <w:tcW w:w="1980" w:type="dxa"/>
            <w:tcBorders>
              <w:top w:val="nil"/>
              <w:left w:val="nil"/>
              <w:bottom w:val="nil"/>
              <w:right w:val="nil"/>
            </w:tcBorders>
            <w:noWrap/>
            <w:vAlign w:val="bottom"/>
            <w:hideMark/>
          </w:tcPr>
          <w:p w14:paraId="6DA7836D" w14:textId="2FFE822A" w:rsidR="00ED6679" w:rsidRPr="00E94603" w:rsidRDefault="00337C85" w:rsidP="0002795A">
            <w:pPr>
              <w:spacing w:after="0" w:line="240" w:lineRule="auto"/>
              <w:rPr>
                <w:sz w:val="22"/>
                <w:szCs w:val="22"/>
              </w:rPr>
            </w:pPr>
            <w:r w:rsidRPr="00E94603">
              <w:rPr>
                <w:sz w:val="22"/>
                <w:szCs w:val="22"/>
              </w:rPr>
              <w:t>f</w:t>
            </w:r>
            <w:r w:rsidR="00ED6679" w:rsidRPr="00E94603">
              <w:rPr>
                <w:sz w:val="22"/>
                <w:szCs w:val="22"/>
              </w:rPr>
              <w:t>(GGHED_Lag0)</w:t>
            </w:r>
          </w:p>
        </w:tc>
        <w:tc>
          <w:tcPr>
            <w:tcW w:w="1098" w:type="dxa"/>
            <w:tcBorders>
              <w:top w:val="nil"/>
              <w:left w:val="nil"/>
              <w:bottom w:val="nil"/>
              <w:right w:val="nil"/>
            </w:tcBorders>
            <w:noWrap/>
            <w:vAlign w:val="bottom"/>
          </w:tcPr>
          <w:p w14:paraId="4E69DE57" w14:textId="75AACB57" w:rsidR="00ED6679" w:rsidRPr="00E94603" w:rsidRDefault="00ED6679" w:rsidP="0002795A">
            <w:pPr>
              <w:spacing w:after="0" w:line="240" w:lineRule="auto"/>
              <w:jc w:val="center"/>
              <w:rPr>
                <w:sz w:val="22"/>
                <w:szCs w:val="22"/>
              </w:rPr>
            </w:pPr>
            <w:r w:rsidRPr="00E94603">
              <w:rPr>
                <w:sz w:val="22"/>
                <w:szCs w:val="22"/>
              </w:rPr>
              <w:t>8.174</w:t>
            </w:r>
          </w:p>
        </w:tc>
        <w:tc>
          <w:tcPr>
            <w:tcW w:w="1188" w:type="dxa"/>
            <w:tcBorders>
              <w:top w:val="nil"/>
              <w:left w:val="nil"/>
              <w:bottom w:val="nil"/>
              <w:right w:val="nil"/>
            </w:tcBorders>
            <w:noWrap/>
            <w:vAlign w:val="bottom"/>
          </w:tcPr>
          <w:p w14:paraId="4E837F41" w14:textId="5901F1F1" w:rsidR="00ED6679" w:rsidRPr="00E94603" w:rsidRDefault="00B614D1" w:rsidP="0002795A">
            <w:pPr>
              <w:spacing w:after="0" w:line="240" w:lineRule="auto"/>
              <w:jc w:val="center"/>
              <w:rPr>
                <w:sz w:val="22"/>
                <w:szCs w:val="22"/>
              </w:rPr>
            </w:pPr>
            <w:r w:rsidRPr="00E94603">
              <w:rPr>
                <w:sz w:val="22"/>
                <w:szCs w:val="22"/>
              </w:rPr>
              <w:t>8.745</w:t>
            </w:r>
          </w:p>
        </w:tc>
        <w:tc>
          <w:tcPr>
            <w:tcW w:w="941" w:type="dxa"/>
            <w:tcBorders>
              <w:top w:val="nil"/>
              <w:left w:val="nil"/>
              <w:bottom w:val="nil"/>
              <w:right w:val="nil"/>
            </w:tcBorders>
            <w:noWrap/>
            <w:vAlign w:val="bottom"/>
          </w:tcPr>
          <w:p w14:paraId="25B5BDAD" w14:textId="2AE7C39C" w:rsidR="00ED6679" w:rsidRPr="00E94603" w:rsidRDefault="00B614D1" w:rsidP="0002795A">
            <w:pPr>
              <w:spacing w:after="0" w:line="240" w:lineRule="auto"/>
              <w:jc w:val="center"/>
              <w:rPr>
                <w:sz w:val="22"/>
                <w:szCs w:val="22"/>
              </w:rPr>
            </w:pPr>
            <w:r w:rsidRPr="00E94603">
              <w:rPr>
                <w:sz w:val="22"/>
                <w:szCs w:val="22"/>
              </w:rPr>
              <w:t>3.716</w:t>
            </w:r>
          </w:p>
        </w:tc>
        <w:tc>
          <w:tcPr>
            <w:tcW w:w="2263" w:type="dxa"/>
            <w:tcBorders>
              <w:top w:val="nil"/>
              <w:left w:val="nil"/>
              <w:bottom w:val="nil"/>
              <w:right w:val="nil"/>
            </w:tcBorders>
            <w:noWrap/>
            <w:vAlign w:val="bottom"/>
          </w:tcPr>
          <w:p w14:paraId="483A6040" w14:textId="035519C8" w:rsidR="00ED6679" w:rsidRPr="00E94603" w:rsidRDefault="00B614D1" w:rsidP="0002795A">
            <w:pPr>
              <w:spacing w:after="0" w:line="240" w:lineRule="auto"/>
              <w:jc w:val="center"/>
              <w:rPr>
                <w:sz w:val="22"/>
                <w:szCs w:val="22"/>
              </w:rPr>
            </w:pPr>
            <w:r w:rsidRPr="00E94603">
              <w:rPr>
                <w:sz w:val="22"/>
                <w:szCs w:val="22"/>
              </w:rPr>
              <w:t>0.0002</w:t>
            </w:r>
          </w:p>
        </w:tc>
      </w:tr>
      <w:tr w:rsidR="00ED6679" w:rsidRPr="00334150" w14:paraId="0DB6513B" w14:textId="77777777" w:rsidTr="00DD4381">
        <w:trPr>
          <w:trHeight w:val="288"/>
          <w:jc w:val="center"/>
        </w:trPr>
        <w:tc>
          <w:tcPr>
            <w:tcW w:w="1980" w:type="dxa"/>
            <w:tcBorders>
              <w:top w:val="nil"/>
              <w:left w:val="nil"/>
              <w:bottom w:val="nil"/>
              <w:right w:val="nil"/>
            </w:tcBorders>
            <w:noWrap/>
            <w:vAlign w:val="bottom"/>
          </w:tcPr>
          <w:p w14:paraId="6221290A" w14:textId="586CE50E" w:rsidR="00ED6679" w:rsidRPr="00E94603" w:rsidRDefault="00337C85" w:rsidP="00ED6679">
            <w:pPr>
              <w:spacing w:after="0" w:line="240" w:lineRule="auto"/>
              <w:rPr>
                <w:sz w:val="22"/>
                <w:szCs w:val="22"/>
              </w:rPr>
            </w:pPr>
            <w:r w:rsidRPr="00E94603">
              <w:rPr>
                <w:sz w:val="22"/>
                <w:szCs w:val="22"/>
              </w:rPr>
              <w:t>f</w:t>
            </w:r>
            <w:r w:rsidR="00ED6679" w:rsidRPr="00E94603">
              <w:rPr>
                <w:sz w:val="22"/>
                <w:szCs w:val="22"/>
              </w:rPr>
              <w:t>(GGHED_Lag1)</w:t>
            </w:r>
          </w:p>
        </w:tc>
        <w:tc>
          <w:tcPr>
            <w:tcW w:w="1098" w:type="dxa"/>
            <w:tcBorders>
              <w:top w:val="nil"/>
              <w:left w:val="nil"/>
              <w:bottom w:val="nil"/>
              <w:right w:val="nil"/>
            </w:tcBorders>
            <w:noWrap/>
            <w:vAlign w:val="bottom"/>
          </w:tcPr>
          <w:p w14:paraId="2D305AA5" w14:textId="73006CB4" w:rsidR="00ED6679" w:rsidRPr="00E94603" w:rsidRDefault="00ED6679" w:rsidP="00ED6679">
            <w:pPr>
              <w:spacing w:after="0" w:line="240" w:lineRule="auto"/>
              <w:jc w:val="center"/>
              <w:rPr>
                <w:sz w:val="22"/>
                <w:szCs w:val="22"/>
              </w:rPr>
            </w:pPr>
            <w:r w:rsidRPr="00E94603">
              <w:rPr>
                <w:sz w:val="22"/>
                <w:szCs w:val="22"/>
              </w:rPr>
              <w:t>1.000</w:t>
            </w:r>
          </w:p>
        </w:tc>
        <w:tc>
          <w:tcPr>
            <w:tcW w:w="1188" w:type="dxa"/>
            <w:tcBorders>
              <w:top w:val="nil"/>
              <w:left w:val="nil"/>
              <w:bottom w:val="nil"/>
              <w:right w:val="nil"/>
            </w:tcBorders>
            <w:noWrap/>
            <w:vAlign w:val="bottom"/>
          </w:tcPr>
          <w:p w14:paraId="33124901" w14:textId="34D21A7B" w:rsidR="00ED6679" w:rsidRPr="00E94603" w:rsidRDefault="00B614D1" w:rsidP="00ED6679">
            <w:pPr>
              <w:spacing w:after="0" w:line="240" w:lineRule="auto"/>
              <w:jc w:val="center"/>
              <w:rPr>
                <w:sz w:val="22"/>
                <w:szCs w:val="22"/>
              </w:rPr>
            </w:pPr>
            <w:r w:rsidRPr="00E94603">
              <w:rPr>
                <w:sz w:val="22"/>
                <w:szCs w:val="22"/>
              </w:rPr>
              <w:t>1.000</w:t>
            </w:r>
          </w:p>
        </w:tc>
        <w:tc>
          <w:tcPr>
            <w:tcW w:w="941" w:type="dxa"/>
            <w:tcBorders>
              <w:top w:val="nil"/>
              <w:left w:val="nil"/>
              <w:bottom w:val="nil"/>
              <w:right w:val="nil"/>
            </w:tcBorders>
            <w:noWrap/>
            <w:vAlign w:val="bottom"/>
          </w:tcPr>
          <w:p w14:paraId="5F8775C4" w14:textId="5719CD09" w:rsidR="00ED6679" w:rsidRPr="00E94603" w:rsidRDefault="00B614D1" w:rsidP="00ED6679">
            <w:pPr>
              <w:spacing w:after="0" w:line="240" w:lineRule="auto"/>
              <w:jc w:val="center"/>
              <w:rPr>
                <w:sz w:val="22"/>
                <w:szCs w:val="22"/>
              </w:rPr>
            </w:pPr>
            <w:r w:rsidRPr="00E94603">
              <w:rPr>
                <w:sz w:val="22"/>
                <w:szCs w:val="22"/>
              </w:rPr>
              <w:t>0.156</w:t>
            </w:r>
          </w:p>
        </w:tc>
        <w:tc>
          <w:tcPr>
            <w:tcW w:w="2263" w:type="dxa"/>
            <w:tcBorders>
              <w:top w:val="nil"/>
              <w:left w:val="nil"/>
              <w:bottom w:val="nil"/>
              <w:right w:val="nil"/>
            </w:tcBorders>
            <w:noWrap/>
            <w:vAlign w:val="bottom"/>
          </w:tcPr>
          <w:p w14:paraId="6ABDC834" w14:textId="0888C2C8" w:rsidR="00ED6679" w:rsidRPr="00E94603" w:rsidRDefault="00B614D1" w:rsidP="00ED6679">
            <w:pPr>
              <w:spacing w:after="0" w:line="240" w:lineRule="auto"/>
              <w:jc w:val="center"/>
              <w:rPr>
                <w:sz w:val="22"/>
                <w:szCs w:val="22"/>
              </w:rPr>
            </w:pPr>
            <w:r w:rsidRPr="00E94603">
              <w:rPr>
                <w:sz w:val="22"/>
                <w:szCs w:val="22"/>
              </w:rPr>
              <w:t>0.6930</w:t>
            </w:r>
          </w:p>
        </w:tc>
      </w:tr>
      <w:tr w:rsidR="00ED6679" w:rsidRPr="00334150" w14:paraId="6519AEEF" w14:textId="77777777" w:rsidTr="00DD4381">
        <w:trPr>
          <w:trHeight w:val="288"/>
          <w:jc w:val="center"/>
        </w:trPr>
        <w:tc>
          <w:tcPr>
            <w:tcW w:w="1980" w:type="dxa"/>
            <w:tcBorders>
              <w:top w:val="nil"/>
              <w:left w:val="nil"/>
              <w:bottom w:val="nil"/>
              <w:right w:val="nil"/>
            </w:tcBorders>
            <w:noWrap/>
            <w:vAlign w:val="bottom"/>
            <w:hideMark/>
          </w:tcPr>
          <w:p w14:paraId="37D1F896" w14:textId="55F862CF" w:rsidR="00ED6679" w:rsidRPr="00E94603" w:rsidRDefault="00337C85" w:rsidP="00ED6679">
            <w:pPr>
              <w:spacing w:after="0" w:line="240" w:lineRule="auto"/>
              <w:rPr>
                <w:sz w:val="22"/>
                <w:szCs w:val="22"/>
              </w:rPr>
            </w:pPr>
            <w:r w:rsidRPr="00E94603">
              <w:rPr>
                <w:sz w:val="22"/>
                <w:szCs w:val="22"/>
              </w:rPr>
              <w:t>f</w:t>
            </w:r>
            <w:r w:rsidR="00ED6679" w:rsidRPr="00E94603">
              <w:rPr>
                <w:sz w:val="22"/>
                <w:szCs w:val="22"/>
              </w:rPr>
              <w:t>(GGHED_Lag2)</w:t>
            </w:r>
          </w:p>
        </w:tc>
        <w:tc>
          <w:tcPr>
            <w:tcW w:w="1098" w:type="dxa"/>
            <w:tcBorders>
              <w:top w:val="nil"/>
              <w:left w:val="nil"/>
              <w:bottom w:val="nil"/>
              <w:right w:val="nil"/>
            </w:tcBorders>
            <w:noWrap/>
            <w:vAlign w:val="bottom"/>
          </w:tcPr>
          <w:p w14:paraId="0D3A6046" w14:textId="5ABC83F5" w:rsidR="00ED6679" w:rsidRPr="00E94603" w:rsidRDefault="00ED6679" w:rsidP="00ED6679">
            <w:pPr>
              <w:spacing w:after="0" w:line="240" w:lineRule="auto"/>
              <w:jc w:val="center"/>
              <w:rPr>
                <w:sz w:val="22"/>
                <w:szCs w:val="22"/>
              </w:rPr>
            </w:pPr>
            <w:r w:rsidRPr="00E94603">
              <w:rPr>
                <w:sz w:val="22"/>
                <w:szCs w:val="22"/>
              </w:rPr>
              <w:t>1.433</w:t>
            </w:r>
          </w:p>
        </w:tc>
        <w:tc>
          <w:tcPr>
            <w:tcW w:w="1188" w:type="dxa"/>
            <w:tcBorders>
              <w:top w:val="nil"/>
              <w:left w:val="nil"/>
              <w:bottom w:val="nil"/>
              <w:right w:val="nil"/>
            </w:tcBorders>
            <w:noWrap/>
            <w:vAlign w:val="bottom"/>
          </w:tcPr>
          <w:p w14:paraId="138C1661" w14:textId="3F8FAFEB" w:rsidR="00ED6679" w:rsidRPr="00E94603" w:rsidRDefault="00B614D1" w:rsidP="00ED6679">
            <w:pPr>
              <w:spacing w:after="0" w:line="240" w:lineRule="auto"/>
              <w:jc w:val="center"/>
              <w:rPr>
                <w:sz w:val="22"/>
                <w:szCs w:val="22"/>
              </w:rPr>
            </w:pPr>
            <w:r w:rsidRPr="00E94603">
              <w:rPr>
                <w:sz w:val="22"/>
                <w:szCs w:val="22"/>
              </w:rPr>
              <w:t>1.769</w:t>
            </w:r>
          </w:p>
        </w:tc>
        <w:tc>
          <w:tcPr>
            <w:tcW w:w="941" w:type="dxa"/>
            <w:tcBorders>
              <w:top w:val="nil"/>
              <w:left w:val="nil"/>
              <w:bottom w:val="nil"/>
              <w:right w:val="nil"/>
            </w:tcBorders>
            <w:noWrap/>
            <w:vAlign w:val="bottom"/>
          </w:tcPr>
          <w:p w14:paraId="00433C84" w14:textId="2683735B" w:rsidR="00ED6679" w:rsidRPr="00E94603" w:rsidRDefault="00B614D1" w:rsidP="00ED6679">
            <w:pPr>
              <w:spacing w:after="0" w:line="240" w:lineRule="auto"/>
              <w:jc w:val="center"/>
              <w:rPr>
                <w:sz w:val="22"/>
                <w:szCs w:val="22"/>
              </w:rPr>
            </w:pPr>
            <w:r w:rsidRPr="00E94603">
              <w:rPr>
                <w:sz w:val="22"/>
                <w:szCs w:val="22"/>
              </w:rPr>
              <w:t>0.735</w:t>
            </w:r>
          </w:p>
        </w:tc>
        <w:tc>
          <w:tcPr>
            <w:tcW w:w="2263" w:type="dxa"/>
            <w:tcBorders>
              <w:top w:val="nil"/>
              <w:left w:val="nil"/>
              <w:bottom w:val="nil"/>
              <w:right w:val="nil"/>
            </w:tcBorders>
            <w:noWrap/>
            <w:vAlign w:val="bottom"/>
          </w:tcPr>
          <w:p w14:paraId="2E754D0D" w14:textId="6D4D37E8" w:rsidR="00ED6679" w:rsidRPr="00E94603" w:rsidRDefault="00B614D1" w:rsidP="00ED6679">
            <w:pPr>
              <w:spacing w:after="0" w:line="240" w:lineRule="auto"/>
              <w:jc w:val="center"/>
              <w:rPr>
                <w:sz w:val="22"/>
                <w:szCs w:val="22"/>
              </w:rPr>
            </w:pPr>
            <w:r w:rsidRPr="00E94603">
              <w:rPr>
                <w:sz w:val="22"/>
                <w:szCs w:val="22"/>
              </w:rPr>
              <w:t>0.5703</w:t>
            </w:r>
          </w:p>
        </w:tc>
      </w:tr>
      <w:tr w:rsidR="00ED6679" w:rsidRPr="00334150" w14:paraId="79E3D2B2" w14:textId="77777777" w:rsidTr="00DD4381">
        <w:trPr>
          <w:trHeight w:val="288"/>
          <w:jc w:val="center"/>
        </w:trPr>
        <w:tc>
          <w:tcPr>
            <w:tcW w:w="1980" w:type="dxa"/>
            <w:tcBorders>
              <w:top w:val="nil"/>
              <w:left w:val="nil"/>
              <w:bottom w:val="nil"/>
              <w:right w:val="nil"/>
            </w:tcBorders>
            <w:noWrap/>
            <w:vAlign w:val="bottom"/>
            <w:hideMark/>
          </w:tcPr>
          <w:p w14:paraId="2558EC6E" w14:textId="7F9636D7" w:rsidR="00ED6679" w:rsidRPr="00E94603" w:rsidRDefault="00337C85" w:rsidP="00ED6679">
            <w:pPr>
              <w:spacing w:after="0" w:line="240" w:lineRule="auto"/>
              <w:rPr>
                <w:sz w:val="22"/>
                <w:szCs w:val="22"/>
              </w:rPr>
            </w:pPr>
            <w:r w:rsidRPr="00E94603">
              <w:rPr>
                <w:sz w:val="22"/>
                <w:szCs w:val="22"/>
              </w:rPr>
              <w:t>f</w:t>
            </w:r>
            <w:r w:rsidR="00ED6679" w:rsidRPr="00E94603">
              <w:rPr>
                <w:sz w:val="22"/>
                <w:szCs w:val="22"/>
              </w:rPr>
              <w:t>(GGHED_Lag3)</w:t>
            </w:r>
          </w:p>
        </w:tc>
        <w:tc>
          <w:tcPr>
            <w:tcW w:w="1098" w:type="dxa"/>
            <w:tcBorders>
              <w:top w:val="nil"/>
              <w:left w:val="nil"/>
              <w:bottom w:val="nil"/>
              <w:right w:val="nil"/>
            </w:tcBorders>
            <w:noWrap/>
            <w:vAlign w:val="bottom"/>
          </w:tcPr>
          <w:p w14:paraId="5F72F720" w14:textId="751D47F2" w:rsidR="00ED6679" w:rsidRPr="00E94603" w:rsidRDefault="00ED6679" w:rsidP="00ED6679">
            <w:pPr>
              <w:spacing w:after="0" w:line="240" w:lineRule="auto"/>
              <w:jc w:val="center"/>
              <w:rPr>
                <w:sz w:val="22"/>
                <w:szCs w:val="22"/>
              </w:rPr>
            </w:pPr>
            <w:r w:rsidRPr="00E94603">
              <w:rPr>
                <w:sz w:val="22"/>
                <w:szCs w:val="22"/>
              </w:rPr>
              <w:t>1.000</w:t>
            </w:r>
          </w:p>
        </w:tc>
        <w:tc>
          <w:tcPr>
            <w:tcW w:w="1188" w:type="dxa"/>
            <w:tcBorders>
              <w:top w:val="nil"/>
              <w:left w:val="nil"/>
              <w:bottom w:val="nil"/>
              <w:right w:val="nil"/>
            </w:tcBorders>
            <w:noWrap/>
            <w:vAlign w:val="bottom"/>
          </w:tcPr>
          <w:p w14:paraId="587F652F" w14:textId="023139F0" w:rsidR="00ED6679" w:rsidRPr="00E94603" w:rsidRDefault="00B614D1" w:rsidP="00ED6679">
            <w:pPr>
              <w:spacing w:after="0" w:line="240" w:lineRule="auto"/>
              <w:jc w:val="center"/>
              <w:rPr>
                <w:sz w:val="22"/>
                <w:szCs w:val="22"/>
              </w:rPr>
            </w:pPr>
            <w:r w:rsidRPr="00E94603">
              <w:rPr>
                <w:sz w:val="22"/>
                <w:szCs w:val="22"/>
              </w:rPr>
              <w:t>1.000</w:t>
            </w:r>
          </w:p>
        </w:tc>
        <w:tc>
          <w:tcPr>
            <w:tcW w:w="941" w:type="dxa"/>
            <w:tcBorders>
              <w:top w:val="nil"/>
              <w:left w:val="nil"/>
              <w:bottom w:val="nil"/>
              <w:right w:val="nil"/>
            </w:tcBorders>
            <w:noWrap/>
            <w:vAlign w:val="bottom"/>
          </w:tcPr>
          <w:p w14:paraId="2A599EC2" w14:textId="2FB2C52F" w:rsidR="00ED6679" w:rsidRPr="00E94603" w:rsidRDefault="00B614D1" w:rsidP="00ED6679">
            <w:pPr>
              <w:spacing w:after="0" w:line="240" w:lineRule="auto"/>
              <w:jc w:val="center"/>
              <w:rPr>
                <w:sz w:val="22"/>
                <w:szCs w:val="22"/>
              </w:rPr>
            </w:pPr>
            <w:r w:rsidRPr="00E94603">
              <w:rPr>
                <w:sz w:val="22"/>
                <w:szCs w:val="22"/>
              </w:rPr>
              <w:t>2.746</w:t>
            </w:r>
          </w:p>
        </w:tc>
        <w:tc>
          <w:tcPr>
            <w:tcW w:w="2263" w:type="dxa"/>
            <w:tcBorders>
              <w:top w:val="nil"/>
              <w:left w:val="nil"/>
              <w:bottom w:val="nil"/>
              <w:right w:val="nil"/>
            </w:tcBorders>
            <w:noWrap/>
            <w:vAlign w:val="bottom"/>
          </w:tcPr>
          <w:p w14:paraId="4B2C346B" w14:textId="62A2EFE3" w:rsidR="00ED6679" w:rsidRPr="00E94603" w:rsidRDefault="00B614D1" w:rsidP="00ED6679">
            <w:pPr>
              <w:spacing w:after="0" w:line="240" w:lineRule="auto"/>
              <w:jc w:val="center"/>
              <w:rPr>
                <w:sz w:val="22"/>
                <w:szCs w:val="22"/>
              </w:rPr>
            </w:pPr>
            <w:r w:rsidRPr="00E94603">
              <w:rPr>
                <w:sz w:val="22"/>
                <w:szCs w:val="22"/>
              </w:rPr>
              <w:t>0.0989</w:t>
            </w:r>
          </w:p>
        </w:tc>
      </w:tr>
      <w:tr w:rsidR="00ED6679" w:rsidRPr="00334150" w14:paraId="3FD9EB40" w14:textId="77777777" w:rsidTr="00DD4381">
        <w:trPr>
          <w:trHeight w:val="288"/>
          <w:jc w:val="center"/>
        </w:trPr>
        <w:tc>
          <w:tcPr>
            <w:tcW w:w="1980" w:type="dxa"/>
            <w:tcBorders>
              <w:top w:val="nil"/>
              <w:left w:val="nil"/>
              <w:bottom w:val="nil"/>
              <w:right w:val="nil"/>
            </w:tcBorders>
            <w:noWrap/>
            <w:vAlign w:val="bottom"/>
            <w:hideMark/>
          </w:tcPr>
          <w:p w14:paraId="3416F119" w14:textId="490C45ED" w:rsidR="00ED6679" w:rsidRPr="00E94603" w:rsidRDefault="00337C85" w:rsidP="00ED6679">
            <w:pPr>
              <w:spacing w:after="0" w:line="240" w:lineRule="auto"/>
              <w:rPr>
                <w:sz w:val="22"/>
                <w:szCs w:val="22"/>
              </w:rPr>
            </w:pPr>
            <w:r w:rsidRPr="00E94603">
              <w:rPr>
                <w:sz w:val="22"/>
                <w:szCs w:val="22"/>
              </w:rPr>
              <w:t>f</w:t>
            </w:r>
            <w:r w:rsidR="00ED6679" w:rsidRPr="00E94603">
              <w:rPr>
                <w:sz w:val="22"/>
                <w:szCs w:val="22"/>
              </w:rPr>
              <w:t>(GGHED_Lag4)</w:t>
            </w:r>
          </w:p>
        </w:tc>
        <w:tc>
          <w:tcPr>
            <w:tcW w:w="1098" w:type="dxa"/>
            <w:tcBorders>
              <w:top w:val="nil"/>
              <w:left w:val="nil"/>
              <w:bottom w:val="nil"/>
              <w:right w:val="nil"/>
            </w:tcBorders>
            <w:noWrap/>
            <w:vAlign w:val="bottom"/>
          </w:tcPr>
          <w:p w14:paraId="6F2C1E6D" w14:textId="3A97EBC2" w:rsidR="00ED6679" w:rsidRPr="00E94603" w:rsidRDefault="00ED6679" w:rsidP="00ED6679">
            <w:pPr>
              <w:spacing w:after="0" w:line="240" w:lineRule="auto"/>
              <w:jc w:val="center"/>
              <w:rPr>
                <w:sz w:val="22"/>
                <w:szCs w:val="22"/>
              </w:rPr>
            </w:pPr>
            <w:r w:rsidRPr="00E94603">
              <w:rPr>
                <w:sz w:val="22"/>
                <w:szCs w:val="22"/>
              </w:rPr>
              <w:t>6.419</w:t>
            </w:r>
          </w:p>
        </w:tc>
        <w:tc>
          <w:tcPr>
            <w:tcW w:w="1188" w:type="dxa"/>
            <w:tcBorders>
              <w:top w:val="nil"/>
              <w:left w:val="nil"/>
              <w:bottom w:val="nil"/>
              <w:right w:val="nil"/>
            </w:tcBorders>
            <w:noWrap/>
            <w:vAlign w:val="bottom"/>
          </w:tcPr>
          <w:p w14:paraId="0A982D58" w14:textId="0DF30741" w:rsidR="00ED6679" w:rsidRPr="00E94603" w:rsidRDefault="00B614D1" w:rsidP="00ED6679">
            <w:pPr>
              <w:spacing w:after="0" w:line="240" w:lineRule="auto"/>
              <w:jc w:val="center"/>
              <w:rPr>
                <w:sz w:val="22"/>
                <w:szCs w:val="22"/>
              </w:rPr>
            </w:pPr>
            <w:r w:rsidRPr="00E94603">
              <w:rPr>
                <w:sz w:val="22"/>
                <w:szCs w:val="22"/>
              </w:rPr>
              <w:t>7.558</w:t>
            </w:r>
          </w:p>
        </w:tc>
        <w:tc>
          <w:tcPr>
            <w:tcW w:w="941" w:type="dxa"/>
            <w:tcBorders>
              <w:top w:val="nil"/>
              <w:left w:val="nil"/>
              <w:bottom w:val="nil"/>
              <w:right w:val="nil"/>
            </w:tcBorders>
            <w:noWrap/>
            <w:vAlign w:val="bottom"/>
          </w:tcPr>
          <w:p w14:paraId="0B103242" w14:textId="0D5CD45F" w:rsidR="00ED6679" w:rsidRPr="00E94603" w:rsidRDefault="00B614D1" w:rsidP="00ED6679">
            <w:pPr>
              <w:spacing w:after="0" w:line="240" w:lineRule="auto"/>
              <w:jc w:val="center"/>
              <w:rPr>
                <w:sz w:val="22"/>
                <w:szCs w:val="22"/>
              </w:rPr>
            </w:pPr>
            <w:r w:rsidRPr="00E94603">
              <w:rPr>
                <w:sz w:val="22"/>
                <w:szCs w:val="22"/>
              </w:rPr>
              <w:t>1.669</w:t>
            </w:r>
          </w:p>
        </w:tc>
        <w:tc>
          <w:tcPr>
            <w:tcW w:w="2263" w:type="dxa"/>
            <w:tcBorders>
              <w:top w:val="nil"/>
              <w:left w:val="nil"/>
              <w:bottom w:val="nil"/>
              <w:right w:val="nil"/>
            </w:tcBorders>
            <w:noWrap/>
            <w:vAlign w:val="bottom"/>
          </w:tcPr>
          <w:p w14:paraId="0764C4AE" w14:textId="14B49083" w:rsidR="00ED6679" w:rsidRPr="00E94603" w:rsidRDefault="00B614D1" w:rsidP="00ED6679">
            <w:pPr>
              <w:spacing w:after="0" w:line="240" w:lineRule="auto"/>
              <w:jc w:val="center"/>
              <w:rPr>
                <w:sz w:val="22"/>
                <w:szCs w:val="22"/>
              </w:rPr>
            </w:pPr>
            <w:r w:rsidRPr="00E94603">
              <w:rPr>
                <w:sz w:val="22"/>
                <w:szCs w:val="22"/>
              </w:rPr>
              <w:t>0.1299</w:t>
            </w:r>
          </w:p>
        </w:tc>
      </w:tr>
      <w:tr w:rsidR="00ED6679" w:rsidRPr="00334150" w14:paraId="7688E39D" w14:textId="77777777" w:rsidTr="00DD4381">
        <w:trPr>
          <w:trHeight w:val="288"/>
          <w:jc w:val="center"/>
        </w:trPr>
        <w:tc>
          <w:tcPr>
            <w:tcW w:w="1980" w:type="dxa"/>
            <w:tcBorders>
              <w:top w:val="nil"/>
              <w:left w:val="nil"/>
              <w:bottom w:val="single" w:sz="4" w:space="0" w:color="auto"/>
              <w:right w:val="nil"/>
            </w:tcBorders>
            <w:noWrap/>
            <w:vAlign w:val="bottom"/>
            <w:hideMark/>
          </w:tcPr>
          <w:p w14:paraId="2622DE41" w14:textId="0B236337" w:rsidR="00ED6679" w:rsidRPr="00E94603" w:rsidRDefault="00337C85" w:rsidP="00ED6679">
            <w:pPr>
              <w:spacing w:after="0" w:line="240" w:lineRule="auto"/>
              <w:rPr>
                <w:sz w:val="22"/>
                <w:szCs w:val="22"/>
              </w:rPr>
            </w:pPr>
            <w:r w:rsidRPr="00E94603">
              <w:rPr>
                <w:sz w:val="22"/>
                <w:szCs w:val="22"/>
              </w:rPr>
              <w:t>f</w:t>
            </w:r>
            <w:r w:rsidR="00ED6679" w:rsidRPr="00E94603">
              <w:rPr>
                <w:sz w:val="22"/>
                <w:szCs w:val="22"/>
              </w:rPr>
              <w:t>(GGHED_Lag5)</w:t>
            </w:r>
          </w:p>
        </w:tc>
        <w:tc>
          <w:tcPr>
            <w:tcW w:w="1098" w:type="dxa"/>
            <w:tcBorders>
              <w:top w:val="nil"/>
              <w:left w:val="nil"/>
              <w:bottom w:val="single" w:sz="4" w:space="0" w:color="auto"/>
              <w:right w:val="nil"/>
            </w:tcBorders>
            <w:noWrap/>
            <w:vAlign w:val="bottom"/>
          </w:tcPr>
          <w:p w14:paraId="22B51B96" w14:textId="764EB30E" w:rsidR="00ED6679" w:rsidRPr="00E94603" w:rsidRDefault="00ED6679" w:rsidP="00ED6679">
            <w:pPr>
              <w:spacing w:after="0" w:line="240" w:lineRule="auto"/>
              <w:jc w:val="center"/>
              <w:rPr>
                <w:sz w:val="22"/>
                <w:szCs w:val="22"/>
              </w:rPr>
            </w:pPr>
            <w:r w:rsidRPr="00E94603">
              <w:rPr>
                <w:sz w:val="22"/>
                <w:szCs w:val="22"/>
              </w:rPr>
              <w:t>8.203</w:t>
            </w:r>
          </w:p>
        </w:tc>
        <w:tc>
          <w:tcPr>
            <w:tcW w:w="1188" w:type="dxa"/>
            <w:tcBorders>
              <w:top w:val="nil"/>
              <w:left w:val="nil"/>
              <w:bottom w:val="single" w:sz="4" w:space="0" w:color="auto"/>
              <w:right w:val="nil"/>
            </w:tcBorders>
            <w:noWrap/>
            <w:vAlign w:val="bottom"/>
          </w:tcPr>
          <w:p w14:paraId="18F01745" w14:textId="3E985A7D" w:rsidR="00ED6679" w:rsidRPr="00E94603" w:rsidRDefault="00B614D1" w:rsidP="00ED6679">
            <w:pPr>
              <w:spacing w:after="0" w:line="240" w:lineRule="auto"/>
              <w:jc w:val="center"/>
              <w:rPr>
                <w:sz w:val="22"/>
                <w:szCs w:val="22"/>
              </w:rPr>
            </w:pPr>
            <w:r w:rsidRPr="00E94603">
              <w:rPr>
                <w:sz w:val="22"/>
                <w:szCs w:val="22"/>
              </w:rPr>
              <w:t>8.762</w:t>
            </w:r>
          </w:p>
        </w:tc>
        <w:tc>
          <w:tcPr>
            <w:tcW w:w="941" w:type="dxa"/>
            <w:tcBorders>
              <w:top w:val="nil"/>
              <w:left w:val="nil"/>
              <w:bottom w:val="single" w:sz="4" w:space="0" w:color="auto"/>
              <w:right w:val="nil"/>
            </w:tcBorders>
            <w:noWrap/>
            <w:vAlign w:val="bottom"/>
          </w:tcPr>
          <w:p w14:paraId="4DB97A5F" w14:textId="2CB9A8F9" w:rsidR="00ED6679" w:rsidRPr="00E94603" w:rsidRDefault="00B614D1" w:rsidP="00ED6679">
            <w:pPr>
              <w:spacing w:after="0" w:line="240" w:lineRule="auto"/>
              <w:jc w:val="center"/>
              <w:rPr>
                <w:sz w:val="22"/>
                <w:szCs w:val="22"/>
              </w:rPr>
            </w:pPr>
            <w:r w:rsidRPr="00E94603">
              <w:rPr>
                <w:sz w:val="22"/>
                <w:szCs w:val="22"/>
              </w:rPr>
              <w:t>4.383</w:t>
            </w:r>
          </w:p>
        </w:tc>
        <w:tc>
          <w:tcPr>
            <w:tcW w:w="2263" w:type="dxa"/>
            <w:tcBorders>
              <w:top w:val="nil"/>
              <w:left w:val="nil"/>
              <w:bottom w:val="single" w:sz="4" w:space="0" w:color="auto"/>
              <w:right w:val="nil"/>
            </w:tcBorders>
            <w:noWrap/>
            <w:vAlign w:val="bottom"/>
          </w:tcPr>
          <w:p w14:paraId="5F987337" w14:textId="5552C8B8" w:rsidR="00ED6679" w:rsidRPr="00E94603" w:rsidRDefault="00B614D1" w:rsidP="00ED6679">
            <w:pPr>
              <w:spacing w:after="0" w:line="240" w:lineRule="auto"/>
              <w:jc w:val="center"/>
              <w:rPr>
                <w:sz w:val="22"/>
                <w:szCs w:val="22"/>
              </w:rPr>
            </w:pPr>
            <w:r w:rsidRPr="00E94603">
              <w:rPr>
                <w:sz w:val="22"/>
                <w:szCs w:val="22"/>
              </w:rPr>
              <w:t>0.0000</w:t>
            </w:r>
          </w:p>
        </w:tc>
      </w:tr>
    </w:tbl>
    <w:p w14:paraId="7C90E7AE" w14:textId="77777777" w:rsidR="00ED6679" w:rsidRDefault="00ED6679" w:rsidP="00ED6679">
      <w:pPr>
        <w:jc w:val="both"/>
      </w:pPr>
    </w:p>
    <w:p w14:paraId="53EB0B66" w14:textId="61696DCD" w:rsidR="00E94603" w:rsidRDefault="00ED6679" w:rsidP="00B64DE8">
      <w:pPr>
        <w:jc w:val="both"/>
      </w:pPr>
      <w:r>
        <w:t xml:space="preserve">Table </w:t>
      </w:r>
      <w:r w:rsidR="00B614D1">
        <w:t>7</w:t>
      </w:r>
      <w:r>
        <w:t xml:space="preserve"> results show </w:t>
      </w:r>
      <w:r w:rsidR="00E6182C">
        <w:t xml:space="preserve">that </w:t>
      </w:r>
      <w:r w:rsidR="00E94603">
        <w:t>current and 5-year lagged government spending levels on health (GGHED) have</w:t>
      </w:r>
      <w:r w:rsidR="00B614D1">
        <w:t xml:space="preserve"> a strong non-linear</w:t>
      </w:r>
      <w:r w:rsidR="00E6182C">
        <w:t xml:space="preserve"> (both </w:t>
      </w:r>
      <w:proofErr w:type="spellStart"/>
      <w:r w:rsidR="00E6182C">
        <w:t>edfs</w:t>
      </w:r>
      <w:proofErr w:type="spellEnd"/>
      <w:r w:rsidR="00E6182C">
        <w:t>&gt;&gt;1), significant</w:t>
      </w:r>
      <w:r w:rsidR="00B614D1">
        <w:t xml:space="preserve"> effect on </w:t>
      </w:r>
      <w:r w:rsidR="00E6182C">
        <w:t xml:space="preserve">health </w:t>
      </w:r>
      <w:r w:rsidR="00B614D1">
        <w:t>workforce density</w:t>
      </w:r>
      <w:r>
        <w:t xml:space="preserve">. However, the strongest </w:t>
      </w:r>
      <w:r w:rsidR="00B614D1">
        <w:t>non-linear</w:t>
      </w:r>
      <w:r>
        <w:t xml:space="preserve"> effect </w:t>
      </w:r>
      <w:r w:rsidR="00B614D1">
        <w:t>is observed</w:t>
      </w:r>
      <w:r>
        <w:t xml:space="preserve"> after </w:t>
      </w:r>
      <w:r w:rsidR="00B614D1">
        <w:t>5</w:t>
      </w:r>
      <w:r>
        <w:t xml:space="preserve"> years, suggesting that health financing </w:t>
      </w:r>
      <w:r w:rsidR="00B614D1">
        <w:t xml:space="preserve">has a delayed effect, which </w:t>
      </w:r>
      <w:r>
        <w:t xml:space="preserve">translates into workforce growth through other constraints such as training, retention, and so on. Implying that government health expenditure per capita influences health workforce density both </w:t>
      </w:r>
      <w:r w:rsidR="00B614D1">
        <w:t>immediately</w:t>
      </w:r>
      <w:r>
        <w:t xml:space="preserve"> (maybe through hiring</w:t>
      </w:r>
      <w:r w:rsidR="00B614D1">
        <w:t>, retention, or salary adjustments</w:t>
      </w:r>
      <w:r>
        <w:t xml:space="preserve">) and </w:t>
      </w:r>
      <w:r w:rsidR="00B614D1">
        <w:t>through delayed long-term effects</w:t>
      </w:r>
      <w:r>
        <w:t xml:space="preserve"> (maybe through training and deployment</w:t>
      </w:r>
      <w:r w:rsidR="00B614D1">
        <w:t xml:space="preserve"> of health workers</w:t>
      </w:r>
      <w:r>
        <w:t xml:space="preserve">). </w:t>
      </w:r>
    </w:p>
    <w:p w14:paraId="7B0B3188" w14:textId="300823B8" w:rsidR="00C9271A" w:rsidRDefault="006D6688" w:rsidP="00826E0B">
      <w:pPr>
        <w:jc w:val="both"/>
      </w:pPr>
      <w:r>
        <w:t xml:space="preserve">The </w:t>
      </w:r>
      <w:r w:rsidR="001D4078">
        <w:t>non-linear</w:t>
      </w:r>
      <w:r>
        <w:t xml:space="preserve"> effect </w:t>
      </w:r>
      <w:r w:rsidR="004E780C">
        <w:t xml:space="preserve">of </w:t>
      </w:r>
      <w:r>
        <w:t xml:space="preserve">the current and 5-year </w:t>
      </w:r>
      <w:r w:rsidR="004E780C">
        <w:t xml:space="preserve">lagged </w:t>
      </w:r>
      <w:r>
        <w:t>GGHED levels on workforce densities implie</w:t>
      </w:r>
      <w:r w:rsidR="007F2818">
        <w:t>d</w:t>
      </w:r>
      <w:r>
        <w:t xml:space="preserve"> that there </w:t>
      </w:r>
      <w:r w:rsidR="004E780C">
        <w:t>might be</w:t>
      </w:r>
      <w:r>
        <w:t xml:space="preserve"> different thresholds depicting</w:t>
      </w:r>
      <w:r w:rsidR="004E780C">
        <w:t xml:space="preserve"> a possibility of</w:t>
      </w:r>
      <w:r w:rsidR="001D4078">
        <w:t xml:space="preserve"> diminishing returns. </w:t>
      </w:r>
      <w:r w:rsidR="00E94603">
        <w:t>This is why a</w:t>
      </w:r>
      <w:r w:rsidR="001D4078">
        <w:t xml:space="preserve"> lagged GAM </w:t>
      </w:r>
      <w:r w:rsidR="00E94603">
        <w:t xml:space="preserve">threshold </w:t>
      </w:r>
      <w:r w:rsidR="001D4078">
        <w:t>model</w:t>
      </w:r>
      <w:r w:rsidR="00ED6679">
        <w:t xml:space="preserve"> </w:t>
      </w:r>
      <w:r w:rsidR="00E94603">
        <w:t xml:space="preserve">was fitted to the data to determine whether </w:t>
      </w:r>
      <w:r w:rsidR="00241B90">
        <w:t>indeed</w:t>
      </w:r>
      <w:r w:rsidR="00E94603">
        <w:t xml:space="preserve"> there are any thresholds in the data where the derivatives of the smoothed estimates change signs</w:t>
      </w:r>
      <w:r w:rsidR="007F2818">
        <w:t xml:space="preserve">, showing the direction where expenditure changes highlight phases of growth and decline in </w:t>
      </w:r>
      <w:r w:rsidR="007F2818">
        <w:lastRenderedPageBreak/>
        <w:t>health workforce densities</w:t>
      </w:r>
      <w:r w:rsidR="00E94603">
        <w:t xml:space="preserve">. </w:t>
      </w:r>
      <w:r w:rsidR="00B64DE8">
        <w:t>The current and 5-year lagged government health expenditure threshold effects on health</w:t>
      </w:r>
      <w:r w:rsidR="00826E0B">
        <w:t xml:space="preserve"> </w:t>
      </w:r>
      <w:r w:rsidR="00B64DE8">
        <w:t xml:space="preserve">workforce were extracted </w:t>
      </w:r>
      <w:r w:rsidR="00E94603">
        <w:t>from the fitted lagged GAM threshold model</w:t>
      </w:r>
      <w:r w:rsidR="00D52087">
        <w:t>,</w:t>
      </w:r>
      <w:r w:rsidR="004E780C">
        <w:t xml:space="preserve"> </w:t>
      </w:r>
      <w:r w:rsidR="00E94603">
        <w:t>and</w:t>
      </w:r>
      <w:r w:rsidR="00B64DE8">
        <w:t xml:space="preserve"> </w:t>
      </w:r>
      <w:r w:rsidR="004E780C">
        <w:t xml:space="preserve">the results </w:t>
      </w:r>
      <w:r w:rsidR="00D52087">
        <w:t xml:space="preserve">were </w:t>
      </w:r>
      <w:r w:rsidR="00B64DE8">
        <w:t xml:space="preserve">summarized in </w:t>
      </w:r>
      <w:r w:rsidR="00826E0B">
        <w:t xml:space="preserve">Tables 8 and 9 as visualized in </w:t>
      </w:r>
      <w:r w:rsidR="00B64DE8">
        <w:t>Figure</w:t>
      </w:r>
      <w:r w:rsidR="00C55CE1">
        <w:t>s</w:t>
      </w:r>
      <w:r w:rsidR="00B64DE8">
        <w:t xml:space="preserve"> 3</w:t>
      </w:r>
      <w:r w:rsidR="00826E0B">
        <w:t xml:space="preserve"> and 4</w:t>
      </w:r>
      <w:r w:rsidR="00C55CE1">
        <w:t>.</w:t>
      </w:r>
    </w:p>
    <w:tbl>
      <w:tblPr>
        <w:tblpPr w:leftFromText="180" w:rightFromText="180" w:vertAnchor="text" w:tblpX="-180" w:tblpY="1"/>
        <w:tblOverlap w:val="never"/>
        <w:tblW w:w="3690" w:type="dxa"/>
        <w:tblLook w:val="04A0" w:firstRow="1" w:lastRow="0" w:firstColumn="1" w:lastColumn="0" w:noHBand="0" w:noVBand="1"/>
      </w:tblPr>
      <w:tblGrid>
        <w:gridCol w:w="2080"/>
        <w:gridCol w:w="1610"/>
      </w:tblGrid>
      <w:tr w:rsidR="00826E0B" w:rsidRPr="00C9271A" w14:paraId="58E20C91" w14:textId="77777777" w:rsidTr="008D169A">
        <w:trPr>
          <w:trHeight w:val="300"/>
        </w:trPr>
        <w:tc>
          <w:tcPr>
            <w:tcW w:w="3690" w:type="dxa"/>
            <w:gridSpan w:val="2"/>
            <w:tcBorders>
              <w:top w:val="nil"/>
              <w:left w:val="nil"/>
              <w:bottom w:val="single" w:sz="8" w:space="0" w:color="auto"/>
              <w:right w:val="nil"/>
            </w:tcBorders>
            <w:noWrap/>
            <w:vAlign w:val="center"/>
            <w:hideMark/>
          </w:tcPr>
          <w:p w14:paraId="43456936" w14:textId="54791E88" w:rsidR="00826E0B" w:rsidRPr="004E780C" w:rsidRDefault="00826E0B" w:rsidP="008D169A">
            <w:pPr>
              <w:spacing w:after="0" w:line="240" w:lineRule="auto"/>
              <w:rPr>
                <w:sz w:val="22"/>
                <w:szCs w:val="22"/>
              </w:rPr>
            </w:pPr>
            <w:r w:rsidRPr="004E780C">
              <w:rPr>
                <w:rFonts w:ascii="Aptos Narrow" w:eastAsia="Times New Roman" w:hAnsi="Aptos Narrow" w:cs="Calibri"/>
                <w:b/>
                <w:bCs/>
                <w:color w:val="0070C0"/>
                <w:kern w:val="0"/>
                <w:sz w:val="22"/>
                <w:szCs w:val="22"/>
                <w14:ligatures w14:val="none"/>
              </w:rPr>
              <w:t xml:space="preserve">Table </w:t>
            </w:r>
            <w:proofErr w:type="gramStart"/>
            <w:r w:rsidRPr="004E780C">
              <w:rPr>
                <w:rFonts w:ascii="Aptos Narrow" w:eastAsia="Times New Roman" w:hAnsi="Aptos Narrow" w:cs="Calibri"/>
                <w:b/>
                <w:bCs/>
                <w:color w:val="0070C0"/>
                <w:kern w:val="0"/>
                <w:sz w:val="22"/>
                <w:szCs w:val="22"/>
                <w14:ligatures w14:val="none"/>
              </w:rPr>
              <w:t>8</w:t>
            </w:r>
            <w:r w:rsidR="00662ECF" w:rsidRPr="004E780C">
              <w:rPr>
                <w:rFonts w:ascii="Aptos Narrow" w:eastAsia="Times New Roman" w:hAnsi="Aptos Narrow" w:cs="Calibri"/>
                <w:b/>
                <w:bCs/>
                <w:color w:val="0070C0"/>
                <w:kern w:val="0"/>
                <w:sz w:val="22"/>
                <w:szCs w:val="22"/>
                <w14:ligatures w14:val="none"/>
              </w:rPr>
              <w:t xml:space="preserve"> </w:t>
            </w:r>
            <w:r w:rsidRPr="004E780C">
              <w:rPr>
                <w:rFonts w:ascii="Aptos Narrow" w:eastAsia="Times New Roman" w:hAnsi="Aptos Narrow" w:cs="Calibri"/>
                <w:b/>
                <w:bCs/>
                <w:color w:val="0070C0"/>
                <w:kern w:val="0"/>
                <w:sz w:val="22"/>
                <w:szCs w:val="22"/>
                <w14:ligatures w14:val="none"/>
              </w:rPr>
              <w:t>:</w:t>
            </w:r>
            <w:proofErr w:type="gramEnd"/>
            <w:r w:rsidRPr="004E780C">
              <w:rPr>
                <w:rFonts w:ascii="Aptos Narrow" w:eastAsia="Times New Roman" w:hAnsi="Aptos Narrow" w:cs="Calibri"/>
                <w:b/>
                <w:bCs/>
                <w:color w:val="0070C0"/>
                <w:kern w:val="0"/>
                <w:sz w:val="22"/>
                <w:szCs w:val="22"/>
                <w14:ligatures w14:val="none"/>
              </w:rPr>
              <w:t xml:space="preserve"> </w:t>
            </w:r>
            <w:r w:rsidR="008D169A" w:rsidRPr="004E780C">
              <w:rPr>
                <w:rFonts w:ascii="Aptos Narrow" w:eastAsia="Times New Roman" w:hAnsi="Aptos Narrow" w:cs="Calibri"/>
                <w:b/>
                <w:bCs/>
                <w:color w:val="0070C0"/>
                <w:kern w:val="0"/>
                <w:sz w:val="22"/>
                <w:szCs w:val="22"/>
                <w14:ligatures w14:val="none"/>
              </w:rPr>
              <w:t>GGHED</w:t>
            </w:r>
            <w:r w:rsidRPr="004E780C">
              <w:rPr>
                <w:rFonts w:ascii="Aptos Narrow" w:eastAsia="Times New Roman" w:hAnsi="Aptos Narrow" w:cs="Calibri"/>
                <w:b/>
                <w:bCs/>
                <w:color w:val="0070C0"/>
                <w:kern w:val="0"/>
                <w:sz w:val="22"/>
                <w:szCs w:val="22"/>
                <w14:ligatures w14:val="none"/>
              </w:rPr>
              <w:t xml:space="preserve"> Threshold</w:t>
            </w:r>
            <w:r w:rsidR="008D169A" w:rsidRPr="004E780C">
              <w:rPr>
                <w:rFonts w:ascii="Aptos Narrow" w:eastAsia="Times New Roman" w:hAnsi="Aptos Narrow" w:cs="Calibri"/>
                <w:b/>
                <w:bCs/>
                <w:color w:val="0070C0"/>
                <w:kern w:val="0"/>
                <w:sz w:val="22"/>
                <w:szCs w:val="22"/>
                <w14:ligatures w14:val="none"/>
              </w:rPr>
              <w:t xml:space="preserve"> on HWF</w:t>
            </w:r>
          </w:p>
        </w:tc>
      </w:tr>
      <w:tr w:rsidR="00826E0B" w:rsidRPr="00C9271A" w14:paraId="7F38B931" w14:textId="77777777" w:rsidTr="008D169A">
        <w:trPr>
          <w:trHeight w:val="300"/>
        </w:trPr>
        <w:tc>
          <w:tcPr>
            <w:tcW w:w="2080" w:type="dxa"/>
            <w:tcBorders>
              <w:top w:val="nil"/>
              <w:left w:val="nil"/>
              <w:bottom w:val="single" w:sz="8" w:space="0" w:color="auto"/>
              <w:right w:val="nil"/>
            </w:tcBorders>
            <w:vAlign w:val="center"/>
            <w:hideMark/>
          </w:tcPr>
          <w:p w14:paraId="7308E93E" w14:textId="77777777" w:rsidR="00826E0B" w:rsidRPr="00F02984" w:rsidRDefault="00826E0B" w:rsidP="008D169A">
            <w:pPr>
              <w:spacing w:after="0" w:line="240" w:lineRule="auto"/>
              <w:jc w:val="center"/>
              <w:rPr>
                <w:b/>
                <w:bCs/>
                <w:sz w:val="22"/>
                <w:szCs w:val="22"/>
              </w:rPr>
            </w:pPr>
            <w:r w:rsidRPr="00F02984">
              <w:rPr>
                <w:b/>
                <w:bCs/>
                <w:sz w:val="22"/>
                <w:szCs w:val="22"/>
              </w:rPr>
              <w:t>GGHED per capita, $</w:t>
            </w:r>
          </w:p>
        </w:tc>
        <w:tc>
          <w:tcPr>
            <w:tcW w:w="1610" w:type="dxa"/>
            <w:tcBorders>
              <w:top w:val="nil"/>
              <w:left w:val="nil"/>
              <w:bottom w:val="single" w:sz="8" w:space="0" w:color="auto"/>
              <w:right w:val="nil"/>
            </w:tcBorders>
            <w:vAlign w:val="center"/>
            <w:hideMark/>
          </w:tcPr>
          <w:p w14:paraId="37E8F62C" w14:textId="77777777" w:rsidR="00826E0B" w:rsidRPr="00F02984" w:rsidRDefault="00826E0B" w:rsidP="008D169A">
            <w:pPr>
              <w:spacing w:after="0" w:line="240" w:lineRule="auto"/>
              <w:jc w:val="center"/>
              <w:rPr>
                <w:b/>
                <w:bCs/>
                <w:sz w:val="22"/>
                <w:szCs w:val="22"/>
              </w:rPr>
            </w:pPr>
            <w:r w:rsidRPr="00F02984">
              <w:rPr>
                <w:b/>
                <w:bCs/>
                <w:sz w:val="22"/>
                <w:szCs w:val="22"/>
              </w:rPr>
              <w:t>Derivative</w:t>
            </w:r>
          </w:p>
        </w:tc>
      </w:tr>
      <w:tr w:rsidR="00826E0B" w:rsidRPr="00C9271A" w14:paraId="7F88857B" w14:textId="77777777" w:rsidTr="008D169A">
        <w:trPr>
          <w:trHeight w:val="288"/>
        </w:trPr>
        <w:tc>
          <w:tcPr>
            <w:tcW w:w="2080" w:type="dxa"/>
            <w:tcBorders>
              <w:top w:val="nil"/>
              <w:left w:val="nil"/>
              <w:bottom w:val="nil"/>
              <w:right w:val="nil"/>
            </w:tcBorders>
            <w:noWrap/>
            <w:vAlign w:val="bottom"/>
            <w:hideMark/>
          </w:tcPr>
          <w:p w14:paraId="3E258A62" w14:textId="4096802D" w:rsidR="00826E0B" w:rsidRPr="004E780C" w:rsidRDefault="009F3939" w:rsidP="008D169A">
            <w:pPr>
              <w:spacing w:after="0" w:line="240" w:lineRule="auto"/>
              <w:jc w:val="center"/>
              <w:rPr>
                <w:sz w:val="22"/>
                <w:szCs w:val="22"/>
              </w:rPr>
            </w:pPr>
            <w:r w:rsidRPr="004E780C">
              <w:rPr>
                <w:sz w:val="22"/>
                <w:szCs w:val="22"/>
              </w:rPr>
              <w:t>29</w:t>
            </w:r>
          </w:p>
        </w:tc>
        <w:tc>
          <w:tcPr>
            <w:tcW w:w="1610" w:type="dxa"/>
            <w:tcBorders>
              <w:top w:val="nil"/>
              <w:left w:val="nil"/>
              <w:bottom w:val="nil"/>
              <w:right w:val="nil"/>
            </w:tcBorders>
            <w:noWrap/>
            <w:vAlign w:val="bottom"/>
            <w:hideMark/>
          </w:tcPr>
          <w:p w14:paraId="413A9590" w14:textId="590B4C3A" w:rsidR="00826E0B" w:rsidRPr="004E780C" w:rsidRDefault="009F3939" w:rsidP="008D169A">
            <w:pPr>
              <w:spacing w:after="0" w:line="240" w:lineRule="auto"/>
              <w:jc w:val="center"/>
              <w:rPr>
                <w:sz w:val="22"/>
                <w:szCs w:val="22"/>
              </w:rPr>
            </w:pPr>
            <w:r w:rsidRPr="004E780C">
              <w:rPr>
                <w:sz w:val="22"/>
                <w:szCs w:val="22"/>
              </w:rPr>
              <w:t>0.0211</w:t>
            </w:r>
          </w:p>
        </w:tc>
      </w:tr>
      <w:tr w:rsidR="00826E0B" w:rsidRPr="00C9271A" w14:paraId="2B61F514" w14:textId="77777777" w:rsidTr="008D169A">
        <w:trPr>
          <w:trHeight w:val="288"/>
        </w:trPr>
        <w:tc>
          <w:tcPr>
            <w:tcW w:w="2080" w:type="dxa"/>
            <w:tcBorders>
              <w:top w:val="nil"/>
              <w:left w:val="nil"/>
              <w:bottom w:val="nil"/>
              <w:right w:val="nil"/>
            </w:tcBorders>
            <w:noWrap/>
            <w:vAlign w:val="bottom"/>
            <w:hideMark/>
          </w:tcPr>
          <w:p w14:paraId="3375CD86" w14:textId="03D4B45D" w:rsidR="00826E0B" w:rsidRPr="004E780C" w:rsidRDefault="00826E0B" w:rsidP="008D169A">
            <w:pPr>
              <w:spacing w:after="0" w:line="240" w:lineRule="auto"/>
              <w:jc w:val="center"/>
              <w:rPr>
                <w:sz w:val="22"/>
                <w:szCs w:val="22"/>
              </w:rPr>
            </w:pPr>
            <w:r w:rsidRPr="004E780C">
              <w:rPr>
                <w:sz w:val="22"/>
                <w:szCs w:val="22"/>
              </w:rPr>
              <w:t>87</w:t>
            </w:r>
          </w:p>
        </w:tc>
        <w:tc>
          <w:tcPr>
            <w:tcW w:w="1610" w:type="dxa"/>
            <w:tcBorders>
              <w:top w:val="nil"/>
              <w:left w:val="nil"/>
              <w:bottom w:val="nil"/>
              <w:right w:val="nil"/>
            </w:tcBorders>
            <w:noWrap/>
            <w:vAlign w:val="bottom"/>
            <w:hideMark/>
          </w:tcPr>
          <w:p w14:paraId="495A61AD" w14:textId="77777777" w:rsidR="00826E0B" w:rsidRPr="004E780C" w:rsidRDefault="00826E0B" w:rsidP="008D169A">
            <w:pPr>
              <w:spacing w:after="0" w:line="240" w:lineRule="auto"/>
              <w:jc w:val="center"/>
              <w:rPr>
                <w:sz w:val="22"/>
                <w:szCs w:val="22"/>
              </w:rPr>
            </w:pPr>
            <w:r w:rsidRPr="004E780C">
              <w:rPr>
                <w:sz w:val="22"/>
                <w:szCs w:val="22"/>
              </w:rPr>
              <w:t>-0.0144</w:t>
            </w:r>
          </w:p>
        </w:tc>
      </w:tr>
      <w:tr w:rsidR="00285D31" w:rsidRPr="00C9271A" w14:paraId="29DBE54C" w14:textId="77777777" w:rsidTr="008D169A">
        <w:trPr>
          <w:trHeight w:val="288"/>
        </w:trPr>
        <w:tc>
          <w:tcPr>
            <w:tcW w:w="2080" w:type="dxa"/>
            <w:tcBorders>
              <w:top w:val="nil"/>
              <w:left w:val="nil"/>
              <w:bottom w:val="nil"/>
              <w:right w:val="nil"/>
            </w:tcBorders>
            <w:noWrap/>
            <w:vAlign w:val="bottom"/>
          </w:tcPr>
          <w:p w14:paraId="413B7CD0" w14:textId="756AC37A" w:rsidR="00285D31" w:rsidRPr="004E780C" w:rsidRDefault="00402FF8" w:rsidP="008D169A">
            <w:pPr>
              <w:spacing w:after="0" w:line="240" w:lineRule="auto"/>
              <w:jc w:val="center"/>
              <w:rPr>
                <w:sz w:val="22"/>
                <w:szCs w:val="22"/>
              </w:rPr>
            </w:pPr>
            <w:r w:rsidRPr="004E780C">
              <w:rPr>
                <w:sz w:val="22"/>
                <w:szCs w:val="22"/>
              </w:rPr>
              <w:t>162</w:t>
            </w:r>
          </w:p>
        </w:tc>
        <w:tc>
          <w:tcPr>
            <w:tcW w:w="1610" w:type="dxa"/>
            <w:tcBorders>
              <w:top w:val="nil"/>
              <w:left w:val="nil"/>
              <w:bottom w:val="nil"/>
              <w:right w:val="nil"/>
            </w:tcBorders>
            <w:noWrap/>
            <w:vAlign w:val="bottom"/>
          </w:tcPr>
          <w:p w14:paraId="22301680" w14:textId="48D0993E" w:rsidR="00285D31" w:rsidRPr="004E780C" w:rsidRDefault="00402FF8" w:rsidP="008D169A">
            <w:pPr>
              <w:spacing w:after="0" w:line="240" w:lineRule="auto"/>
              <w:jc w:val="center"/>
              <w:rPr>
                <w:sz w:val="22"/>
                <w:szCs w:val="22"/>
              </w:rPr>
            </w:pPr>
            <w:r w:rsidRPr="004E780C">
              <w:rPr>
                <w:sz w:val="22"/>
                <w:szCs w:val="22"/>
              </w:rPr>
              <w:t>0.0106</w:t>
            </w:r>
          </w:p>
        </w:tc>
      </w:tr>
      <w:tr w:rsidR="00826E0B" w:rsidRPr="00C9271A" w14:paraId="634C7034" w14:textId="77777777" w:rsidTr="008D169A">
        <w:trPr>
          <w:trHeight w:val="300"/>
        </w:trPr>
        <w:tc>
          <w:tcPr>
            <w:tcW w:w="2080" w:type="dxa"/>
            <w:tcBorders>
              <w:top w:val="nil"/>
              <w:left w:val="nil"/>
              <w:bottom w:val="single" w:sz="8" w:space="0" w:color="auto"/>
              <w:right w:val="nil"/>
            </w:tcBorders>
            <w:vAlign w:val="center"/>
            <w:hideMark/>
          </w:tcPr>
          <w:p w14:paraId="3C511482" w14:textId="77777777" w:rsidR="00826E0B" w:rsidRPr="004E780C" w:rsidRDefault="00826E0B" w:rsidP="008D169A">
            <w:pPr>
              <w:spacing w:after="0" w:line="240" w:lineRule="auto"/>
              <w:jc w:val="center"/>
              <w:rPr>
                <w:sz w:val="22"/>
                <w:szCs w:val="22"/>
              </w:rPr>
            </w:pPr>
            <w:r w:rsidRPr="004E780C">
              <w:rPr>
                <w:sz w:val="22"/>
                <w:szCs w:val="22"/>
              </w:rPr>
              <w:t>337</w:t>
            </w:r>
          </w:p>
        </w:tc>
        <w:tc>
          <w:tcPr>
            <w:tcW w:w="1610" w:type="dxa"/>
            <w:tcBorders>
              <w:top w:val="nil"/>
              <w:left w:val="nil"/>
              <w:bottom w:val="single" w:sz="8" w:space="0" w:color="auto"/>
              <w:right w:val="nil"/>
            </w:tcBorders>
            <w:vAlign w:val="center"/>
            <w:hideMark/>
          </w:tcPr>
          <w:p w14:paraId="0D8C880F" w14:textId="77777777" w:rsidR="00826E0B" w:rsidRPr="004E780C" w:rsidRDefault="00826E0B" w:rsidP="008D169A">
            <w:pPr>
              <w:spacing w:after="0" w:line="240" w:lineRule="auto"/>
              <w:jc w:val="center"/>
              <w:rPr>
                <w:sz w:val="22"/>
                <w:szCs w:val="22"/>
              </w:rPr>
            </w:pPr>
            <w:r w:rsidRPr="004E780C">
              <w:rPr>
                <w:sz w:val="22"/>
                <w:szCs w:val="22"/>
              </w:rPr>
              <w:t>-0.0226</w:t>
            </w:r>
          </w:p>
        </w:tc>
      </w:tr>
    </w:tbl>
    <w:p w14:paraId="131804E3" w14:textId="7599924D" w:rsidR="00F078E1" w:rsidRPr="004E780C" w:rsidRDefault="00C55CE1" w:rsidP="004E780C">
      <w:pPr>
        <w:ind w:left="720" w:hanging="720"/>
        <w:jc w:val="center"/>
        <w:rPr>
          <w:rFonts w:ascii="Aptos Narrow" w:eastAsia="Times New Roman" w:hAnsi="Aptos Narrow" w:cs="Times New Roman"/>
          <w:b/>
          <w:bCs/>
          <w:color w:val="0070C0"/>
          <w:kern w:val="0"/>
          <w:sz w:val="22"/>
          <w:szCs w:val="22"/>
          <w14:ligatures w14:val="none"/>
        </w:rPr>
      </w:pPr>
      <w:r>
        <w:rPr>
          <w:noProof/>
        </w:rPr>
        <w:drawing>
          <wp:anchor distT="0" distB="0" distL="114300" distR="114300" simplePos="0" relativeHeight="251660288" behindDoc="1" locked="0" layoutInCell="1" allowOverlap="1" wp14:anchorId="66B1DDEC" wp14:editId="3CFE90A7">
            <wp:simplePos x="0" y="0"/>
            <wp:positionH relativeFrom="column">
              <wp:posOffset>2480310</wp:posOffset>
            </wp:positionH>
            <wp:positionV relativeFrom="paragraph">
              <wp:posOffset>-72930</wp:posOffset>
            </wp:positionV>
            <wp:extent cx="3538218" cy="1252855"/>
            <wp:effectExtent l="0" t="0" r="5715" b="4445"/>
            <wp:wrapNone/>
            <wp:docPr id="48940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8218" cy="125285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r w:rsidR="001D4078">
        <w:t xml:space="preserve"> </w:t>
      </w:r>
      <w:r>
        <w:tab/>
      </w:r>
      <w:r>
        <w:tab/>
      </w:r>
      <w:r>
        <w:tab/>
      </w:r>
      <w:r>
        <w:tab/>
      </w:r>
      <w:r w:rsidR="004E780C">
        <w:t xml:space="preserve">         </w:t>
      </w:r>
      <w:r w:rsidR="00F078E1" w:rsidRPr="004E780C">
        <w:rPr>
          <w:rFonts w:ascii="Aptos Narrow" w:eastAsia="Times New Roman" w:hAnsi="Aptos Narrow" w:cs="Times New Roman"/>
          <w:b/>
          <w:bCs/>
          <w:color w:val="0070C0"/>
          <w:kern w:val="0"/>
          <w:sz w:val="22"/>
          <w:szCs w:val="22"/>
          <w14:ligatures w14:val="none"/>
        </w:rPr>
        <w:t xml:space="preserve">Figure 3: </w:t>
      </w:r>
      <w:r w:rsidR="00B64DE8" w:rsidRPr="004E780C">
        <w:rPr>
          <w:rFonts w:ascii="Aptos Narrow" w:eastAsia="Times New Roman" w:hAnsi="Aptos Narrow" w:cs="Times New Roman"/>
          <w:b/>
          <w:bCs/>
          <w:color w:val="0070C0"/>
          <w:kern w:val="0"/>
          <w:sz w:val="22"/>
          <w:szCs w:val="22"/>
          <w14:ligatures w14:val="none"/>
        </w:rPr>
        <w:t>Current</w:t>
      </w:r>
      <w:r w:rsidR="00F078E1" w:rsidRPr="004E780C">
        <w:rPr>
          <w:rFonts w:ascii="Aptos Narrow" w:eastAsia="Times New Roman" w:hAnsi="Aptos Narrow" w:cs="Times New Roman"/>
          <w:b/>
          <w:bCs/>
          <w:color w:val="0070C0"/>
          <w:kern w:val="0"/>
          <w:sz w:val="22"/>
          <w:szCs w:val="22"/>
          <w14:ligatures w14:val="none"/>
        </w:rPr>
        <w:t xml:space="preserve"> GGHED </w:t>
      </w:r>
      <w:r w:rsidR="00B64DE8" w:rsidRPr="004E780C">
        <w:rPr>
          <w:rFonts w:ascii="Aptos Narrow" w:eastAsia="Times New Roman" w:hAnsi="Aptos Narrow" w:cs="Times New Roman"/>
          <w:b/>
          <w:bCs/>
          <w:color w:val="0070C0"/>
          <w:kern w:val="0"/>
          <w:sz w:val="22"/>
          <w:szCs w:val="22"/>
          <w14:ligatures w14:val="none"/>
        </w:rPr>
        <w:t xml:space="preserve">Threshold </w:t>
      </w:r>
      <w:r w:rsidRPr="004E780C">
        <w:rPr>
          <w:rFonts w:ascii="Aptos Narrow" w:eastAsia="Times New Roman" w:hAnsi="Aptos Narrow" w:cs="Times New Roman"/>
          <w:b/>
          <w:bCs/>
          <w:color w:val="0070C0"/>
          <w:kern w:val="0"/>
          <w:sz w:val="22"/>
          <w:szCs w:val="22"/>
          <w14:ligatures w14:val="none"/>
        </w:rPr>
        <w:t>Effects on HWF</w:t>
      </w:r>
    </w:p>
    <w:p w14:paraId="7DD4C7FD" w14:textId="122A9EA1" w:rsidR="005D4798" w:rsidRDefault="009E5FA4" w:rsidP="00184C47">
      <w:pPr>
        <w:jc w:val="both"/>
      </w:pPr>
      <w:r>
        <w:t xml:space="preserve">Table </w:t>
      </w:r>
      <w:r w:rsidR="00AC6380">
        <w:t>8</w:t>
      </w:r>
      <w:r>
        <w:t xml:space="preserve"> </w:t>
      </w:r>
      <w:r w:rsidR="00AC6380">
        <w:t xml:space="preserve">show that </w:t>
      </w:r>
      <w:r w:rsidR="00F02984">
        <w:t>for</w:t>
      </w:r>
      <w:r w:rsidR="00AC6380">
        <w:t xml:space="preserve"> current</w:t>
      </w:r>
      <w:r w:rsidR="004A52FA">
        <w:t xml:space="preserve"> levels of</w:t>
      </w:r>
      <w:r w:rsidR="00273A1A">
        <w:t xml:space="preserve"> </w:t>
      </w:r>
      <w:r w:rsidR="00F02984">
        <w:t>government</w:t>
      </w:r>
      <w:r w:rsidR="00AC6380">
        <w:t xml:space="preserve"> financing</w:t>
      </w:r>
      <w:r w:rsidR="00F02984">
        <w:t xml:space="preserve"> on health</w:t>
      </w:r>
      <w:r w:rsidR="00AC6380">
        <w:t>,</w:t>
      </w:r>
      <w:r w:rsidR="004A52FA">
        <w:t xml:space="preserve"> </w:t>
      </w:r>
      <w:r w:rsidR="00F02984">
        <w:t>thresholds occur at 29, 87, 162, and 337 dollars per capita, showing alternating phases of growth and decline as spending increases (See Figure 3)</w:t>
      </w:r>
      <w:r w:rsidR="00490035">
        <w:t>.</w:t>
      </w:r>
    </w:p>
    <w:tbl>
      <w:tblPr>
        <w:tblpPr w:leftFromText="180" w:rightFromText="180" w:vertAnchor="text" w:tblpY="1"/>
        <w:tblOverlap w:val="never"/>
        <w:tblW w:w="3600" w:type="dxa"/>
        <w:tblLook w:val="04A0" w:firstRow="1" w:lastRow="0" w:firstColumn="1" w:lastColumn="0" w:noHBand="0" w:noVBand="1"/>
      </w:tblPr>
      <w:tblGrid>
        <w:gridCol w:w="2100"/>
        <w:gridCol w:w="1493"/>
        <w:gridCol w:w="7"/>
      </w:tblGrid>
      <w:tr w:rsidR="000230F7" w:rsidRPr="000230F7" w14:paraId="14C0CFFA" w14:textId="77777777" w:rsidTr="004A52FA">
        <w:trPr>
          <w:gridAfter w:val="1"/>
          <w:wAfter w:w="7" w:type="dxa"/>
          <w:trHeight w:val="300"/>
        </w:trPr>
        <w:tc>
          <w:tcPr>
            <w:tcW w:w="3593" w:type="dxa"/>
            <w:gridSpan w:val="2"/>
            <w:tcBorders>
              <w:top w:val="nil"/>
              <w:left w:val="nil"/>
              <w:bottom w:val="single" w:sz="8" w:space="0" w:color="auto"/>
              <w:right w:val="nil"/>
            </w:tcBorders>
            <w:noWrap/>
            <w:vAlign w:val="center"/>
            <w:hideMark/>
          </w:tcPr>
          <w:p w14:paraId="5E238C0E" w14:textId="77E7563C" w:rsidR="000230F7" w:rsidRPr="000230F7" w:rsidRDefault="00662ECF" w:rsidP="004A52FA">
            <w:pPr>
              <w:spacing w:after="0" w:line="240" w:lineRule="auto"/>
              <w:rPr>
                <w:rFonts w:ascii="Aptos Narrow" w:eastAsia="Times New Roman" w:hAnsi="Aptos Narrow" w:cs="Calibri"/>
                <w:b/>
                <w:bCs/>
                <w:color w:val="0070C0"/>
                <w:kern w:val="0"/>
                <w:sz w:val="22"/>
                <w:szCs w:val="22"/>
                <w14:ligatures w14:val="none"/>
              </w:rPr>
            </w:pPr>
            <w:r>
              <w:rPr>
                <w:rFonts w:ascii="Aptos Narrow" w:eastAsia="Times New Roman" w:hAnsi="Aptos Narrow" w:cs="Calibri"/>
                <w:b/>
                <w:bCs/>
                <w:color w:val="0070C0"/>
                <w:kern w:val="0"/>
                <w:sz w:val="22"/>
                <w:szCs w:val="22"/>
                <w14:ligatures w14:val="none"/>
              </w:rPr>
              <w:t xml:space="preserve">Table </w:t>
            </w:r>
            <w:proofErr w:type="gramStart"/>
            <w:r>
              <w:rPr>
                <w:rFonts w:ascii="Aptos Narrow" w:eastAsia="Times New Roman" w:hAnsi="Aptos Narrow" w:cs="Calibri"/>
                <w:b/>
                <w:bCs/>
                <w:color w:val="0070C0"/>
                <w:kern w:val="0"/>
                <w:sz w:val="22"/>
                <w:szCs w:val="22"/>
                <w14:ligatures w14:val="none"/>
              </w:rPr>
              <w:t>9 :</w:t>
            </w:r>
            <w:proofErr w:type="gramEnd"/>
            <w:r>
              <w:rPr>
                <w:rFonts w:ascii="Aptos Narrow" w:eastAsia="Times New Roman" w:hAnsi="Aptos Narrow" w:cs="Calibri"/>
                <w:b/>
                <w:bCs/>
                <w:color w:val="0070C0"/>
                <w:kern w:val="0"/>
                <w:sz w:val="22"/>
                <w:szCs w:val="22"/>
                <w14:ligatures w14:val="none"/>
              </w:rPr>
              <w:t xml:space="preserve"> </w:t>
            </w:r>
            <w:r w:rsidR="001E2432">
              <w:rPr>
                <w:rFonts w:ascii="Aptos Narrow" w:eastAsia="Times New Roman" w:hAnsi="Aptos Narrow" w:cs="Calibri"/>
                <w:b/>
                <w:bCs/>
                <w:color w:val="0070C0"/>
                <w:kern w:val="0"/>
                <w:sz w:val="22"/>
                <w:szCs w:val="22"/>
                <w14:ligatures w14:val="none"/>
              </w:rPr>
              <w:t>Five</w:t>
            </w:r>
            <w:r w:rsidR="000230F7" w:rsidRPr="000230F7">
              <w:rPr>
                <w:rFonts w:ascii="Aptos Narrow" w:eastAsia="Times New Roman" w:hAnsi="Aptos Narrow" w:cs="Calibri"/>
                <w:b/>
                <w:bCs/>
                <w:color w:val="0070C0"/>
                <w:kern w:val="0"/>
                <w:sz w:val="22"/>
                <w:szCs w:val="22"/>
                <w14:ligatures w14:val="none"/>
              </w:rPr>
              <w:t xml:space="preserve">-Year Lagged </w:t>
            </w:r>
            <w:r w:rsidR="00F02984">
              <w:rPr>
                <w:rFonts w:ascii="Aptos Narrow" w:eastAsia="Times New Roman" w:hAnsi="Aptos Narrow" w:cs="Calibri"/>
                <w:b/>
                <w:bCs/>
                <w:color w:val="0070C0"/>
                <w:kern w:val="0"/>
                <w:sz w:val="22"/>
                <w:szCs w:val="22"/>
                <w14:ligatures w14:val="none"/>
              </w:rPr>
              <w:t>GGHED Threshold on HWF</w:t>
            </w:r>
          </w:p>
        </w:tc>
      </w:tr>
      <w:tr w:rsidR="000230F7" w:rsidRPr="000230F7" w14:paraId="371DD112" w14:textId="77777777" w:rsidTr="004A52FA">
        <w:trPr>
          <w:trHeight w:val="300"/>
        </w:trPr>
        <w:tc>
          <w:tcPr>
            <w:tcW w:w="2100" w:type="dxa"/>
            <w:tcBorders>
              <w:top w:val="nil"/>
              <w:left w:val="nil"/>
              <w:bottom w:val="single" w:sz="8" w:space="0" w:color="auto"/>
              <w:right w:val="nil"/>
            </w:tcBorders>
            <w:vAlign w:val="center"/>
            <w:hideMark/>
          </w:tcPr>
          <w:p w14:paraId="43F769F6" w14:textId="77777777" w:rsidR="000230F7" w:rsidRPr="000230F7" w:rsidRDefault="000230F7" w:rsidP="004A52FA">
            <w:pPr>
              <w:spacing w:after="0" w:line="240" w:lineRule="auto"/>
              <w:jc w:val="center"/>
              <w:rPr>
                <w:rFonts w:ascii="Calibri" w:eastAsia="Times New Roman" w:hAnsi="Calibri" w:cs="Calibri"/>
                <w:b/>
                <w:bCs/>
                <w:color w:val="000000"/>
                <w:kern w:val="0"/>
                <w:sz w:val="20"/>
                <w:szCs w:val="20"/>
                <w14:ligatures w14:val="none"/>
              </w:rPr>
            </w:pPr>
            <w:r w:rsidRPr="000230F7">
              <w:rPr>
                <w:rFonts w:ascii="Calibri" w:eastAsia="Times New Roman" w:hAnsi="Calibri" w:cs="Calibri"/>
                <w:b/>
                <w:bCs/>
                <w:color w:val="000000"/>
                <w:kern w:val="0"/>
                <w:sz w:val="20"/>
                <w:szCs w:val="20"/>
                <w14:ligatures w14:val="none"/>
              </w:rPr>
              <w:t>GGHED per capita, $</w:t>
            </w:r>
          </w:p>
        </w:tc>
        <w:tc>
          <w:tcPr>
            <w:tcW w:w="1500" w:type="dxa"/>
            <w:gridSpan w:val="2"/>
            <w:tcBorders>
              <w:top w:val="nil"/>
              <w:left w:val="nil"/>
              <w:bottom w:val="single" w:sz="8" w:space="0" w:color="auto"/>
              <w:right w:val="nil"/>
            </w:tcBorders>
            <w:vAlign w:val="center"/>
            <w:hideMark/>
          </w:tcPr>
          <w:p w14:paraId="05A8C86E" w14:textId="77777777" w:rsidR="000230F7" w:rsidRPr="000230F7" w:rsidRDefault="000230F7" w:rsidP="004A52FA">
            <w:pPr>
              <w:spacing w:after="0" w:line="240" w:lineRule="auto"/>
              <w:jc w:val="center"/>
              <w:rPr>
                <w:rFonts w:ascii="Calibri" w:eastAsia="Times New Roman" w:hAnsi="Calibri" w:cs="Calibri"/>
                <w:b/>
                <w:bCs/>
                <w:color w:val="000000"/>
                <w:kern w:val="0"/>
                <w:sz w:val="20"/>
                <w:szCs w:val="20"/>
                <w14:ligatures w14:val="none"/>
              </w:rPr>
            </w:pPr>
            <w:r w:rsidRPr="000230F7">
              <w:rPr>
                <w:rFonts w:ascii="Calibri" w:eastAsia="Times New Roman" w:hAnsi="Calibri" w:cs="Calibri"/>
                <w:b/>
                <w:bCs/>
                <w:color w:val="000000"/>
                <w:kern w:val="0"/>
                <w:sz w:val="20"/>
                <w:szCs w:val="20"/>
                <w14:ligatures w14:val="none"/>
              </w:rPr>
              <w:t>Derivative</w:t>
            </w:r>
          </w:p>
        </w:tc>
      </w:tr>
      <w:tr w:rsidR="000230F7" w:rsidRPr="000230F7" w14:paraId="730B4F8D" w14:textId="77777777" w:rsidTr="004A52FA">
        <w:trPr>
          <w:trHeight w:val="288"/>
        </w:trPr>
        <w:tc>
          <w:tcPr>
            <w:tcW w:w="2100" w:type="dxa"/>
            <w:tcBorders>
              <w:top w:val="nil"/>
              <w:left w:val="nil"/>
              <w:bottom w:val="nil"/>
              <w:right w:val="nil"/>
            </w:tcBorders>
            <w:noWrap/>
            <w:vAlign w:val="bottom"/>
            <w:hideMark/>
          </w:tcPr>
          <w:p w14:paraId="0DEA605B"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81</w:t>
            </w:r>
          </w:p>
        </w:tc>
        <w:tc>
          <w:tcPr>
            <w:tcW w:w="1500" w:type="dxa"/>
            <w:gridSpan w:val="2"/>
            <w:tcBorders>
              <w:top w:val="nil"/>
              <w:left w:val="nil"/>
              <w:bottom w:val="nil"/>
              <w:right w:val="nil"/>
            </w:tcBorders>
            <w:noWrap/>
            <w:vAlign w:val="bottom"/>
            <w:hideMark/>
          </w:tcPr>
          <w:p w14:paraId="737F3B1A"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0.0117</w:t>
            </w:r>
          </w:p>
        </w:tc>
      </w:tr>
      <w:tr w:rsidR="000230F7" w:rsidRPr="000230F7" w14:paraId="0A5D8ED2" w14:textId="77777777" w:rsidTr="004A52FA">
        <w:trPr>
          <w:trHeight w:val="288"/>
        </w:trPr>
        <w:tc>
          <w:tcPr>
            <w:tcW w:w="2100" w:type="dxa"/>
            <w:tcBorders>
              <w:top w:val="nil"/>
              <w:left w:val="nil"/>
              <w:bottom w:val="nil"/>
              <w:right w:val="nil"/>
            </w:tcBorders>
            <w:noWrap/>
            <w:vAlign w:val="bottom"/>
            <w:hideMark/>
          </w:tcPr>
          <w:p w14:paraId="13F7BED9"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129</w:t>
            </w:r>
          </w:p>
        </w:tc>
        <w:tc>
          <w:tcPr>
            <w:tcW w:w="1500" w:type="dxa"/>
            <w:gridSpan w:val="2"/>
            <w:tcBorders>
              <w:top w:val="nil"/>
              <w:left w:val="nil"/>
              <w:bottom w:val="nil"/>
              <w:right w:val="nil"/>
            </w:tcBorders>
            <w:noWrap/>
            <w:vAlign w:val="bottom"/>
            <w:hideMark/>
          </w:tcPr>
          <w:p w14:paraId="22615098"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-0.0005</w:t>
            </w:r>
          </w:p>
        </w:tc>
      </w:tr>
      <w:tr w:rsidR="000230F7" w:rsidRPr="000230F7" w14:paraId="7C773C3A" w14:textId="77777777" w:rsidTr="004A52FA">
        <w:trPr>
          <w:trHeight w:val="288"/>
        </w:trPr>
        <w:tc>
          <w:tcPr>
            <w:tcW w:w="2100" w:type="dxa"/>
            <w:tcBorders>
              <w:top w:val="nil"/>
              <w:left w:val="nil"/>
              <w:bottom w:val="nil"/>
              <w:right w:val="nil"/>
            </w:tcBorders>
            <w:noWrap/>
            <w:vAlign w:val="bottom"/>
            <w:hideMark/>
          </w:tcPr>
          <w:p w14:paraId="423CB939"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174</w:t>
            </w:r>
          </w:p>
        </w:tc>
        <w:tc>
          <w:tcPr>
            <w:tcW w:w="1500" w:type="dxa"/>
            <w:gridSpan w:val="2"/>
            <w:tcBorders>
              <w:top w:val="nil"/>
              <w:left w:val="nil"/>
              <w:bottom w:val="nil"/>
              <w:right w:val="nil"/>
            </w:tcBorders>
            <w:noWrap/>
            <w:vAlign w:val="bottom"/>
            <w:hideMark/>
          </w:tcPr>
          <w:p w14:paraId="2E9A9C9F"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0.0066</w:t>
            </w:r>
          </w:p>
        </w:tc>
      </w:tr>
      <w:tr w:rsidR="000230F7" w:rsidRPr="000230F7" w14:paraId="079B3BDE" w14:textId="77777777" w:rsidTr="004A52FA">
        <w:trPr>
          <w:trHeight w:val="288"/>
        </w:trPr>
        <w:tc>
          <w:tcPr>
            <w:tcW w:w="2100" w:type="dxa"/>
            <w:tcBorders>
              <w:top w:val="nil"/>
              <w:left w:val="nil"/>
              <w:bottom w:val="nil"/>
              <w:right w:val="nil"/>
            </w:tcBorders>
            <w:noWrap/>
            <w:vAlign w:val="bottom"/>
            <w:hideMark/>
          </w:tcPr>
          <w:p w14:paraId="054E6D51"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214</w:t>
            </w:r>
          </w:p>
        </w:tc>
        <w:tc>
          <w:tcPr>
            <w:tcW w:w="1500" w:type="dxa"/>
            <w:gridSpan w:val="2"/>
            <w:tcBorders>
              <w:top w:val="nil"/>
              <w:left w:val="nil"/>
              <w:bottom w:val="nil"/>
              <w:right w:val="nil"/>
            </w:tcBorders>
            <w:noWrap/>
            <w:vAlign w:val="bottom"/>
            <w:hideMark/>
          </w:tcPr>
          <w:p w14:paraId="2CC473CD"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-0.0167</w:t>
            </w:r>
          </w:p>
        </w:tc>
      </w:tr>
      <w:tr w:rsidR="000230F7" w:rsidRPr="000230F7" w14:paraId="26C55A7A" w14:textId="77777777" w:rsidTr="004A52FA">
        <w:trPr>
          <w:trHeight w:val="300"/>
        </w:trPr>
        <w:tc>
          <w:tcPr>
            <w:tcW w:w="2100" w:type="dxa"/>
            <w:tcBorders>
              <w:top w:val="nil"/>
              <w:left w:val="nil"/>
              <w:bottom w:val="single" w:sz="8" w:space="0" w:color="auto"/>
              <w:right w:val="nil"/>
            </w:tcBorders>
            <w:vAlign w:val="center"/>
            <w:hideMark/>
          </w:tcPr>
          <w:p w14:paraId="6954768F"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300</w:t>
            </w:r>
          </w:p>
        </w:tc>
        <w:tc>
          <w:tcPr>
            <w:tcW w:w="1500" w:type="dxa"/>
            <w:gridSpan w:val="2"/>
            <w:tcBorders>
              <w:top w:val="nil"/>
              <w:left w:val="nil"/>
              <w:bottom w:val="single" w:sz="8" w:space="0" w:color="auto"/>
              <w:right w:val="nil"/>
            </w:tcBorders>
            <w:vAlign w:val="center"/>
            <w:hideMark/>
          </w:tcPr>
          <w:p w14:paraId="68552DA7" w14:textId="77777777" w:rsidR="000230F7" w:rsidRPr="000230F7" w:rsidRDefault="000230F7" w:rsidP="004A52FA">
            <w:pPr>
              <w:spacing w:after="0" w:line="240" w:lineRule="auto"/>
              <w:jc w:val="center"/>
              <w:rPr>
                <w:rFonts w:ascii="Calibri" w:eastAsia="Times New Roman" w:hAnsi="Calibri" w:cs="Calibri"/>
                <w:color w:val="000000"/>
                <w:kern w:val="0"/>
                <w:sz w:val="20"/>
                <w:szCs w:val="20"/>
                <w14:ligatures w14:val="none"/>
              </w:rPr>
            </w:pPr>
            <w:r w:rsidRPr="000230F7">
              <w:rPr>
                <w:rFonts w:ascii="Calibri" w:eastAsia="Times New Roman" w:hAnsi="Calibri" w:cs="Calibri"/>
                <w:color w:val="000000"/>
                <w:kern w:val="0"/>
                <w:sz w:val="20"/>
                <w:szCs w:val="20"/>
                <w14:ligatures w14:val="none"/>
              </w:rPr>
              <w:t>0.0107</w:t>
            </w:r>
          </w:p>
        </w:tc>
      </w:tr>
    </w:tbl>
    <w:p w14:paraId="23682EFE" w14:textId="129C80C8" w:rsidR="000230F7" w:rsidRPr="00F02984" w:rsidRDefault="002D1FE4" w:rsidP="003B2E60">
      <w:pPr>
        <w:rPr>
          <w:rFonts w:ascii="Aptos Narrow" w:eastAsia="Times New Roman" w:hAnsi="Aptos Narrow" w:cs="Times New Roman"/>
          <w:b/>
          <w:bCs/>
          <w:color w:val="0070C0"/>
          <w:kern w:val="0"/>
          <w:sz w:val="20"/>
          <w:szCs w:val="20"/>
          <w14:ligatures w14:val="none"/>
        </w:rPr>
      </w:pPr>
      <w:r>
        <w:rPr>
          <w:noProof/>
        </w:rPr>
        <w:drawing>
          <wp:anchor distT="0" distB="0" distL="114300" distR="114300" simplePos="0" relativeHeight="251661312" behindDoc="1" locked="0" layoutInCell="1" allowOverlap="1" wp14:anchorId="77878CDE" wp14:editId="334DBDD4">
            <wp:simplePos x="0" y="0"/>
            <wp:positionH relativeFrom="column">
              <wp:posOffset>2480733</wp:posOffset>
            </wp:positionH>
            <wp:positionV relativeFrom="paragraph">
              <wp:posOffset>179493</wp:posOffset>
            </wp:positionV>
            <wp:extent cx="3342263" cy="1337734"/>
            <wp:effectExtent l="0" t="0" r="0" b="0"/>
            <wp:wrapNone/>
            <wp:docPr id="457930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2263" cy="13377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52FA">
        <w:br w:type="textWrapping" w:clear="all"/>
      </w:r>
      <w:r w:rsidR="000230F7">
        <w:t xml:space="preserve"> </w:t>
      </w:r>
      <w:r w:rsidR="000230F7">
        <w:tab/>
      </w:r>
      <w:r w:rsidR="000230F7">
        <w:tab/>
      </w:r>
      <w:r w:rsidR="000230F7">
        <w:tab/>
      </w:r>
      <w:r w:rsidR="000230F7">
        <w:tab/>
      </w:r>
      <w:r w:rsidR="00F02984">
        <w:tab/>
      </w:r>
      <w:r w:rsidR="00F02984">
        <w:tab/>
      </w:r>
      <w:r w:rsidR="001831C9" w:rsidRPr="00F02984">
        <w:rPr>
          <w:rFonts w:ascii="Aptos Narrow" w:eastAsia="Times New Roman" w:hAnsi="Aptos Narrow" w:cs="Times New Roman"/>
          <w:b/>
          <w:bCs/>
          <w:color w:val="0070C0"/>
          <w:kern w:val="0"/>
          <w:sz w:val="20"/>
          <w:szCs w:val="20"/>
          <w14:ligatures w14:val="none"/>
        </w:rPr>
        <w:t xml:space="preserve"> </w:t>
      </w:r>
      <w:r w:rsidR="000230F7" w:rsidRPr="00F02984">
        <w:rPr>
          <w:rFonts w:ascii="Aptos Narrow" w:eastAsia="Times New Roman" w:hAnsi="Aptos Narrow" w:cs="Times New Roman"/>
          <w:b/>
          <w:bCs/>
          <w:color w:val="0070C0"/>
          <w:kern w:val="0"/>
          <w:sz w:val="20"/>
          <w:szCs w:val="20"/>
          <w14:ligatures w14:val="none"/>
        </w:rPr>
        <w:t xml:space="preserve">Figure 4: </w:t>
      </w:r>
      <w:r w:rsidR="00662ECF" w:rsidRPr="00F02984">
        <w:rPr>
          <w:rFonts w:ascii="Aptos Narrow" w:eastAsia="Times New Roman" w:hAnsi="Aptos Narrow" w:cs="Times New Roman"/>
          <w:b/>
          <w:bCs/>
          <w:color w:val="0070C0"/>
          <w:kern w:val="0"/>
          <w:sz w:val="20"/>
          <w:szCs w:val="20"/>
          <w14:ligatures w14:val="none"/>
        </w:rPr>
        <w:t>Five</w:t>
      </w:r>
      <w:r w:rsidR="001831C9" w:rsidRPr="00F02984">
        <w:rPr>
          <w:rFonts w:ascii="Aptos Narrow" w:eastAsia="Times New Roman" w:hAnsi="Aptos Narrow" w:cs="Times New Roman"/>
          <w:b/>
          <w:bCs/>
          <w:color w:val="0070C0"/>
          <w:kern w:val="0"/>
          <w:sz w:val="20"/>
          <w:szCs w:val="20"/>
          <w14:ligatures w14:val="none"/>
        </w:rPr>
        <w:t>-Year Lagged</w:t>
      </w:r>
      <w:r w:rsidR="000230F7" w:rsidRPr="00F02984">
        <w:rPr>
          <w:rFonts w:ascii="Aptos Narrow" w:eastAsia="Times New Roman" w:hAnsi="Aptos Narrow" w:cs="Times New Roman"/>
          <w:b/>
          <w:bCs/>
          <w:color w:val="0070C0"/>
          <w:kern w:val="0"/>
          <w:sz w:val="20"/>
          <w:szCs w:val="20"/>
          <w14:ligatures w14:val="none"/>
        </w:rPr>
        <w:t xml:space="preserve"> GGHED Threshold Effects</w:t>
      </w:r>
      <w:r w:rsidR="00F02984" w:rsidRPr="00F02984">
        <w:rPr>
          <w:rFonts w:ascii="Aptos Narrow" w:eastAsia="Times New Roman" w:hAnsi="Aptos Narrow" w:cs="Times New Roman"/>
          <w:b/>
          <w:bCs/>
          <w:color w:val="0070C0"/>
          <w:kern w:val="0"/>
          <w:sz w:val="20"/>
          <w:szCs w:val="20"/>
          <w14:ligatures w14:val="none"/>
        </w:rPr>
        <w:t xml:space="preserve"> on HWF</w:t>
      </w:r>
      <w:r w:rsidR="000230F7" w:rsidRPr="00F02984">
        <w:rPr>
          <w:rFonts w:ascii="Aptos Narrow" w:eastAsia="Times New Roman" w:hAnsi="Aptos Narrow" w:cs="Times New Roman"/>
          <w:b/>
          <w:bCs/>
          <w:color w:val="0070C0"/>
          <w:kern w:val="0"/>
          <w:sz w:val="20"/>
          <w:szCs w:val="20"/>
          <w14:ligatures w14:val="none"/>
        </w:rPr>
        <w:t xml:space="preserve"> </w:t>
      </w:r>
    </w:p>
    <w:p w14:paraId="66E752DE" w14:textId="55E773C7" w:rsidR="004E780C" w:rsidRDefault="00D4377A" w:rsidP="00184C47">
      <w:pPr>
        <w:jc w:val="both"/>
      </w:pPr>
      <w:r>
        <w:t xml:space="preserve">Similarly, </w:t>
      </w:r>
      <w:r w:rsidR="00452310">
        <w:t xml:space="preserve">Table 9 </w:t>
      </w:r>
      <w:r w:rsidR="00F02984">
        <w:t xml:space="preserve">show that for 5-year lagged levels of government financing on health, thresholds occur at 81, 129,174, 214 and 300 dollars per capita, showing alternating phases of growth and decline as spending increases (See Figure 4). </w:t>
      </w:r>
      <w:r w:rsidR="00D52087">
        <w:t>Both th</w:t>
      </w:r>
      <w:r w:rsidR="00F02984">
        <w:t>e</w:t>
      </w:r>
      <w:r w:rsidR="004E780C">
        <w:t xml:space="preserve"> current and 5-year lag threshold models showed</w:t>
      </w:r>
      <w:r w:rsidR="001E2432">
        <w:t xml:space="preserve"> </w:t>
      </w:r>
      <w:r w:rsidR="00D52087">
        <w:t xml:space="preserve">there are levels of </w:t>
      </w:r>
      <w:r w:rsidR="001E2432">
        <w:t>government expenditure</w:t>
      </w:r>
      <w:r w:rsidR="004E780C">
        <w:t xml:space="preserve"> </w:t>
      </w:r>
      <w:r w:rsidR="001E2432">
        <w:t>(</w:t>
      </w:r>
      <w:r w:rsidR="004E780C">
        <w:t>GGHED</w:t>
      </w:r>
      <w:r w:rsidR="001E2432">
        <w:t>)</w:t>
      </w:r>
      <w:r w:rsidR="004E780C">
        <w:t xml:space="preserve"> </w:t>
      </w:r>
      <w:r w:rsidR="00D52087">
        <w:t>on health where</w:t>
      </w:r>
      <w:r w:rsidR="004E780C">
        <w:t xml:space="preserve"> the</w:t>
      </w:r>
      <w:r w:rsidR="001E2432">
        <w:t xml:space="preserve"> </w:t>
      </w:r>
      <w:r w:rsidR="00D52087">
        <w:t xml:space="preserve">derivatives of the </w:t>
      </w:r>
      <w:r w:rsidR="001E2432">
        <w:t>smooth</w:t>
      </w:r>
      <w:r w:rsidR="004E780C">
        <w:t xml:space="preserve"> </w:t>
      </w:r>
      <w:r w:rsidR="001E2432">
        <w:t xml:space="preserve">function f(.) </w:t>
      </w:r>
      <w:r w:rsidR="004E780C">
        <w:t>change</w:t>
      </w:r>
      <w:r w:rsidR="00D52087">
        <w:t>s</w:t>
      </w:r>
      <w:r w:rsidR="004E780C">
        <w:t xml:space="preserve"> sign.</w:t>
      </w:r>
      <w:r w:rsidR="00F02984">
        <w:t xml:space="preserve"> </w:t>
      </w:r>
      <w:r w:rsidR="009B4CB4">
        <w:t>Periods with p</w:t>
      </w:r>
      <w:r w:rsidR="00F02984">
        <w:t>ositive derivatives imp</w:t>
      </w:r>
      <w:r w:rsidR="001E2432">
        <w:t>ly</w:t>
      </w:r>
      <w:r w:rsidR="00F02984">
        <w:t xml:space="preserve"> that increased expenditure at those levels le</w:t>
      </w:r>
      <w:r w:rsidR="001E2432">
        <w:t>a</w:t>
      </w:r>
      <w:r w:rsidR="00F02984">
        <w:t>d to increased workforce growth whereas</w:t>
      </w:r>
      <w:r w:rsidR="009B4CB4">
        <w:t xml:space="preserve"> periods with</w:t>
      </w:r>
      <w:r w:rsidR="00F02984">
        <w:t xml:space="preserve"> negative derivatives</w:t>
      </w:r>
      <w:r w:rsidR="001E2432">
        <w:t xml:space="preserve"> imply that at these levels, increased expenditure yields diminishing or negative returns on health workforce densities</w:t>
      </w:r>
      <w:r w:rsidR="009B4CB4">
        <w:t>, implying</w:t>
      </w:r>
      <w:r w:rsidR="007F2818">
        <w:t xml:space="preserve"> that more </w:t>
      </w:r>
      <w:r w:rsidR="009B4CB4">
        <w:t xml:space="preserve">health </w:t>
      </w:r>
      <w:r w:rsidR="007F2818">
        <w:t xml:space="preserve">spending doesn’t </w:t>
      </w:r>
      <w:r w:rsidR="009B4CB4">
        <w:t>guarantee</w:t>
      </w:r>
      <w:r w:rsidR="007F2818">
        <w:t xml:space="preserve"> more workforce as efficiency and allocation </w:t>
      </w:r>
      <w:r w:rsidR="009B4CB4">
        <w:t xml:space="preserve">also </w:t>
      </w:r>
      <w:r w:rsidR="007F2818">
        <w:t>matter.</w:t>
      </w:r>
    </w:p>
    <w:p w14:paraId="41BA1757" w14:textId="5952B78A" w:rsidR="00C1481A" w:rsidRDefault="00C1481A" w:rsidP="00184C47">
      <w:pPr>
        <w:jc w:val="both"/>
      </w:pPr>
      <w:r>
        <w:t xml:space="preserve">Finally, using the GAM results, we computed the health workforce density elasticity with respect to the government expenditure (GGHED) at different levels. This was done to allow us </w:t>
      </w:r>
      <w:r w:rsidR="001309FB">
        <w:t xml:space="preserve">to </w:t>
      </w:r>
      <w:r>
        <w:t>measure the percentage change in health workforce density for a percentage increase in GGHED. The elasticity function was given by:</w:t>
      </w:r>
    </w:p>
    <w:p w14:paraId="059DC353" w14:textId="1DFC6966" w:rsidR="0059468E" w:rsidRDefault="00C1481A" w:rsidP="00C1481A">
      <w:pPr>
        <w:jc w:val="center"/>
      </w:pPr>
      <m:oMathPara>
        <m:oMath>
          <m:r>
            <w:rPr>
              <w:rFonts w:ascii="Cambria Math" w:hAnsi="Cambria Math"/>
            </w:rPr>
            <m:t>Elasticity=</m:t>
          </m:r>
          <m:f>
            <m:fPr>
              <m:ctrlPr>
                <w:rPr>
                  <w:rFonts w:ascii="Cambria Math" w:hAnsi="Cambria Math"/>
                  <w:i/>
                </w:rPr>
              </m:ctrlPr>
            </m:fPr>
            <m:num>
              <m:r>
                <w:rPr>
                  <w:rFonts w:ascii="Cambria Math" w:hAnsi="Cambria Math"/>
                </w:rPr>
                <m:t>∂HWF</m:t>
              </m:r>
            </m:num>
            <m:den>
              <m:r>
                <w:rPr>
                  <w:rFonts w:ascii="Cambria Math" w:hAnsi="Cambria Math"/>
                </w:rPr>
                <m:t>∂GGHED</m:t>
              </m:r>
            </m:den>
          </m:f>
          <m:r>
            <w:rPr>
              <w:rFonts w:ascii="Cambria Math" w:hAnsi="Cambria Math"/>
            </w:rPr>
            <m:t>*</m:t>
          </m:r>
          <m:f>
            <m:fPr>
              <m:ctrlPr>
                <w:rPr>
                  <w:rFonts w:ascii="Cambria Math" w:hAnsi="Cambria Math"/>
                  <w:i/>
                </w:rPr>
              </m:ctrlPr>
            </m:fPr>
            <m:num>
              <m:r>
                <w:rPr>
                  <w:rFonts w:ascii="Cambria Math" w:hAnsi="Cambria Math"/>
                </w:rPr>
                <m:t>GGHED</m:t>
              </m:r>
            </m:num>
            <m:den>
              <m:r>
                <w:rPr>
                  <w:rFonts w:ascii="Cambria Math" w:hAnsi="Cambria Math"/>
                </w:rPr>
                <m:t>HWF</m:t>
              </m:r>
            </m:den>
          </m:f>
        </m:oMath>
      </m:oMathPara>
    </w:p>
    <w:p w14:paraId="161762B1" w14:textId="49B1AD4A" w:rsidR="0059468E" w:rsidRDefault="001309FB" w:rsidP="001309FB">
      <w:r>
        <w:lastRenderedPageBreak/>
        <w:t xml:space="preserve">Figure 5 shows the effect of government expenditure on health workforce density and the resulting elasticity levels for different levels of government health financing. </w:t>
      </w:r>
      <w:r w:rsidR="0059468E">
        <w:rPr>
          <w:noProof/>
        </w:rPr>
        <w:drawing>
          <wp:inline distT="0" distB="0" distL="0" distR="0" wp14:anchorId="1F4391F1" wp14:editId="5A2643B9">
            <wp:extent cx="5943600" cy="2125980"/>
            <wp:effectExtent l="0" t="0" r="0" b="7620"/>
            <wp:docPr id="67505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5BEA8D68" w14:textId="2A670F4A" w:rsidR="00F13DF0" w:rsidRPr="001309FB" w:rsidRDefault="00F13DF0" w:rsidP="00F13DF0">
      <w:pPr>
        <w:ind w:firstLine="720"/>
        <w:rPr>
          <w:sz w:val="22"/>
          <w:szCs w:val="22"/>
        </w:rPr>
      </w:pPr>
      <w:r>
        <w:rPr>
          <w:rFonts w:ascii="Aptos Narrow" w:eastAsia="Times New Roman" w:hAnsi="Aptos Narrow" w:cs="Times New Roman"/>
          <w:b/>
          <w:bCs/>
          <w:color w:val="0070C0"/>
          <w:kern w:val="0"/>
          <w:sz w:val="22"/>
          <w:szCs w:val="22"/>
          <w14:ligatures w14:val="none"/>
        </w:rPr>
        <w:t>a) GGHED vs Health Workforce</w:t>
      </w:r>
      <w:r w:rsidRPr="001309FB">
        <w:rPr>
          <w:rFonts w:ascii="Aptos Narrow" w:eastAsia="Times New Roman" w:hAnsi="Aptos Narrow" w:cs="Times New Roman"/>
          <w:b/>
          <w:bCs/>
          <w:color w:val="0070C0"/>
          <w:kern w:val="0"/>
          <w:sz w:val="22"/>
          <w:szCs w:val="22"/>
          <w14:ligatures w14:val="none"/>
        </w:rPr>
        <w:t xml:space="preserve"> </w:t>
      </w:r>
      <w:r>
        <w:rPr>
          <w:rFonts w:ascii="Aptos Narrow" w:eastAsia="Times New Roman" w:hAnsi="Aptos Narrow" w:cs="Times New Roman"/>
          <w:b/>
          <w:bCs/>
          <w:color w:val="0070C0"/>
          <w:kern w:val="0"/>
          <w:sz w:val="22"/>
          <w:szCs w:val="22"/>
          <w14:ligatures w14:val="none"/>
        </w:rPr>
        <w:t>Density</w:t>
      </w:r>
      <w:r>
        <w:rPr>
          <w:rFonts w:ascii="Aptos Narrow" w:eastAsia="Times New Roman" w:hAnsi="Aptos Narrow" w:cs="Times New Roman"/>
          <w:b/>
          <w:bCs/>
          <w:color w:val="0070C0"/>
          <w:kern w:val="0"/>
          <w:sz w:val="22"/>
          <w:szCs w:val="22"/>
          <w14:ligatures w14:val="none"/>
        </w:rPr>
        <w:tab/>
      </w:r>
      <w:r>
        <w:rPr>
          <w:rFonts w:ascii="Aptos Narrow" w:eastAsia="Times New Roman" w:hAnsi="Aptos Narrow" w:cs="Times New Roman"/>
          <w:b/>
          <w:bCs/>
          <w:color w:val="0070C0"/>
          <w:kern w:val="0"/>
          <w:sz w:val="22"/>
          <w:szCs w:val="22"/>
          <w14:ligatures w14:val="none"/>
        </w:rPr>
        <w:tab/>
      </w:r>
      <w:r>
        <w:rPr>
          <w:rFonts w:ascii="Aptos Narrow" w:eastAsia="Times New Roman" w:hAnsi="Aptos Narrow" w:cs="Times New Roman"/>
          <w:b/>
          <w:bCs/>
          <w:color w:val="0070C0"/>
          <w:kern w:val="0"/>
          <w:sz w:val="22"/>
          <w:szCs w:val="22"/>
          <w14:ligatures w14:val="none"/>
        </w:rPr>
        <w:tab/>
        <w:t xml:space="preserve"> b) GGHED vs HWF Elasticity</w:t>
      </w:r>
    </w:p>
    <w:p w14:paraId="03CA3427" w14:textId="5E076BD0" w:rsidR="0059468E" w:rsidRPr="001309FB" w:rsidRDefault="001309FB" w:rsidP="001309FB">
      <w:pPr>
        <w:jc w:val="center"/>
        <w:rPr>
          <w:sz w:val="22"/>
          <w:szCs w:val="22"/>
        </w:rPr>
      </w:pPr>
      <w:r w:rsidRPr="001309FB">
        <w:rPr>
          <w:rFonts w:ascii="Aptos Narrow" w:eastAsia="Times New Roman" w:hAnsi="Aptos Narrow" w:cs="Times New Roman"/>
          <w:b/>
          <w:bCs/>
          <w:color w:val="0070C0"/>
          <w:kern w:val="0"/>
          <w:sz w:val="22"/>
          <w:szCs w:val="22"/>
          <w14:ligatures w14:val="none"/>
        </w:rPr>
        <w:t xml:space="preserve">Figure </w:t>
      </w:r>
      <w:r>
        <w:rPr>
          <w:rFonts w:ascii="Aptos Narrow" w:eastAsia="Times New Roman" w:hAnsi="Aptos Narrow" w:cs="Times New Roman"/>
          <w:b/>
          <w:bCs/>
          <w:color w:val="0070C0"/>
          <w:kern w:val="0"/>
          <w:sz w:val="22"/>
          <w:szCs w:val="22"/>
          <w14:ligatures w14:val="none"/>
        </w:rPr>
        <w:t>5</w:t>
      </w:r>
      <w:r w:rsidRPr="001309FB">
        <w:rPr>
          <w:rFonts w:ascii="Aptos Narrow" w:eastAsia="Times New Roman" w:hAnsi="Aptos Narrow" w:cs="Times New Roman"/>
          <w:b/>
          <w:bCs/>
          <w:color w:val="0070C0"/>
          <w:kern w:val="0"/>
          <w:sz w:val="22"/>
          <w:szCs w:val="22"/>
          <w14:ligatures w14:val="none"/>
        </w:rPr>
        <w:t>:</w:t>
      </w:r>
      <w:r>
        <w:rPr>
          <w:rFonts w:ascii="Aptos Narrow" w:eastAsia="Times New Roman" w:hAnsi="Aptos Narrow" w:cs="Times New Roman"/>
          <w:b/>
          <w:bCs/>
          <w:color w:val="0070C0"/>
          <w:kern w:val="0"/>
          <w:sz w:val="22"/>
          <w:szCs w:val="22"/>
          <w14:ligatures w14:val="none"/>
        </w:rPr>
        <w:t xml:space="preserve"> </w:t>
      </w:r>
      <w:r w:rsidR="00F13DF0">
        <w:rPr>
          <w:rFonts w:ascii="Aptos Narrow" w:eastAsia="Times New Roman" w:hAnsi="Aptos Narrow" w:cs="Times New Roman"/>
          <w:b/>
          <w:bCs/>
          <w:color w:val="0070C0"/>
          <w:kern w:val="0"/>
          <w:sz w:val="22"/>
          <w:szCs w:val="22"/>
          <w14:ligatures w14:val="none"/>
        </w:rPr>
        <w:t>Effect of</w:t>
      </w:r>
      <w:r>
        <w:rPr>
          <w:rFonts w:ascii="Aptos Narrow" w:eastAsia="Times New Roman" w:hAnsi="Aptos Narrow" w:cs="Times New Roman"/>
          <w:b/>
          <w:bCs/>
          <w:color w:val="0070C0"/>
          <w:kern w:val="0"/>
          <w:sz w:val="22"/>
          <w:szCs w:val="22"/>
          <w14:ligatures w14:val="none"/>
        </w:rPr>
        <w:t xml:space="preserve"> Government Financing</w:t>
      </w:r>
      <w:r w:rsidR="00F13DF0">
        <w:rPr>
          <w:rFonts w:ascii="Aptos Narrow" w:eastAsia="Times New Roman" w:hAnsi="Aptos Narrow" w:cs="Times New Roman"/>
          <w:b/>
          <w:bCs/>
          <w:color w:val="0070C0"/>
          <w:kern w:val="0"/>
          <w:sz w:val="22"/>
          <w:szCs w:val="22"/>
          <w14:ligatures w14:val="none"/>
        </w:rPr>
        <w:t xml:space="preserve"> on Health Workforce Density and Elasticity</w:t>
      </w:r>
    </w:p>
    <w:p w14:paraId="36EF0166" w14:textId="2680CE01" w:rsidR="00894907" w:rsidRDefault="00F13DF0" w:rsidP="00184C47">
      <w:pPr>
        <w:jc w:val="both"/>
      </w:pPr>
      <w:r>
        <w:t xml:space="preserve">Figure 5a) </w:t>
      </w:r>
      <w:r w:rsidR="00801A97">
        <w:t>shows</w:t>
      </w:r>
      <w:r>
        <w:t xml:space="preserve"> that health workforce density increases with </w:t>
      </w:r>
      <w:r w:rsidR="00801A97">
        <w:t xml:space="preserve">an </w:t>
      </w:r>
      <w:r>
        <w:t>increase in government expenditure</w:t>
      </w:r>
      <w:r w:rsidR="00801A97">
        <w:t>,</w:t>
      </w:r>
      <w:r>
        <w:t xml:space="preserve"> although not linearly. Figure 5b) </w:t>
      </w:r>
      <w:r w:rsidR="00801A97">
        <w:t>shows</w:t>
      </w:r>
      <w:r>
        <w:t xml:space="preserve"> that health workforce elasticity levels increase and decrease at different levels of GGHED, with </w:t>
      </w:r>
      <w:r w:rsidR="00A13E82">
        <w:t xml:space="preserve">local </w:t>
      </w:r>
      <w:r>
        <w:t>optim</w:t>
      </w:r>
      <w:r w:rsidR="00A13E82">
        <w:t>um</w:t>
      </w:r>
      <w:r>
        <w:t xml:space="preserve"> GGHED levels per capita recorded at $40.75, $186.83, and $438.41, responding to a</w:t>
      </w:r>
      <w:r w:rsidR="00A13E82">
        <w:t xml:space="preserve"> local optimum</w:t>
      </w:r>
      <w:r>
        <w:t xml:space="preserve"> total of 21.12, 43.46, and 72.88 </w:t>
      </w:r>
      <w:r w:rsidR="00801A97">
        <w:t xml:space="preserve">doctors, nurses, midwives, pharmacists, and dentists collectively </w:t>
      </w:r>
      <w:r>
        <w:t>per 10,000 population</w:t>
      </w:r>
      <w:r w:rsidR="00801A97">
        <w:t>,</w:t>
      </w:r>
      <w:r>
        <w:t xml:space="preserve"> respectively. </w:t>
      </w:r>
    </w:p>
    <w:p w14:paraId="3D749817" w14:textId="4BD41E57" w:rsidR="0059468E" w:rsidRDefault="00F13DF0" w:rsidP="00184C47">
      <w:pPr>
        <w:jc w:val="both"/>
      </w:pPr>
      <w:r>
        <w:t xml:space="preserve">From our results in the first section, we found that to </w:t>
      </w:r>
      <w:r w:rsidR="00801A97">
        <w:t xml:space="preserve">collectively </w:t>
      </w:r>
      <w:r>
        <w:t xml:space="preserve">achieve optimal health </w:t>
      </w:r>
      <w:r w:rsidR="00801A97">
        <w:t xml:space="preserve">outcomes, such as increased life expectancy, improved health coverage, and reduced maternal and infant mortality ratios, we need an average of 78.16 doctors, nurses, midwives, pharmacists, and dentists collectively. This results in a GGHED of $449.23 per capita. Hence, governments that </w:t>
      </w:r>
      <w:r w:rsidR="00251A71">
        <w:t>plough</w:t>
      </w:r>
      <w:r w:rsidR="00801A97">
        <w:t xml:space="preserve"> in an amount of $449.23 per capita towards their current health expenditure </w:t>
      </w:r>
      <w:r w:rsidR="00251A71">
        <w:t xml:space="preserve">are set to see optimal health outcomes. However, for governments that are unable to reach these </w:t>
      </w:r>
      <w:r w:rsidR="00A13E82">
        <w:t>GGHED</w:t>
      </w:r>
      <w:r w:rsidR="00894907">
        <w:t xml:space="preserve"> </w:t>
      </w:r>
      <w:r w:rsidR="00251A71">
        <w:t>levels</w:t>
      </w:r>
      <w:r w:rsidR="00A13E82">
        <w:t xml:space="preserve"> </w:t>
      </w:r>
      <w:r w:rsidR="00251A71">
        <w:t xml:space="preserve">can work hard towards achieving the local </w:t>
      </w:r>
      <w:r w:rsidR="00A13E82">
        <w:t>optimum</w:t>
      </w:r>
      <w:r w:rsidR="00251A71">
        <w:t xml:space="preserve"> levels</w:t>
      </w:r>
      <w:r w:rsidR="00A13E82">
        <w:t>, either at</w:t>
      </w:r>
      <w:r w:rsidR="00894907">
        <w:t xml:space="preserve"> </w:t>
      </w:r>
      <w:r w:rsidR="00251A71">
        <w:t>$40.75 per capita, or $186.83 per capita, or $438.41 per capita.</w:t>
      </w:r>
    </w:p>
    <w:p w14:paraId="23F997F8" w14:textId="6EF80696" w:rsidR="00BF7536" w:rsidRDefault="006712A2" w:rsidP="00BF7536">
      <w:pPr>
        <w:jc w:val="both"/>
        <w:rPr>
          <w:b/>
          <w:bCs/>
          <w:color w:val="EE0000"/>
        </w:rPr>
      </w:pPr>
      <w:r>
        <w:rPr>
          <w:b/>
          <w:bCs/>
          <w:color w:val="EE0000"/>
        </w:rPr>
        <w:t>R</w:t>
      </w:r>
      <w:r w:rsidR="00BF7536">
        <w:rPr>
          <w:b/>
          <w:bCs/>
          <w:color w:val="EE0000"/>
        </w:rPr>
        <w:t>eferences</w:t>
      </w:r>
    </w:p>
    <w:p w14:paraId="7785AEDA" w14:textId="4BB2E628" w:rsidR="00BF7536" w:rsidRDefault="00BF7536" w:rsidP="00BF7536">
      <w:pPr>
        <w:pStyle w:val="ListParagraph"/>
        <w:numPr>
          <w:ilvl w:val="0"/>
          <w:numId w:val="4"/>
        </w:numPr>
        <w:ind w:left="360"/>
        <w:jc w:val="both"/>
      </w:pPr>
      <w:r w:rsidRPr="00BF7536">
        <w:t xml:space="preserve">Ahmat, A., </w:t>
      </w:r>
      <w:proofErr w:type="spellStart"/>
      <w:r w:rsidRPr="00BF7536">
        <w:t>Asamani</w:t>
      </w:r>
      <w:proofErr w:type="spellEnd"/>
      <w:r w:rsidRPr="00BF7536">
        <w:t xml:space="preserve">, J. A., </w:t>
      </w:r>
      <w:proofErr w:type="spellStart"/>
      <w:r w:rsidRPr="00BF7536">
        <w:t>Illou</w:t>
      </w:r>
      <w:proofErr w:type="spellEnd"/>
      <w:r w:rsidRPr="00BF7536">
        <w:t xml:space="preserve">, M. M. A., Millogo, J. J. S., Okoroafor, S. C., </w:t>
      </w:r>
      <w:proofErr w:type="spellStart"/>
      <w:r w:rsidRPr="00BF7536">
        <w:t>Nabyonga</w:t>
      </w:r>
      <w:proofErr w:type="spellEnd"/>
      <w:r w:rsidRPr="00BF7536">
        <w:t>-Orem, J., ... &amp; Nyoni, J. (2022). Estimating the threshold of health workforce densities towards universal health coverage in Africa. </w:t>
      </w:r>
      <w:r w:rsidRPr="00BF7536">
        <w:rPr>
          <w:i/>
          <w:iCs/>
        </w:rPr>
        <w:t>BMJ Global Health</w:t>
      </w:r>
      <w:r w:rsidRPr="00BF7536">
        <w:t>, </w:t>
      </w:r>
      <w:r w:rsidRPr="00BF7536">
        <w:rPr>
          <w:i/>
          <w:iCs/>
        </w:rPr>
        <w:t>7</w:t>
      </w:r>
      <w:r w:rsidRPr="00BF7536">
        <w:t>(Suppl 1), e008310.</w:t>
      </w:r>
    </w:p>
    <w:p w14:paraId="70FCCFA0" w14:textId="2089B882" w:rsidR="00803122" w:rsidRDefault="00BF7536" w:rsidP="00BF7536">
      <w:pPr>
        <w:pStyle w:val="ListParagraph"/>
        <w:numPr>
          <w:ilvl w:val="0"/>
          <w:numId w:val="4"/>
        </w:numPr>
        <w:ind w:left="360"/>
        <w:jc w:val="both"/>
      </w:pPr>
      <w:r w:rsidRPr="00BF7536">
        <w:t>World Health Organization. (2025). </w:t>
      </w:r>
      <w:r w:rsidRPr="00BF7536">
        <w:rPr>
          <w:i/>
          <w:iCs/>
        </w:rPr>
        <w:t>World health statistics 2025: monitoring health for the SDGs, Sustainable Development Goals</w:t>
      </w:r>
      <w:r w:rsidRPr="00BF7536">
        <w:t>. World Health Organization.</w:t>
      </w:r>
    </w:p>
    <w:p w14:paraId="5E78201A" w14:textId="77777777" w:rsidR="00803122" w:rsidRDefault="00803122">
      <w:r>
        <w:br w:type="page"/>
      </w:r>
    </w:p>
    <w:p w14:paraId="67897CE8" w14:textId="06058BF2" w:rsidR="00BF7536" w:rsidRPr="00803122" w:rsidRDefault="00803122" w:rsidP="00803122">
      <w:pPr>
        <w:pStyle w:val="ListParagraph"/>
        <w:ind w:left="360"/>
        <w:rPr>
          <w:b/>
          <w:bCs/>
          <w:color w:val="4472C4" w:themeColor="accent1"/>
          <w:sz w:val="52"/>
          <w:szCs w:val="52"/>
        </w:rPr>
      </w:pPr>
      <w:r w:rsidRPr="00803122">
        <w:rPr>
          <w:b/>
          <w:bCs/>
          <w:color w:val="4472C4" w:themeColor="accent1"/>
          <w:sz w:val="52"/>
          <w:szCs w:val="52"/>
        </w:rPr>
        <w:lastRenderedPageBreak/>
        <w:t>Investing in Health Systems Dashboard</w:t>
      </w:r>
    </w:p>
    <w:p w14:paraId="52578592" w14:textId="5E1ECA95" w:rsidR="00803122" w:rsidRDefault="00803122" w:rsidP="00803122">
      <w:pPr>
        <w:jc w:val="both"/>
      </w:pPr>
      <w:r w:rsidRPr="00803122">
        <w:drawing>
          <wp:inline distT="0" distB="0" distL="0" distR="0" wp14:anchorId="5E4E90B7" wp14:editId="0465BA7C">
            <wp:extent cx="5943600" cy="2889250"/>
            <wp:effectExtent l="0" t="0" r="0" b="6350"/>
            <wp:docPr id="211197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5183" name=""/>
                    <pic:cNvPicPr/>
                  </pic:nvPicPr>
                  <pic:blipFill>
                    <a:blip r:embed="rId12"/>
                    <a:stretch>
                      <a:fillRect/>
                    </a:stretch>
                  </pic:blipFill>
                  <pic:spPr>
                    <a:xfrm>
                      <a:off x="0" y="0"/>
                      <a:ext cx="5943600" cy="2889250"/>
                    </a:xfrm>
                    <a:prstGeom prst="rect">
                      <a:avLst/>
                    </a:prstGeom>
                  </pic:spPr>
                </pic:pic>
              </a:graphicData>
            </a:graphic>
          </wp:inline>
        </w:drawing>
      </w:r>
    </w:p>
    <w:p w14:paraId="3FA13AB5" w14:textId="77777777" w:rsidR="00803122" w:rsidRDefault="00803122" w:rsidP="00803122">
      <w:pPr>
        <w:jc w:val="both"/>
      </w:pPr>
    </w:p>
    <w:p w14:paraId="28D1515F" w14:textId="193015A4" w:rsidR="00803122" w:rsidRDefault="00803122" w:rsidP="00803122">
      <w:pPr>
        <w:jc w:val="both"/>
      </w:pPr>
      <w:r w:rsidRPr="00803122">
        <w:drawing>
          <wp:inline distT="0" distB="0" distL="0" distR="0" wp14:anchorId="64BAEC79" wp14:editId="57E47D72">
            <wp:extent cx="5943600" cy="2910840"/>
            <wp:effectExtent l="0" t="0" r="0" b="3810"/>
            <wp:docPr id="1944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3800" name=""/>
                    <pic:cNvPicPr/>
                  </pic:nvPicPr>
                  <pic:blipFill>
                    <a:blip r:embed="rId13"/>
                    <a:stretch>
                      <a:fillRect/>
                    </a:stretch>
                  </pic:blipFill>
                  <pic:spPr>
                    <a:xfrm>
                      <a:off x="0" y="0"/>
                      <a:ext cx="5943600" cy="2910840"/>
                    </a:xfrm>
                    <a:prstGeom prst="rect">
                      <a:avLst/>
                    </a:prstGeom>
                  </pic:spPr>
                </pic:pic>
              </a:graphicData>
            </a:graphic>
          </wp:inline>
        </w:drawing>
      </w:r>
    </w:p>
    <w:p w14:paraId="5E3BEEF8" w14:textId="77777777" w:rsidR="00803122" w:rsidRDefault="00803122" w:rsidP="00803122">
      <w:pPr>
        <w:jc w:val="both"/>
      </w:pPr>
    </w:p>
    <w:p w14:paraId="3B2662BB" w14:textId="03D27FB7" w:rsidR="00803122" w:rsidRDefault="00803122" w:rsidP="00803122">
      <w:pPr>
        <w:jc w:val="both"/>
      </w:pPr>
      <w:r w:rsidRPr="00803122">
        <w:lastRenderedPageBreak/>
        <w:drawing>
          <wp:inline distT="0" distB="0" distL="0" distR="0" wp14:anchorId="3D7A4847" wp14:editId="5C9A6C2D">
            <wp:extent cx="5943600" cy="2903855"/>
            <wp:effectExtent l="0" t="0" r="0" b="0"/>
            <wp:docPr id="157211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1627" name=""/>
                    <pic:cNvPicPr/>
                  </pic:nvPicPr>
                  <pic:blipFill>
                    <a:blip r:embed="rId14"/>
                    <a:stretch>
                      <a:fillRect/>
                    </a:stretch>
                  </pic:blipFill>
                  <pic:spPr>
                    <a:xfrm>
                      <a:off x="0" y="0"/>
                      <a:ext cx="5943600" cy="2903855"/>
                    </a:xfrm>
                    <a:prstGeom prst="rect">
                      <a:avLst/>
                    </a:prstGeom>
                  </pic:spPr>
                </pic:pic>
              </a:graphicData>
            </a:graphic>
          </wp:inline>
        </w:drawing>
      </w:r>
    </w:p>
    <w:p w14:paraId="287A3C0C" w14:textId="77777777" w:rsidR="00803122" w:rsidRDefault="00803122" w:rsidP="00803122">
      <w:pPr>
        <w:jc w:val="both"/>
      </w:pPr>
    </w:p>
    <w:p w14:paraId="3EBF8D28" w14:textId="243166DD" w:rsidR="00803122" w:rsidRDefault="00803122" w:rsidP="00803122">
      <w:pPr>
        <w:jc w:val="both"/>
      </w:pPr>
      <w:r w:rsidRPr="00803122">
        <w:drawing>
          <wp:inline distT="0" distB="0" distL="0" distR="0" wp14:anchorId="1643E1F0" wp14:editId="1FA4E4D2">
            <wp:extent cx="5943600" cy="2869565"/>
            <wp:effectExtent l="0" t="0" r="0" b="6985"/>
            <wp:docPr id="65282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29606" name=""/>
                    <pic:cNvPicPr/>
                  </pic:nvPicPr>
                  <pic:blipFill>
                    <a:blip r:embed="rId15"/>
                    <a:stretch>
                      <a:fillRect/>
                    </a:stretch>
                  </pic:blipFill>
                  <pic:spPr>
                    <a:xfrm>
                      <a:off x="0" y="0"/>
                      <a:ext cx="5943600" cy="2869565"/>
                    </a:xfrm>
                    <a:prstGeom prst="rect">
                      <a:avLst/>
                    </a:prstGeom>
                  </pic:spPr>
                </pic:pic>
              </a:graphicData>
            </a:graphic>
          </wp:inline>
        </w:drawing>
      </w:r>
    </w:p>
    <w:p w14:paraId="3CD82C0B" w14:textId="77777777" w:rsidR="00803122" w:rsidRDefault="00803122" w:rsidP="00803122">
      <w:pPr>
        <w:jc w:val="both"/>
      </w:pPr>
    </w:p>
    <w:p w14:paraId="1600B0CD" w14:textId="7CA4BB6C" w:rsidR="00803122" w:rsidRDefault="00803122" w:rsidP="00803122">
      <w:pPr>
        <w:jc w:val="both"/>
      </w:pPr>
      <w:r w:rsidRPr="00803122">
        <w:lastRenderedPageBreak/>
        <w:drawing>
          <wp:inline distT="0" distB="0" distL="0" distR="0" wp14:anchorId="56B706FC" wp14:editId="479743B7">
            <wp:extent cx="5943600" cy="2870835"/>
            <wp:effectExtent l="0" t="0" r="0" b="5715"/>
            <wp:docPr id="102063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9406" name=""/>
                    <pic:cNvPicPr/>
                  </pic:nvPicPr>
                  <pic:blipFill>
                    <a:blip r:embed="rId16"/>
                    <a:stretch>
                      <a:fillRect/>
                    </a:stretch>
                  </pic:blipFill>
                  <pic:spPr>
                    <a:xfrm>
                      <a:off x="0" y="0"/>
                      <a:ext cx="5943600" cy="2870835"/>
                    </a:xfrm>
                    <a:prstGeom prst="rect">
                      <a:avLst/>
                    </a:prstGeom>
                  </pic:spPr>
                </pic:pic>
              </a:graphicData>
            </a:graphic>
          </wp:inline>
        </w:drawing>
      </w:r>
    </w:p>
    <w:p w14:paraId="47F1D8E1" w14:textId="77777777" w:rsidR="00803122" w:rsidRDefault="00803122" w:rsidP="00803122">
      <w:pPr>
        <w:jc w:val="both"/>
      </w:pPr>
    </w:p>
    <w:p w14:paraId="17FF2CA5" w14:textId="262744FA" w:rsidR="00803122" w:rsidRDefault="00803122" w:rsidP="00803122">
      <w:pPr>
        <w:jc w:val="both"/>
      </w:pPr>
      <w:r w:rsidRPr="00803122">
        <w:drawing>
          <wp:inline distT="0" distB="0" distL="0" distR="0" wp14:anchorId="4B8E00FD" wp14:editId="538D930C">
            <wp:extent cx="5943600" cy="2858770"/>
            <wp:effectExtent l="0" t="0" r="0" b="0"/>
            <wp:docPr id="8413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42869" name=""/>
                    <pic:cNvPicPr/>
                  </pic:nvPicPr>
                  <pic:blipFill>
                    <a:blip r:embed="rId17"/>
                    <a:stretch>
                      <a:fillRect/>
                    </a:stretch>
                  </pic:blipFill>
                  <pic:spPr>
                    <a:xfrm>
                      <a:off x="0" y="0"/>
                      <a:ext cx="5943600" cy="2858770"/>
                    </a:xfrm>
                    <a:prstGeom prst="rect">
                      <a:avLst/>
                    </a:prstGeom>
                  </pic:spPr>
                </pic:pic>
              </a:graphicData>
            </a:graphic>
          </wp:inline>
        </w:drawing>
      </w:r>
    </w:p>
    <w:p w14:paraId="61CF340F" w14:textId="77777777" w:rsidR="00803122" w:rsidRDefault="00803122" w:rsidP="00803122">
      <w:pPr>
        <w:jc w:val="both"/>
      </w:pPr>
    </w:p>
    <w:p w14:paraId="6C4B5046" w14:textId="77777777" w:rsidR="00803122" w:rsidRPr="00BF7536" w:rsidRDefault="00803122" w:rsidP="00803122">
      <w:pPr>
        <w:jc w:val="both"/>
      </w:pPr>
    </w:p>
    <w:sectPr w:rsidR="00803122" w:rsidRPr="00BF7536" w:rsidSect="00ED3774">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19A4" w14:textId="77777777" w:rsidR="008A6239" w:rsidRDefault="008A6239" w:rsidP="00BB4840">
      <w:pPr>
        <w:spacing w:after="0" w:line="240" w:lineRule="auto"/>
      </w:pPr>
      <w:r>
        <w:separator/>
      </w:r>
    </w:p>
  </w:endnote>
  <w:endnote w:type="continuationSeparator" w:id="0">
    <w:p w14:paraId="30FDCBF4" w14:textId="77777777" w:rsidR="008A6239" w:rsidRDefault="008A6239" w:rsidP="00BB4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1FC3" w14:textId="77777777" w:rsidR="008A6239" w:rsidRDefault="008A6239" w:rsidP="00BB4840">
      <w:pPr>
        <w:spacing w:after="0" w:line="240" w:lineRule="auto"/>
      </w:pPr>
      <w:r>
        <w:separator/>
      </w:r>
    </w:p>
  </w:footnote>
  <w:footnote w:type="continuationSeparator" w:id="0">
    <w:p w14:paraId="1C9FDAA2" w14:textId="77777777" w:rsidR="008A6239" w:rsidRDefault="008A6239" w:rsidP="00BB4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CEA"/>
    <w:multiLevelType w:val="hybridMultilevel"/>
    <w:tmpl w:val="EDAC9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919D1"/>
    <w:multiLevelType w:val="hybridMultilevel"/>
    <w:tmpl w:val="4CC697A4"/>
    <w:lvl w:ilvl="0" w:tplc="0736FBE6">
      <w:start w:val="1"/>
      <w:numFmt w:val="bullet"/>
      <w:lvlText w:val="•"/>
      <w:lvlJc w:val="left"/>
      <w:pPr>
        <w:tabs>
          <w:tab w:val="num" w:pos="720"/>
        </w:tabs>
        <w:ind w:left="720" w:hanging="360"/>
      </w:pPr>
      <w:rPr>
        <w:rFonts w:ascii="Arial" w:hAnsi="Arial" w:hint="default"/>
      </w:rPr>
    </w:lvl>
    <w:lvl w:ilvl="1" w:tplc="54FC9A58" w:tentative="1">
      <w:start w:val="1"/>
      <w:numFmt w:val="bullet"/>
      <w:lvlText w:val="•"/>
      <w:lvlJc w:val="left"/>
      <w:pPr>
        <w:tabs>
          <w:tab w:val="num" w:pos="1440"/>
        </w:tabs>
        <w:ind w:left="1440" w:hanging="360"/>
      </w:pPr>
      <w:rPr>
        <w:rFonts w:ascii="Arial" w:hAnsi="Arial" w:hint="default"/>
      </w:rPr>
    </w:lvl>
    <w:lvl w:ilvl="2" w:tplc="A002D5BE" w:tentative="1">
      <w:start w:val="1"/>
      <w:numFmt w:val="bullet"/>
      <w:lvlText w:val="•"/>
      <w:lvlJc w:val="left"/>
      <w:pPr>
        <w:tabs>
          <w:tab w:val="num" w:pos="2160"/>
        </w:tabs>
        <w:ind w:left="2160" w:hanging="360"/>
      </w:pPr>
      <w:rPr>
        <w:rFonts w:ascii="Arial" w:hAnsi="Arial" w:hint="default"/>
      </w:rPr>
    </w:lvl>
    <w:lvl w:ilvl="3" w:tplc="79CE50D2" w:tentative="1">
      <w:start w:val="1"/>
      <w:numFmt w:val="bullet"/>
      <w:lvlText w:val="•"/>
      <w:lvlJc w:val="left"/>
      <w:pPr>
        <w:tabs>
          <w:tab w:val="num" w:pos="2880"/>
        </w:tabs>
        <w:ind w:left="2880" w:hanging="360"/>
      </w:pPr>
      <w:rPr>
        <w:rFonts w:ascii="Arial" w:hAnsi="Arial" w:hint="default"/>
      </w:rPr>
    </w:lvl>
    <w:lvl w:ilvl="4" w:tplc="132E14FC" w:tentative="1">
      <w:start w:val="1"/>
      <w:numFmt w:val="bullet"/>
      <w:lvlText w:val="•"/>
      <w:lvlJc w:val="left"/>
      <w:pPr>
        <w:tabs>
          <w:tab w:val="num" w:pos="3600"/>
        </w:tabs>
        <w:ind w:left="3600" w:hanging="360"/>
      </w:pPr>
      <w:rPr>
        <w:rFonts w:ascii="Arial" w:hAnsi="Arial" w:hint="default"/>
      </w:rPr>
    </w:lvl>
    <w:lvl w:ilvl="5" w:tplc="90720782" w:tentative="1">
      <w:start w:val="1"/>
      <w:numFmt w:val="bullet"/>
      <w:lvlText w:val="•"/>
      <w:lvlJc w:val="left"/>
      <w:pPr>
        <w:tabs>
          <w:tab w:val="num" w:pos="4320"/>
        </w:tabs>
        <w:ind w:left="4320" w:hanging="360"/>
      </w:pPr>
      <w:rPr>
        <w:rFonts w:ascii="Arial" w:hAnsi="Arial" w:hint="default"/>
      </w:rPr>
    </w:lvl>
    <w:lvl w:ilvl="6" w:tplc="85FA72BE" w:tentative="1">
      <w:start w:val="1"/>
      <w:numFmt w:val="bullet"/>
      <w:lvlText w:val="•"/>
      <w:lvlJc w:val="left"/>
      <w:pPr>
        <w:tabs>
          <w:tab w:val="num" w:pos="5040"/>
        </w:tabs>
        <w:ind w:left="5040" w:hanging="360"/>
      </w:pPr>
      <w:rPr>
        <w:rFonts w:ascii="Arial" w:hAnsi="Arial" w:hint="default"/>
      </w:rPr>
    </w:lvl>
    <w:lvl w:ilvl="7" w:tplc="4B2647DC" w:tentative="1">
      <w:start w:val="1"/>
      <w:numFmt w:val="bullet"/>
      <w:lvlText w:val="•"/>
      <w:lvlJc w:val="left"/>
      <w:pPr>
        <w:tabs>
          <w:tab w:val="num" w:pos="5760"/>
        </w:tabs>
        <w:ind w:left="5760" w:hanging="360"/>
      </w:pPr>
      <w:rPr>
        <w:rFonts w:ascii="Arial" w:hAnsi="Arial" w:hint="default"/>
      </w:rPr>
    </w:lvl>
    <w:lvl w:ilvl="8" w:tplc="2E9C7F5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137F7E"/>
    <w:multiLevelType w:val="hybridMultilevel"/>
    <w:tmpl w:val="D8A00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811A7E"/>
    <w:multiLevelType w:val="hybridMultilevel"/>
    <w:tmpl w:val="6E60F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1B2E2B"/>
    <w:multiLevelType w:val="hybridMultilevel"/>
    <w:tmpl w:val="54B8AD92"/>
    <w:lvl w:ilvl="0" w:tplc="35F8C254">
      <w:start w:val="1"/>
      <w:numFmt w:val="bullet"/>
      <w:lvlText w:val="•"/>
      <w:lvlJc w:val="left"/>
      <w:pPr>
        <w:tabs>
          <w:tab w:val="num" w:pos="720"/>
        </w:tabs>
        <w:ind w:left="720" w:hanging="360"/>
      </w:pPr>
      <w:rPr>
        <w:rFonts w:ascii="Arial" w:hAnsi="Arial" w:hint="default"/>
      </w:rPr>
    </w:lvl>
    <w:lvl w:ilvl="1" w:tplc="96E2E76E" w:tentative="1">
      <w:start w:val="1"/>
      <w:numFmt w:val="bullet"/>
      <w:lvlText w:val="•"/>
      <w:lvlJc w:val="left"/>
      <w:pPr>
        <w:tabs>
          <w:tab w:val="num" w:pos="1440"/>
        </w:tabs>
        <w:ind w:left="1440" w:hanging="360"/>
      </w:pPr>
      <w:rPr>
        <w:rFonts w:ascii="Arial" w:hAnsi="Arial" w:hint="default"/>
      </w:rPr>
    </w:lvl>
    <w:lvl w:ilvl="2" w:tplc="1F12696C" w:tentative="1">
      <w:start w:val="1"/>
      <w:numFmt w:val="bullet"/>
      <w:lvlText w:val="•"/>
      <w:lvlJc w:val="left"/>
      <w:pPr>
        <w:tabs>
          <w:tab w:val="num" w:pos="2160"/>
        </w:tabs>
        <w:ind w:left="2160" w:hanging="360"/>
      </w:pPr>
      <w:rPr>
        <w:rFonts w:ascii="Arial" w:hAnsi="Arial" w:hint="default"/>
      </w:rPr>
    </w:lvl>
    <w:lvl w:ilvl="3" w:tplc="B556251C" w:tentative="1">
      <w:start w:val="1"/>
      <w:numFmt w:val="bullet"/>
      <w:lvlText w:val="•"/>
      <w:lvlJc w:val="left"/>
      <w:pPr>
        <w:tabs>
          <w:tab w:val="num" w:pos="2880"/>
        </w:tabs>
        <w:ind w:left="2880" w:hanging="360"/>
      </w:pPr>
      <w:rPr>
        <w:rFonts w:ascii="Arial" w:hAnsi="Arial" w:hint="default"/>
      </w:rPr>
    </w:lvl>
    <w:lvl w:ilvl="4" w:tplc="E6E6C44A" w:tentative="1">
      <w:start w:val="1"/>
      <w:numFmt w:val="bullet"/>
      <w:lvlText w:val="•"/>
      <w:lvlJc w:val="left"/>
      <w:pPr>
        <w:tabs>
          <w:tab w:val="num" w:pos="3600"/>
        </w:tabs>
        <w:ind w:left="3600" w:hanging="360"/>
      </w:pPr>
      <w:rPr>
        <w:rFonts w:ascii="Arial" w:hAnsi="Arial" w:hint="default"/>
      </w:rPr>
    </w:lvl>
    <w:lvl w:ilvl="5" w:tplc="E30CEA9C" w:tentative="1">
      <w:start w:val="1"/>
      <w:numFmt w:val="bullet"/>
      <w:lvlText w:val="•"/>
      <w:lvlJc w:val="left"/>
      <w:pPr>
        <w:tabs>
          <w:tab w:val="num" w:pos="4320"/>
        </w:tabs>
        <w:ind w:left="4320" w:hanging="360"/>
      </w:pPr>
      <w:rPr>
        <w:rFonts w:ascii="Arial" w:hAnsi="Arial" w:hint="default"/>
      </w:rPr>
    </w:lvl>
    <w:lvl w:ilvl="6" w:tplc="288E4BCA" w:tentative="1">
      <w:start w:val="1"/>
      <w:numFmt w:val="bullet"/>
      <w:lvlText w:val="•"/>
      <w:lvlJc w:val="left"/>
      <w:pPr>
        <w:tabs>
          <w:tab w:val="num" w:pos="5040"/>
        </w:tabs>
        <w:ind w:left="5040" w:hanging="360"/>
      </w:pPr>
      <w:rPr>
        <w:rFonts w:ascii="Arial" w:hAnsi="Arial" w:hint="default"/>
      </w:rPr>
    </w:lvl>
    <w:lvl w:ilvl="7" w:tplc="F942F63C" w:tentative="1">
      <w:start w:val="1"/>
      <w:numFmt w:val="bullet"/>
      <w:lvlText w:val="•"/>
      <w:lvlJc w:val="left"/>
      <w:pPr>
        <w:tabs>
          <w:tab w:val="num" w:pos="5760"/>
        </w:tabs>
        <w:ind w:left="5760" w:hanging="360"/>
      </w:pPr>
      <w:rPr>
        <w:rFonts w:ascii="Arial" w:hAnsi="Arial" w:hint="default"/>
      </w:rPr>
    </w:lvl>
    <w:lvl w:ilvl="8" w:tplc="E20EB74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FD3221E"/>
    <w:multiLevelType w:val="multilevel"/>
    <w:tmpl w:val="264A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522FA8"/>
    <w:multiLevelType w:val="multilevel"/>
    <w:tmpl w:val="19B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85232"/>
    <w:multiLevelType w:val="hybridMultilevel"/>
    <w:tmpl w:val="BAEEB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5C20ED"/>
    <w:multiLevelType w:val="hybridMultilevel"/>
    <w:tmpl w:val="D8A00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2513010">
    <w:abstractNumId w:val="4"/>
  </w:num>
  <w:num w:numId="2" w16cid:durableId="1148716060">
    <w:abstractNumId w:val="1"/>
  </w:num>
  <w:num w:numId="3" w16cid:durableId="530530844">
    <w:abstractNumId w:val="0"/>
  </w:num>
  <w:num w:numId="4" w16cid:durableId="508494392">
    <w:abstractNumId w:val="7"/>
  </w:num>
  <w:num w:numId="5" w16cid:durableId="1170876566">
    <w:abstractNumId w:val="3"/>
  </w:num>
  <w:num w:numId="6" w16cid:durableId="1536851077">
    <w:abstractNumId w:val="5"/>
  </w:num>
  <w:num w:numId="7" w16cid:durableId="430704997">
    <w:abstractNumId w:val="6"/>
  </w:num>
  <w:num w:numId="8" w16cid:durableId="1031607956">
    <w:abstractNumId w:val="2"/>
  </w:num>
  <w:num w:numId="9" w16cid:durableId="18616954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DDA"/>
    <w:rsid w:val="00003A7A"/>
    <w:rsid w:val="00003C2E"/>
    <w:rsid w:val="00004BCF"/>
    <w:rsid w:val="00014A75"/>
    <w:rsid w:val="000230F7"/>
    <w:rsid w:val="0002795A"/>
    <w:rsid w:val="00045BEF"/>
    <w:rsid w:val="00050DFA"/>
    <w:rsid w:val="00064FBE"/>
    <w:rsid w:val="00065196"/>
    <w:rsid w:val="00085835"/>
    <w:rsid w:val="00085D93"/>
    <w:rsid w:val="00092A65"/>
    <w:rsid w:val="000A288B"/>
    <w:rsid w:val="000A37EE"/>
    <w:rsid w:val="000B4F07"/>
    <w:rsid w:val="000D6207"/>
    <w:rsid w:val="000D7D92"/>
    <w:rsid w:val="001000C2"/>
    <w:rsid w:val="0010200F"/>
    <w:rsid w:val="001039CC"/>
    <w:rsid w:val="00126A81"/>
    <w:rsid w:val="00127451"/>
    <w:rsid w:val="001309FB"/>
    <w:rsid w:val="001831C9"/>
    <w:rsid w:val="00184C47"/>
    <w:rsid w:val="00197657"/>
    <w:rsid w:val="001C52F4"/>
    <w:rsid w:val="001D2E8F"/>
    <w:rsid w:val="001D4078"/>
    <w:rsid w:val="001D6D73"/>
    <w:rsid w:val="001E2432"/>
    <w:rsid w:val="00213861"/>
    <w:rsid w:val="00240C8E"/>
    <w:rsid w:val="00241B90"/>
    <w:rsid w:val="00251A71"/>
    <w:rsid w:val="002603FF"/>
    <w:rsid w:val="0026657E"/>
    <w:rsid w:val="00273A1A"/>
    <w:rsid w:val="00274813"/>
    <w:rsid w:val="00285D31"/>
    <w:rsid w:val="002868D7"/>
    <w:rsid w:val="002B51E3"/>
    <w:rsid w:val="002D1FE4"/>
    <w:rsid w:val="002D5B45"/>
    <w:rsid w:val="002F0D2C"/>
    <w:rsid w:val="003212F0"/>
    <w:rsid w:val="00326393"/>
    <w:rsid w:val="00334150"/>
    <w:rsid w:val="00337C85"/>
    <w:rsid w:val="00342177"/>
    <w:rsid w:val="00343F1E"/>
    <w:rsid w:val="00361AD1"/>
    <w:rsid w:val="00392D59"/>
    <w:rsid w:val="00393825"/>
    <w:rsid w:val="003A44F8"/>
    <w:rsid w:val="003B2E60"/>
    <w:rsid w:val="003C2F57"/>
    <w:rsid w:val="003C3332"/>
    <w:rsid w:val="003C5D30"/>
    <w:rsid w:val="003E23B3"/>
    <w:rsid w:val="003E7B24"/>
    <w:rsid w:val="003F282A"/>
    <w:rsid w:val="004021A5"/>
    <w:rsid w:val="00402FF8"/>
    <w:rsid w:val="004031BA"/>
    <w:rsid w:val="004310D3"/>
    <w:rsid w:val="004475FC"/>
    <w:rsid w:val="00452310"/>
    <w:rsid w:val="00460148"/>
    <w:rsid w:val="00465C15"/>
    <w:rsid w:val="004744A5"/>
    <w:rsid w:val="00490035"/>
    <w:rsid w:val="004A52FA"/>
    <w:rsid w:val="004A6FA4"/>
    <w:rsid w:val="004A7AEA"/>
    <w:rsid w:val="004B0453"/>
    <w:rsid w:val="004B3255"/>
    <w:rsid w:val="004B46F8"/>
    <w:rsid w:val="004B6BBA"/>
    <w:rsid w:val="004D5096"/>
    <w:rsid w:val="004D6DA6"/>
    <w:rsid w:val="004E780C"/>
    <w:rsid w:val="004F16A0"/>
    <w:rsid w:val="00500B9E"/>
    <w:rsid w:val="005056F2"/>
    <w:rsid w:val="0051560F"/>
    <w:rsid w:val="00533EB5"/>
    <w:rsid w:val="0054361B"/>
    <w:rsid w:val="00543887"/>
    <w:rsid w:val="005501DF"/>
    <w:rsid w:val="00552526"/>
    <w:rsid w:val="00561947"/>
    <w:rsid w:val="005624BE"/>
    <w:rsid w:val="0058103D"/>
    <w:rsid w:val="005854E7"/>
    <w:rsid w:val="00594515"/>
    <w:rsid w:val="0059468E"/>
    <w:rsid w:val="005B065E"/>
    <w:rsid w:val="005B0680"/>
    <w:rsid w:val="005D19D5"/>
    <w:rsid w:val="005D1A5A"/>
    <w:rsid w:val="005D4798"/>
    <w:rsid w:val="005E4566"/>
    <w:rsid w:val="006108FA"/>
    <w:rsid w:val="006177FB"/>
    <w:rsid w:val="006238EC"/>
    <w:rsid w:val="00662ECF"/>
    <w:rsid w:val="0066491C"/>
    <w:rsid w:val="00670BD1"/>
    <w:rsid w:val="006712A2"/>
    <w:rsid w:val="006733EC"/>
    <w:rsid w:val="00673EF5"/>
    <w:rsid w:val="00693482"/>
    <w:rsid w:val="0069633A"/>
    <w:rsid w:val="006A683C"/>
    <w:rsid w:val="006B736F"/>
    <w:rsid w:val="006B7D95"/>
    <w:rsid w:val="006C4DF5"/>
    <w:rsid w:val="006D0511"/>
    <w:rsid w:val="006D6688"/>
    <w:rsid w:val="006E0C22"/>
    <w:rsid w:val="006F2572"/>
    <w:rsid w:val="006F6714"/>
    <w:rsid w:val="0070610F"/>
    <w:rsid w:val="00726022"/>
    <w:rsid w:val="007318B6"/>
    <w:rsid w:val="007342C3"/>
    <w:rsid w:val="00741D39"/>
    <w:rsid w:val="00752DB2"/>
    <w:rsid w:val="00762B96"/>
    <w:rsid w:val="0079061C"/>
    <w:rsid w:val="007A111D"/>
    <w:rsid w:val="007A1DA4"/>
    <w:rsid w:val="007A6C99"/>
    <w:rsid w:val="007A7C3C"/>
    <w:rsid w:val="007C2941"/>
    <w:rsid w:val="007C640A"/>
    <w:rsid w:val="007F2818"/>
    <w:rsid w:val="00801A97"/>
    <w:rsid w:val="00803122"/>
    <w:rsid w:val="008165D1"/>
    <w:rsid w:val="00826E0B"/>
    <w:rsid w:val="00855917"/>
    <w:rsid w:val="0088564F"/>
    <w:rsid w:val="00894907"/>
    <w:rsid w:val="008A1DB7"/>
    <w:rsid w:val="008A4F38"/>
    <w:rsid w:val="008A6239"/>
    <w:rsid w:val="008A6B44"/>
    <w:rsid w:val="008B212A"/>
    <w:rsid w:val="008B66FA"/>
    <w:rsid w:val="008B7281"/>
    <w:rsid w:val="008C4571"/>
    <w:rsid w:val="008D0BFA"/>
    <w:rsid w:val="008D169A"/>
    <w:rsid w:val="0090241B"/>
    <w:rsid w:val="00923BD4"/>
    <w:rsid w:val="00925CC6"/>
    <w:rsid w:val="00937592"/>
    <w:rsid w:val="009445BD"/>
    <w:rsid w:val="00945012"/>
    <w:rsid w:val="00956A87"/>
    <w:rsid w:val="00957834"/>
    <w:rsid w:val="009A67F7"/>
    <w:rsid w:val="009B0B4D"/>
    <w:rsid w:val="009B0D08"/>
    <w:rsid w:val="009B0DEF"/>
    <w:rsid w:val="009B4CB4"/>
    <w:rsid w:val="009C160E"/>
    <w:rsid w:val="009C17DE"/>
    <w:rsid w:val="009D5518"/>
    <w:rsid w:val="009E168D"/>
    <w:rsid w:val="009E5FA4"/>
    <w:rsid w:val="009F05CC"/>
    <w:rsid w:val="009F3939"/>
    <w:rsid w:val="009F55F9"/>
    <w:rsid w:val="00A13E82"/>
    <w:rsid w:val="00A315EC"/>
    <w:rsid w:val="00A420C2"/>
    <w:rsid w:val="00A46870"/>
    <w:rsid w:val="00A501F8"/>
    <w:rsid w:val="00A74CF1"/>
    <w:rsid w:val="00A902B2"/>
    <w:rsid w:val="00A96E0F"/>
    <w:rsid w:val="00AC6380"/>
    <w:rsid w:val="00AE4CBF"/>
    <w:rsid w:val="00AF420B"/>
    <w:rsid w:val="00AF7EE5"/>
    <w:rsid w:val="00B111C3"/>
    <w:rsid w:val="00B273F8"/>
    <w:rsid w:val="00B614D1"/>
    <w:rsid w:val="00B64DE8"/>
    <w:rsid w:val="00B730C1"/>
    <w:rsid w:val="00B82984"/>
    <w:rsid w:val="00B84AC5"/>
    <w:rsid w:val="00BA3541"/>
    <w:rsid w:val="00BB4840"/>
    <w:rsid w:val="00BE4284"/>
    <w:rsid w:val="00BF35B9"/>
    <w:rsid w:val="00BF7536"/>
    <w:rsid w:val="00C02DDA"/>
    <w:rsid w:val="00C06DE3"/>
    <w:rsid w:val="00C1481A"/>
    <w:rsid w:val="00C169A1"/>
    <w:rsid w:val="00C41EB0"/>
    <w:rsid w:val="00C43C1A"/>
    <w:rsid w:val="00C55CE1"/>
    <w:rsid w:val="00C572CE"/>
    <w:rsid w:val="00C70FC2"/>
    <w:rsid w:val="00C9271A"/>
    <w:rsid w:val="00C947E5"/>
    <w:rsid w:val="00CE670C"/>
    <w:rsid w:val="00CF6387"/>
    <w:rsid w:val="00D0025B"/>
    <w:rsid w:val="00D1190F"/>
    <w:rsid w:val="00D25C96"/>
    <w:rsid w:val="00D42355"/>
    <w:rsid w:val="00D42B6B"/>
    <w:rsid w:val="00D4377A"/>
    <w:rsid w:val="00D45D17"/>
    <w:rsid w:val="00D52087"/>
    <w:rsid w:val="00D83536"/>
    <w:rsid w:val="00DA3726"/>
    <w:rsid w:val="00DA7107"/>
    <w:rsid w:val="00DD4381"/>
    <w:rsid w:val="00DE3390"/>
    <w:rsid w:val="00DE3A79"/>
    <w:rsid w:val="00E03C80"/>
    <w:rsid w:val="00E07B9A"/>
    <w:rsid w:val="00E26749"/>
    <w:rsid w:val="00E3543F"/>
    <w:rsid w:val="00E35B15"/>
    <w:rsid w:val="00E44B18"/>
    <w:rsid w:val="00E50DF0"/>
    <w:rsid w:val="00E6182C"/>
    <w:rsid w:val="00E64130"/>
    <w:rsid w:val="00E706DA"/>
    <w:rsid w:val="00E774B1"/>
    <w:rsid w:val="00E93202"/>
    <w:rsid w:val="00E94603"/>
    <w:rsid w:val="00EA57B2"/>
    <w:rsid w:val="00EB4525"/>
    <w:rsid w:val="00EC6DBE"/>
    <w:rsid w:val="00ED3774"/>
    <w:rsid w:val="00ED6679"/>
    <w:rsid w:val="00EE37AC"/>
    <w:rsid w:val="00F0199B"/>
    <w:rsid w:val="00F02984"/>
    <w:rsid w:val="00F077B9"/>
    <w:rsid w:val="00F078E1"/>
    <w:rsid w:val="00F1114C"/>
    <w:rsid w:val="00F13DF0"/>
    <w:rsid w:val="00F42E0D"/>
    <w:rsid w:val="00F45B1C"/>
    <w:rsid w:val="00F538F1"/>
    <w:rsid w:val="00F73F60"/>
    <w:rsid w:val="00F8706C"/>
    <w:rsid w:val="00F9136D"/>
    <w:rsid w:val="00FA1F67"/>
    <w:rsid w:val="00FC27D6"/>
    <w:rsid w:val="00FD2708"/>
    <w:rsid w:val="00FD2730"/>
    <w:rsid w:val="00FF5F90"/>
    <w:rsid w:val="00FF7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B654"/>
  <w15:chartTrackingRefBased/>
  <w15:docId w15:val="{C26593A3-D589-4CB5-8842-2AA417426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DDA"/>
    <w:rPr>
      <w:rFonts w:eastAsiaTheme="majorEastAsia" w:cstheme="majorBidi"/>
      <w:color w:val="272727" w:themeColor="text1" w:themeTint="D8"/>
    </w:rPr>
  </w:style>
  <w:style w:type="paragraph" w:styleId="Title">
    <w:name w:val="Title"/>
    <w:basedOn w:val="Normal"/>
    <w:next w:val="Normal"/>
    <w:link w:val="TitleChar"/>
    <w:uiPriority w:val="10"/>
    <w:qFormat/>
    <w:rsid w:val="00C02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DDA"/>
    <w:pPr>
      <w:spacing w:before="160"/>
      <w:jc w:val="center"/>
    </w:pPr>
    <w:rPr>
      <w:i/>
      <w:iCs/>
      <w:color w:val="404040" w:themeColor="text1" w:themeTint="BF"/>
    </w:rPr>
  </w:style>
  <w:style w:type="character" w:customStyle="1" w:styleId="QuoteChar">
    <w:name w:val="Quote Char"/>
    <w:basedOn w:val="DefaultParagraphFont"/>
    <w:link w:val="Quote"/>
    <w:uiPriority w:val="29"/>
    <w:rsid w:val="00C02DDA"/>
    <w:rPr>
      <w:i/>
      <w:iCs/>
      <w:color w:val="404040" w:themeColor="text1" w:themeTint="BF"/>
    </w:rPr>
  </w:style>
  <w:style w:type="paragraph" w:styleId="ListParagraph">
    <w:name w:val="List Paragraph"/>
    <w:basedOn w:val="Normal"/>
    <w:uiPriority w:val="34"/>
    <w:qFormat/>
    <w:rsid w:val="00C02DDA"/>
    <w:pPr>
      <w:ind w:left="720"/>
      <w:contextualSpacing/>
    </w:pPr>
  </w:style>
  <w:style w:type="character" w:styleId="IntenseEmphasis">
    <w:name w:val="Intense Emphasis"/>
    <w:basedOn w:val="DefaultParagraphFont"/>
    <w:uiPriority w:val="21"/>
    <w:qFormat/>
    <w:rsid w:val="00C02DDA"/>
    <w:rPr>
      <w:i/>
      <w:iCs/>
      <w:color w:val="2F5496" w:themeColor="accent1" w:themeShade="BF"/>
    </w:rPr>
  </w:style>
  <w:style w:type="paragraph" w:styleId="IntenseQuote">
    <w:name w:val="Intense Quote"/>
    <w:basedOn w:val="Normal"/>
    <w:next w:val="Normal"/>
    <w:link w:val="IntenseQuoteChar"/>
    <w:uiPriority w:val="30"/>
    <w:qFormat/>
    <w:rsid w:val="00C02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DDA"/>
    <w:rPr>
      <w:i/>
      <w:iCs/>
      <w:color w:val="2F5496" w:themeColor="accent1" w:themeShade="BF"/>
    </w:rPr>
  </w:style>
  <w:style w:type="character" w:styleId="IntenseReference">
    <w:name w:val="Intense Reference"/>
    <w:basedOn w:val="DefaultParagraphFont"/>
    <w:uiPriority w:val="32"/>
    <w:qFormat/>
    <w:rsid w:val="00C02DDA"/>
    <w:rPr>
      <w:b/>
      <w:bCs/>
      <w:smallCaps/>
      <w:color w:val="2F5496" w:themeColor="accent1" w:themeShade="BF"/>
      <w:spacing w:val="5"/>
    </w:rPr>
  </w:style>
  <w:style w:type="character" w:styleId="PlaceholderText">
    <w:name w:val="Placeholder Text"/>
    <w:basedOn w:val="DefaultParagraphFont"/>
    <w:uiPriority w:val="99"/>
    <w:semiHidden/>
    <w:rsid w:val="00FD2730"/>
    <w:rPr>
      <w:color w:val="666666"/>
    </w:rPr>
  </w:style>
  <w:style w:type="paragraph" w:styleId="HTMLPreformatted">
    <w:name w:val="HTML Preformatted"/>
    <w:basedOn w:val="Normal"/>
    <w:link w:val="HTMLPreformattedChar"/>
    <w:uiPriority w:val="99"/>
    <w:semiHidden/>
    <w:unhideWhenUsed/>
    <w:rsid w:val="0019765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7657"/>
    <w:rPr>
      <w:rFonts w:ascii="Consolas" w:hAnsi="Consolas"/>
      <w:sz w:val="20"/>
      <w:szCs w:val="20"/>
    </w:rPr>
  </w:style>
  <w:style w:type="paragraph" w:styleId="Header">
    <w:name w:val="header"/>
    <w:basedOn w:val="Normal"/>
    <w:link w:val="HeaderChar"/>
    <w:uiPriority w:val="99"/>
    <w:unhideWhenUsed/>
    <w:rsid w:val="00BB4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840"/>
  </w:style>
  <w:style w:type="paragraph" w:styleId="Footer">
    <w:name w:val="footer"/>
    <w:basedOn w:val="Normal"/>
    <w:link w:val="FooterChar"/>
    <w:uiPriority w:val="99"/>
    <w:unhideWhenUsed/>
    <w:rsid w:val="00BB4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840"/>
  </w:style>
  <w:style w:type="paragraph" w:styleId="NormalWeb">
    <w:name w:val="Normal (Web)"/>
    <w:basedOn w:val="Normal"/>
    <w:uiPriority w:val="99"/>
    <w:semiHidden/>
    <w:unhideWhenUsed/>
    <w:rsid w:val="0010200F"/>
    <w:rPr>
      <w:rFonts w:ascii="Times New Roman" w:hAnsi="Times New Roman" w:cs="Times New Roman"/>
    </w:rPr>
  </w:style>
  <w:style w:type="table" w:styleId="TableGrid">
    <w:name w:val="Table Grid"/>
    <w:basedOn w:val="TableNormal"/>
    <w:uiPriority w:val="39"/>
    <w:rsid w:val="00693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23296</TotalTime>
  <Pages>12</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Wamwea</dc:creator>
  <cp:keywords/>
  <dc:description/>
  <cp:lastModifiedBy>Charity Wamwea</cp:lastModifiedBy>
  <cp:revision>33</cp:revision>
  <dcterms:created xsi:type="dcterms:W3CDTF">2026-02-09T16:20:00Z</dcterms:created>
  <dcterms:modified xsi:type="dcterms:W3CDTF">2026-04-30T12:31:00Z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21320eec-078d-4c36-bb70-f93a97942c5c</vt:lpwstr>
  </property>
</Properties>
</file>