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 Hybrid HRH-MPT Approach to HRH Modelling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approach proposes to apply modern portfolio theory to HRH modelling </w:t>
      </w:r>
    </w:p>
    <w:p w:rsidR="00000000" w:rsidDel="00000000" w:rsidP="00000000" w:rsidRDefault="00000000" w:rsidRPr="00000000" w14:paraId="00000003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Portfolio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National Health Workforce</w:t>
      </w:r>
    </w:p>
    <w:p w:rsidR="00000000" w:rsidDel="00000000" w:rsidP="00000000" w:rsidRDefault="00000000" w:rsidRPr="00000000" w14:paraId="00000005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Assets are: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Health workforce cadres</w:t>
      </w:r>
    </w:p>
    <w:p w:rsidR="00000000" w:rsidDel="00000000" w:rsidP="00000000" w:rsidRDefault="00000000" w:rsidRPr="00000000" w14:paraId="00000007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Returns are: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Health outcomes i.e. DALYs---- Can we come up with a composite health index of all the outcomes to represent returns?</w:t>
      </w:r>
    </w:p>
    <w:p w:rsidR="00000000" w:rsidDel="00000000" w:rsidP="00000000" w:rsidRDefault="00000000" w:rsidRPr="00000000" w14:paraId="00000009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Risks are: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Skills mismatch, attrition, migration, absenteeism, wage inflation</w:t>
      </w:r>
    </w:p>
    <w:p w:rsidR="00000000" w:rsidDel="00000000" w:rsidP="00000000" w:rsidRDefault="00000000" w:rsidRPr="00000000" w14:paraId="0000000B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Correlation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Possible task shifting among the cadres</w:t>
      </w:r>
    </w:p>
    <w:p w:rsidR="00000000" w:rsidDel="00000000" w:rsidP="00000000" w:rsidRDefault="00000000" w:rsidRPr="00000000" w14:paraId="0000000D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Modelling steps: Case study: Rwanda</w:t>
      </w:r>
    </w:p>
    <w:p w:rsidR="00000000" w:rsidDel="00000000" w:rsidP="00000000" w:rsidRDefault="00000000" w:rsidRPr="00000000" w14:paraId="0000000E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  <w:t xml:space="preserve">2024 dataset is used.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portfolio is the SGD cadre national workforce. 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1"/>
        <w:gridCol w:w="3239"/>
        <w:gridCol w:w="2910"/>
        <w:tblGridChange w:id="0">
          <w:tblGrid>
            <w:gridCol w:w="3201"/>
            <w:gridCol w:w="3239"/>
            <w:gridCol w:w="29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Cadre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Cadre stock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Weights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Nurses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16252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  0.7166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Midwives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2236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0.0986</w:t>
            </w:r>
          </w:p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Dentists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307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  <w:t xml:space="preserve">0.0135</w:t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Pharmacists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1367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0.0603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Doctors  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2517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0.1110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the estimated annual cost per health worker in each cadre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the estimated impact per health worker in each cadre cadre, DALYs is used(simulated)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simulate the risks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the correlations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Obtain the efficient frontier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0" distT="0" distL="0" distR="0">
            <wp:extent cx="5295900" cy="2533650"/>
            <wp:effectExtent b="0" l="0" r="0" t="0"/>
            <wp:docPr id="148771355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533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2e75b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2e75b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e75b5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7E3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7E3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7E3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7E3A"/>
    <w:rPr>
      <w:rFonts w:asciiTheme="majorHAnsi" w:cstheme="majorBidi" w:eastAsiaTheme="majorEastAsia" w:hAnsiTheme="majorHAnsi"/>
      <w:color w:val="2e74b5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7E3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7E3A"/>
    <w:rPr>
      <w:rFonts w:cstheme="majorBidi" w:eastAsiaTheme="majorEastAsia"/>
      <w:color w:val="2e74b5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7E3A"/>
    <w:rPr>
      <w:rFonts w:cstheme="majorBidi" w:eastAsiaTheme="majorEastAsia"/>
      <w:i w:val="1"/>
      <w:iCs w:val="1"/>
      <w:color w:val="2e74b5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7E3A"/>
    <w:rPr>
      <w:rFonts w:cstheme="majorBidi" w:eastAsiaTheme="majorEastAsia"/>
      <w:color w:val="2e74b5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7E3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7E3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7E3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7E3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57E3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7E3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7E3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57E3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7E3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57E3A"/>
    <w:rPr>
      <w:i w:val="1"/>
      <w:iCs w:val="1"/>
      <w:color w:val="2e74b5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7E3A"/>
    <w:pPr>
      <w:pBdr>
        <w:top w:color="2e74b5" w:space="10" w:sz="4" w:themeColor="accent1" w:themeShade="0000BF" w:val="single"/>
        <w:bottom w:color="2e74b5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e74b5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7E3A"/>
    <w:rPr>
      <w:i w:val="1"/>
      <w:iCs w:val="1"/>
      <w:color w:val="2e74b5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7E3A"/>
    <w:rPr>
      <w:b w:val="1"/>
      <w:bCs w:val="1"/>
      <w:smallCaps w:val="1"/>
      <w:color w:val="2e74b5" w:themeColor="accent1" w:themeShade="0000BF"/>
      <w:spacing w:val="5"/>
    </w:rPr>
  </w:style>
  <w:style w:type="table" w:styleId="TableGrid">
    <w:name w:val="Table Grid"/>
    <w:basedOn w:val="TableNormal"/>
    <w:uiPriority w:val="39"/>
    <w:rsid w:val="00EA14D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y2+szSTuMBTMd0blVksoZT8+vQ==">CgMxLjA4AHIhMXVXUlEwOFpSaUVSbHNYaHptbDY0cjk0S0lWaGVvWXVo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2026-02-08T14:41:00Z</dcterms:created>
  <dc:creator>Winnie Chacha</dc:creator>
</cp:coreProperties>
</file>